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82572" w14:textId="1D334BEE" w:rsidR="000C123A" w:rsidRDefault="000C123A" w:rsidP="000C123A">
      <w:pPr>
        <w:pStyle w:val="Heading1"/>
        <w:spacing w:after="720"/>
      </w:pPr>
      <w:bookmarkStart w:id="0" w:name="_Toc523131536"/>
      <w:bookmarkStart w:id="1" w:name="_Toc515959622"/>
      <w:r>
        <w:br/>
      </w:r>
      <w:bookmarkStart w:id="2" w:name="_Toc104806327"/>
      <w:r>
        <w:t>Project rationale and benefits</w:t>
      </w:r>
      <w:bookmarkEnd w:id="2"/>
    </w:p>
    <w:p w14:paraId="331DDA78" w14:textId="0AE96659" w:rsidR="00156875" w:rsidRDefault="006135B1" w:rsidP="00E138E1">
      <w:pPr>
        <w:pStyle w:val="Heading2"/>
      </w:pPr>
      <w:bookmarkStart w:id="3" w:name="_Toc104806328"/>
      <w:r>
        <w:t>Overview</w:t>
      </w:r>
      <w:bookmarkEnd w:id="0"/>
      <w:bookmarkEnd w:id="3"/>
      <w:r w:rsidR="00156875" w:rsidRPr="00B02211">
        <w:t xml:space="preserve"> </w:t>
      </w:r>
    </w:p>
    <w:p w14:paraId="66CD4DE4" w14:textId="77777777" w:rsidR="006135B1" w:rsidRPr="00EC002B" w:rsidRDefault="006135B1" w:rsidP="006135B1">
      <w:pPr>
        <w:pStyle w:val="BodyText"/>
      </w:pPr>
      <w:bookmarkStart w:id="4" w:name="PasteHere"/>
      <w:bookmarkEnd w:id="4"/>
      <w:r w:rsidRPr="00EC002B">
        <w:t xml:space="preserve">A significant transition is occurring both nationally and internationally from traditional forms of electricity generation that use fossil fuel resources to the use of renewable resources such as wind energy. This transition is occurring in response to several factors including climate change, cost of energy, government policy, and community expectations. </w:t>
      </w:r>
    </w:p>
    <w:p w14:paraId="6D3214BE" w14:textId="77777777" w:rsidR="006135B1" w:rsidRPr="00EC002B" w:rsidRDefault="006135B1" w:rsidP="006135B1">
      <w:pPr>
        <w:pStyle w:val="BodyText"/>
      </w:pPr>
      <w:r w:rsidRPr="00EC002B">
        <w:t xml:space="preserve">The aim of the project is to deliver affordable and reliable electricity through the conversion of wind energy into electrical energy. The demand for new renewable energy generation is high and is forecast to increase, and the project is well suited to meeting a significant proportion of this demand. </w:t>
      </w:r>
    </w:p>
    <w:p w14:paraId="3552B2F6" w14:textId="08104B51" w:rsidR="006135B1" w:rsidRPr="00EC002B" w:rsidRDefault="006135B1" w:rsidP="006135B1">
      <w:pPr>
        <w:pStyle w:val="BodyText"/>
      </w:pPr>
      <w:r w:rsidRPr="00EC002B">
        <w:t>This chapter explains the characteristics that make the project site suitable for a wind farm. It also describes the policy context for renewable energy projects in Victoria, as well as the environmental and economic benefits the project would bring. Finally, the chapter explains how the project’s objectives</w:t>
      </w:r>
      <w:r w:rsidR="00A47889">
        <w:t xml:space="preserve"> (as listed in Chapter 1 – </w:t>
      </w:r>
      <w:r w:rsidR="00A47889">
        <w:rPr>
          <w:i/>
          <w:iCs/>
        </w:rPr>
        <w:t>Introduction</w:t>
      </w:r>
      <w:r w:rsidR="00A47889">
        <w:t>)</w:t>
      </w:r>
      <w:r w:rsidRPr="00EC002B">
        <w:t xml:space="preserve"> </w:t>
      </w:r>
      <w:r w:rsidR="00A47889" w:rsidRPr="00EC002B">
        <w:t xml:space="preserve">would be achieved, </w:t>
      </w:r>
      <w:r w:rsidRPr="00EC002B">
        <w:t xml:space="preserve">driven by policy and the anticipated environmental and economic benefits. </w:t>
      </w:r>
    </w:p>
    <w:p w14:paraId="40A85D9C" w14:textId="77777777" w:rsidR="006135B1" w:rsidRPr="00EC002B" w:rsidRDefault="006135B1" w:rsidP="006135B1">
      <w:pPr>
        <w:pStyle w:val="Heading2"/>
      </w:pPr>
      <w:bookmarkStart w:id="5" w:name="_Toc81485613"/>
      <w:bookmarkStart w:id="6" w:name="_Toc104806329"/>
      <w:r w:rsidRPr="00EC002B">
        <w:t>Site characteristics</w:t>
      </w:r>
      <w:bookmarkEnd w:id="5"/>
      <w:bookmarkEnd w:id="6"/>
    </w:p>
    <w:p w14:paraId="161C0623" w14:textId="77777777" w:rsidR="006135B1" w:rsidRPr="00EC002B" w:rsidRDefault="006135B1" w:rsidP="006135B1">
      <w:pPr>
        <w:pStyle w:val="BodyText"/>
      </w:pPr>
      <w:r w:rsidRPr="00EC002B">
        <w:t>The selection of the Willatook area was the result of an extensive assessment of sites across Victoria in 2009. From an initial list of 30 potential sites, Willatook was found to have the highest ranking of characteristics needed for a successful project. The following characteristics led to the decision to select the Willatook area to develop a wind energy project:</w:t>
      </w:r>
    </w:p>
    <w:p w14:paraId="4C2425BC" w14:textId="77777777" w:rsidR="006135B1" w:rsidRPr="006135B1" w:rsidRDefault="006135B1" w:rsidP="006135B1">
      <w:pPr>
        <w:pStyle w:val="ListBullet"/>
        <w:rPr>
          <w:b/>
          <w:bCs/>
        </w:rPr>
      </w:pPr>
      <w:r w:rsidRPr="006135B1">
        <w:rPr>
          <w:b/>
          <w:bCs/>
        </w:rPr>
        <w:t>Strong, reliable winds</w:t>
      </w:r>
    </w:p>
    <w:p w14:paraId="21C87FE8" w14:textId="77777777" w:rsidR="006135B1" w:rsidRPr="00EC002B" w:rsidRDefault="006135B1" w:rsidP="006135B1">
      <w:pPr>
        <w:pStyle w:val="ListContinue"/>
      </w:pPr>
      <w:r w:rsidRPr="00EC002B">
        <w:t xml:space="preserve">The Moyne Shire area has a reliable and strong wind resource that has been confirmed for the project site through long-term wind monitoring. </w:t>
      </w:r>
    </w:p>
    <w:p w14:paraId="23DF9C42" w14:textId="77777777" w:rsidR="006135B1" w:rsidRPr="006135B1" w:rsidRDefault="006135B1" w:rsidP="006135B1">
      <w:pPr>
        <w:pStyle w:val="ListBullet"/>
        <w:rPr>
          <w:b/>
          <w:bCs/>
        </w:rPr>
      </w:pPr>
      <w:r w:rsidRPr="006135B1">
        <w:rPr>
          <w:b/>
          <w:bCs/>
        </w:rPr>
        <w:t xml:space="preserve">Proximity to existing high voltage transmission line and connection infrastructure </w:t>
      </w:r>
    </w:p>
    <w:p w14:paraId="547A5390" w14:textId="595A4FDB" w:rsidR="006135B1" w:rsidRPr="00EC002B" w:rsidRDefault="006135B1" w:rsidP="006135B1">
      <w:pPr>
        <w:pStyle w:val="ListContinue"/>
      </w:pPr>
      <w:r w:rsidRPr="00EC002B">
        <w:t xml:space="preserve">The project is </w:t>
      </w:r>
      <w:r w:rsidR="00856647">
        <w:t xml:space="preserve">located close </w:t>
      </w:r>
      <w:r w:rsidRPr="00EC002B">
        <w:t>to the 500 kilovolt Moorabool to Heywood high voltage transmission line and the existing Tarrone Terminal Station. This provides for a</w:t>
      </w:r>
      <w:r w:rsidR="00856647">
        <w:t xml:space="preserve"> short</w:t>
      </w:r>
      <w:r w:rsidRPr="00EC002B">
        <w:t xml:space="preserve"> connection to the </w:t>
      </w:r>
      <w:r w:rsidR="00856647" w:rsidRPr="00856647">
        <w:t>National Electricity Market</w:t>
      </w:r>
      <w:r w:rsidRPr="00EC002B">
        <w:t xml:space="preserve"> without the need for extensive overhead power lines.</w:t>
      </w:r>
    </w:p>
    <w:p w14:paraId="73E48F01" w14:textId="77777777" w:rsidR="006135B1" w:rsidRPr="006135B1" w:rsidRDefault="006135B1" w:rsidP="006135B1">
      <w:pPr>
        <w:pStyle w:val="ListBullet"/>
        <w:rPr>
          <w:b/>
          <w:bCs/>
        </w:rPr>
      </w:pPr>
      <w:r w:rsidRPr="006135B1">
        <w:rPr>
          <w:b/>
          <w:bCs/>
        </w:rPr>
        <w:t>Relatively low population density</w:t>
      </w:r>
    </w:p>
    <w:p w14:paraId="224F1572" w14:textId="77777777" w:rsidR="006135B1" w:rsidRPr="00EC002B" w:rsidRDefault="006135B1" w:rsidP="006135B1">
      <w:pPr>
        <w:pStyle w:val="ListContinue"/>
      </w:pPr>
      <w:r w:rsidRPr="00EC002B">
        <w:t xml:space="preserve">The population density of the Moyne Shire local government area is 3.1 people per square kilometre and considerably lower around the project site. The project is located within open farmland and away from larger coastal populations and tourist areas, making it possible for wind turbines to be built at appropriate distances from dwellings. </w:t>
      </w:r>
    </w:p>
    <w:p w14:paraId="4EF68876" w14:textId="77777777" w:rsidR="006135B1" w:rsidRPr="006135B1" w:rsidRDefault="006135B1" w:rsidP="006135B1">
      <w:pPr>
        <w:pStyle w:val="ListBullet"/>
        <w:rPr>
          <w:b/>
          <w:bCs/>
        </w:rPr>
      </w:pPr>
      <w:r w:rsidRPr="006135B1">
        <w:rPr>
          <w:b/>
          <w:bCs/>
        </w:rPr>
        <w:t>Good vehicle access to, and around, the project site</w:t>
      </w:r>
    </w:p>
    <w:p w14:paraId="62DDECBC" w14:textId="77777777" w:rsidR="006135B1" w:rsidRPr="00EC002B" w:rsidRDefault="006135B1" w:rsidP="006135B1">
      <w:pPr>
        <w:pStyle w:val="ListContinue"/>
      </w:pPr>
      <w:r w:rsidRPr="00EC002B">
        <w:t>The project has good access to a port and a network of existing roads for project construction and operation.</w:t>
      </w:r>
    </w:p>
    <w:p w14:paraId="76CFC847" w14:textId="77777777" w:rsidR="006135B1" w:rsidRPr="006135B1" w:rsidRDefault="006135B1" w:rsidP="006135B1">
      <w:pPr>
        <w:pStyle w:val="ListBullet"/>
        <w:rPr>
          <w:b/>
          <w:bCs/>
        </w:rPr>
      </w:pPr>
      <w:r w:rsidRPr="006135B1">
        <w:rPr>
          <w:b/>
          <w:bCs/>
        </w:rPr>
        <w:t>Suitable terrain for wind farm construction</w:t>
      </w:r>
    </w:p>
    <w:p w14:paraId="1C433FC9" w14:textId="0DABEBA2" w:rsidR="006135B1" w:rsidRPr="00EC002B" w:rsidRDefault="006135B1" w:rsidP="006135B1">
      <w:pPr>
        <w:pStyle w:val="ListContinue"/>
      </w:pPr>
      <w:r w:rsidRPr="00EC002B">
        <w:t>The terrain within the project site is quite flat, providing for a simple and cost-effective construction process compared to more hilly areas (</w:t>
      </w:r>
      <w:r>
        <w:fldChar w:fldCharType="begin"/>
      </w:r>
      <w:r>
        <w:instrText xml:space="preserve"> REF _Ref84494496 \h </w:instrText>
      </w:r>
      <w:r>
        <w:fldChar w:fldCharType="separate"/>
      </w:r>
      <w:r w:rsidR="000C123A">
        <w:t xml:space="preserve">Figure </w:t>
      </w:r>
      <w:r w:rsidR="000C123A">
        <w:rPr>
          <w:noProof/>
        </w:rPr>
        <w:t>2</w:t>
      </w:r>
      <w:r w:rsidR="000C123A">
        <w:t>.</w:t>
      </w:r>
      <w:r w:rsidR="000C123A">
        <w:rPr>
          <w:noProof/>
        </w:rPr>
        <w:t>1</w:t>
      </w:r>
      <w:r>
        <w:fldChar w:fldCharType="end"/>
      </w:r>
      <w:r w:rsidRPr="00EC002B">
        <w:t xml:space="preserve">). </w:t>
      </w:r>
    </w:p>
    <w:p w14:paraId="5AF2BC63" w14:textId="77777777" w:rsidR="006135B1" w:rsidRPr="006135B1" w:rsidRDefault="006135B1" w:rsidP="000C123A">
      <w:pPr>
        <w:pStyle w:val="ListBullet"/>
        <w:keepNext/>
        <w:rPr>
          <w:b/>
          <w:bCs/>
        </w:rPr>
      </w:pPr>
      <w:r w:rsidRPr="006135B1">
        <w:rPr>
          <w:b/>
          <w:bCs/>
        </w:rPr>
        <w:lastRenderedPageBreak/>
        <w:t xml:space="preserve">Land that is largely cleared and contains few environmental constraints </w:t>
      </w:r>
    </w:p>
    <w:p w14:paraId="2D320EE9" w14:textId="5D623F16" w:rsidR="006135B1" w:rsidRPr="00EC002B" w:rsidRDefault="006135B1" w:rsidP="006135B1">
      <w:pPr>
        <w:pStyle w:val="ListContinue"/>
      </w:pPr>
      <w:r w:rsidRPr="00EC002B">
        <w:t xml:space="preserve">The area has been cleared and has been farmed for many years. There are no protected areas </w:t>
      </w:r>
      <w:r w:rsidR="00856647">
        <w:t>such as</w:t>
      </w:r>
      <w:r w:rsidRPr="00EC002B">
        <w:t xml:space="preserve"> national or state parks or Ramsar wetland areas</w:t>
      </w:r>
      <w:r w:rsidR="00856647">
        <w:t xml:space="preserve"> close to the site</w:t>
      </w:r>
      <w:r w:rsidRPr="00EC002B">
        <w:t>.</w:t>
      </w:r>
    </w:p>
    <w:p w14:paraId="7472DE87" w14:textId="77777777" w:rsidR="006135B1" w:rsidRPr="006135B1" w:rsidRDefault="006135B1" w:rsidP="006135B1">
      <w:pPr>
        <w:pStyle w:val="ListBullet"/>
        <w:rPr>
          <w:b/>
          <w:bCs/>
        </w:rPr>
      </w:pPr>
      <w:r w:rsidRPr="006135B1">
        <w:rPr>
          <w:b/>
          <w:bCs/>
        </w:rPr>
        <w:t>Appropriate zoning</w:t>
      </w:r>
    </w:p>
    <w:p w14:paraId="75CFD1BB" w14:textId="2959C532" w:rsidR="006135B1" w:rsidRPr="00EC002B" w:rsidRDefault="006135B1" w:rsidP="006135B1">
      <w:pPr>
        <w:pStyle w:val="ListContinue"/>
      </w:pPr>
      <w:r w:rsidRPr="00EC002B">
        <w:t>The project site is mostly zoned Farming Zone. This zone allows for the development of wind energy projects as long as other planning provisions are met.</w:t>
      </w:r>
    </w:p>
    <w:p w14:paraId="40ADFA54" w14:textId="0ABA8B1B" w:rsidR="006135B1" w:rsidRDefault="006135B1" w:rsidP="006135B1">
      <w:pPr>
        <w:pStyle w:val="Image"/>
      </w:pPr>
      <w:r w:rsidRPr="00EC002B">
        <w:rPr>
          <w:noProof/>
        </w:rPr>
        <w:drawing>
          <wp:inline distT="0" distB="0" distL="0" distR="0" wp14:anchorId="67AB89C7" wp14:editId="3F214C90">
            <wp:extent cx="5760000" cy="3404109"/>
            <wp:effectExtent l="0" t="0" r="0" b="6350"/>
            <wp:docPr id="5" name="Picture 5" descr="Photograph of an open grazed paddock and fence line, displaying a landscape typical of the proje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graph of an open grazed paddock and fence line, displaying a landscape typical of the project site"/>
                    <pic:cNvPicPr/>
                  </pic:nvPicPr>
                  <pic:blipFill rotWithShape="1">
                    <a:blip r:embed="rId11" cstate="print">
                      <a:extLst>
                        <a:ext uri="{28A0092B-C50C-407E-A947-70E740481C1C}">
                          <a14:useLocalDpi xmlns:a14="http://schemas.microsoft.com/office/drawing/2010/main" val="0"/>
                        </a:ext>
                      </a:extLst>
                    </a:blip>
                    <a:srcRect b="21201"/>
                    <a:stretch/>
                  </pic:blipFill>
                  <pic:spPr bwMode="auto">
                    <a:xfrm>
                      <a:off x="0" y="0"/>
                      <a:ext cx="5760000" cy="3404109"/>
                    </a:xfrm>
                    <a:prstGeom prst="rect">
                      <a:avLst/>
                    </a:prstGeom>
                    <a:ln>
                      <a:noFill/>
                    </a:ln>
                    <a:extLst>
                      <a:ext uri="{53640926-AAD7-44D8-BBD7-CCE9431645EC}">
                        <a14:shadowObscured xmlns:a14="http://schemas.microsoft.com/office/drawing/2010/main"/>
                      </a:ext>
                    </a:extLst>
                  </pic:spPr>
                </pic:pic>
              </a:graphicData>
            </a:graphic>
          </wp:inline>
        </w:drawing>
      </w:r>
    </w:p>
    <w:p w14:paraId="52A0650E" w14:textId="2ADF4D88" w:rsidR="006135B1" w:rsidRDefault="006135B1" w:rsidP="006135B1">
      <w:pPr>
        <w:pStyle w:val="Caption"/>
      </w:pPr>
      <w:bookmarkStart w:id="7" w:name="_Ref84494496"/>
      <w:bookmarkStart w:id="8" w:name="_Toc104806300"/>
      <w:r>
        <w:t xml:space="preserve">Figure </w:t>
      </w:r>
      <w:fldSimple w:instr=" STYLEREF 1 \s ">
        <w:r w:rsidR="000C123A">
          <w:rPr>
            <w:noProof/>
          </w:rPr>
          <w:t>2</w:t>
        </w:r>
      </w:fldSimple>
      <w:r w:rsidR="000C123A">
        <w:t>.</w:t>
      </w:r>
      <w:fldSimple w:instr=" SEQ Figure \* ARABIC \s 1 ">
        <w:r w:rsidR="000C123A">
          <w:rPr>
            <w:noProof/>
          </w:rPr>
          <w:t>1</w:t>
        </w:r>
      </w:fldSimple>
      <w:bookmarkEnd w:id="7"/>
      <w:r>
        <w:tab/>
        <w:t>Typical farmland in the project site</w:t>
      </w:r>
      <w:bookmarkEnd w:id="8"/>
    </w:p>
    <w:p w14:paraId="7B70DFBA" w14:textId="39B8025C" w:rsidR="006135B1" w:rsidRPr="00EC002B" w:rsidRDefault="006135B1" w:rsidP="006135B1">
      <w:pPr>
        <w:pStyle w:val="BodyText"/>
      </w:pPr>
      <w:r w:rsidRPr="00EC002B">
        <w:t xml:space="preserve">Once the Willatook project site was selected, detailed assessments and community engagement </w:t>
      </w:r>
      <w:r w:rsidR="00911263">
        <w:t>were</w:t>
      </w:r>
      <w:r w:rsidR="00911263" w:rsidRPr="00EC002B">
        <w:t xml:space="preserve"> </w:t>
      </w:r>
      <w:r w:rsidRPr="00EC002B">
        <w:t xml:space="preserve">conducted over the following decade. The process leading to the project design being assessed within the EES is discussed in Chapter 4 – </w:t>
      </w:r>
      <w:r w:rsidRPr="006135B1">
        <w:rPr>
          <w:i/>
          <w:iCs/>
        </w:rPr>
        <w:t>Project alternatives and design development</w:t>
      </w:r>
      <w:r w:rsidRPr="00EC002B">
        <w:t xml:space="preserve">. </w:t>
      </w:r>
    </w:p>
    <w:p w14:paraId="3443D0CA" w14:textId="77777777" w:rsidR="006135B1" w:rsidRPr="00EC002B" w:rsidRDefault="006135B1" w:rsidP="006135B1">
      <w:pPr>
        <w:pStyle w:val="Heading2"/>
      </w:pPr>
      <w:bookmarkStart w:id="9" w:name="_Toc68099201"/>
      <w:bookmarkStart w:id="10" w:name="_Toc68099203"/>
      <w:bookmarkStart w:id="11" w:name="_Toc68099204"/>
      <w:bookmarkStart w:id="12" w:name="_Toc68099205"/>
      <w:bookmarkStart w:id="13" w:name="_Toc68099206"/>
      <w:bookmarkStart w:id="14" w:name="_Toc68099207"/>
      <w:bookmarkStart w:id="15" w:name="_Ref68102041"/>
      <w:bookmarkStart w:id="16" w:name="_Toc81485614"/>
      <w:bookmarkStart w:id="17" w:name="_Toc104806330"/>
      <w:bookmarkEnd w:id="9"/>
      <w:bookmarkEnd w:id="10"/>
      <w:bookmarkEnd w:id="11"/>
      <w:bookmarkEnd w:id="12"/>
      <w:bookmarkEnd w:id="13"/>
      <w:bookmarkEnd w:id="14"/>
      <w:r w:rsidRPr="00EC002B">
        <w:t>Policy context</w:t>
      </w:r>
      <w:bookmarkStart w:id="18" w:name="_Toc64558034"/>
      <w:bookmarkEnd w:id="15"/>
      <w:bookmarkEnd w:id="16"/>
      <w:bookmarkEnd w:id="18"/>
      <w:bookmarkEnd w:id="17"/>
    </w:p>
    <w:p w14:paraId="28ADB6B7" w14:textId="5299835A" w:rsidR="006135B1" w:rsidRPr="00EC002B" w:rsidRDefault="006135B1" w:rsidP="006135B1">
      <w:pPr>
        <w:pStyle w:val="BodyText"/>
      </w:pPr>
      <w:r w:rsidRPr="00EC002B">
        <w:t>The rationale for the project is influenced by local, state and national government policies</w:t>
      </w:r>
      <w:r w:rsidR="00911263">
        <w:t>,</w:t>
      </w:r>
      <w:r w:rsidRPr="00EC002B">
        <w:t xml:space="preserve"> and international frameworks. Key drivers relate to climate change and the need to reduce greenhouse gas emissions, as well as the economics of reducing the cost of electricity, stimulating the economies of regional areas and maintaining reliable electricity supply. International agreements in relation to the management of climate change </w:t>
      </w:r>
      <w:r w:rsidR="00911263">
        <w:t xml:space="preserve">impacts </w:t>
      </w:r>
      <w:r w:rsidRPr="00EC002B">
        <w:t xml:space="preserve">has led to commitments at all levels of government to set and achieve greenhouse gas reduction targets, and to implement initiatives to encourage renewable energy development to replace fossil fuels. </w:t>
      </w:r>
    </w:p>
    <w:p w14:paraId="2B476273" w14:textId="77777777" w:rsidR="006135B1" w:rsidRPr="00EC002B" w:rsidRDefault="006135B1" w:rsidP="006135B1">
      <w:pPr>
        <w:pStyle w:val="BodyText"/>
      </w:pPr>
      <w:r w:rsidRPr="00EC002B">
        <w:t>The following section describes the policy context at different government levels and how this has provided a key rationale for the project.</w:t>
      </w:r>
    </w:p>
    <w:p w14:paraId="6C9892B1" w14:textId="77777777" w:rsidR="006135B1" w:rsidRPr="00EC002B" w:rsidRDefault="006135B1" w:rsidP="000C123A">
      <w:pPr>
        <w:pStyle w:val="Heading3"/>
        <w:numPr>
          <w:ilvl w:val="2"/>
          <w:numId w:val="7"/>
        </w:numPr>
        <w:spacing w:before="200" w:line="288" w:lineRule="auto"/>
      </w:pPr>
      <w:bookmarkStart w:id="19" w:name="_Toc81485615"/>
      <w:bookmarkStart w:id="20" w:name="_Toc104806331"/>
      <w:r w:rsidRPr="00EC002B">
        <w:lastRenderedPageBreak/>
        <w:t>International context</w:t>
      </w:r>
      <w:bookmarkEnd w:id="19"/>
      <w:bookmarkEnd w:id="20"/>
    </w:p>
    <w:p w14:paraId="344083FE" w14:textId="77777777" w:rsidR="006135B1" w:rsidRPr="00EC002B" w:rsidRDefault="006135B1" w:rsidP="000C123A">
      <w:pPr>
        <w:pStyle w:val="BodyText"/>
        <w:keepNext/>
        <w:keepLines/>
      </w:pPr>
      <w:r w:rsidRPr="00EC002B">
        <w:t xml:space="preserve">The international community is increasingly calling for accelerated efforts to decarbonise economies to minimise and reduce emissions of carbon dioxide, with electricity generation being a key focus. </w:t>
      </w:r>
    </w:p>
    <w:p w14:paraId="2A146C22" w14:textId="77777777" w:rsidR="006135B1" w:rsidRPr="006135B1" w:rsidRDefault="006135B1" w:rsidP="000C123A">
      <w:pPr>
        <w:pStyle w:val="Heading4"/>
      </w:pPr>
      <w:r w:rsidRPr="006135B1">
        <w:t>United Nation Sustainable Development Goals</w:t>
      </w:r>
    </w:p>
    <w:p w14:paraId="6C852B6A" w14:textId="77777777" w:rsidR="006135B1" w:rsidRPr="00EC002B" w:rsidRDefault="006135B1" w:rsidP="000C123A">
      <w:pPr>
        <w:pStyle w:val="BodyText"/>
        <w:keepNext/>
        <w:keepLines/>
      </w:pPr>
      <w:r w:rsidRPr="00EC002B">
        <w:t xml:space="preserve">The United Nations (2015) </w:t>
      </w:r>
      <w:r w:rsidRPr="00EC002B">
        <w:rPr>
          <w:i/>
        </w:rPr>
        <w:t>Transforming our world: the</w:t>
      </w:r>
      <w:r w:rsidRPr="00EC002B">
        <w:t xml:space="preserve"> </w:t>
      </w:r>
      <w:r w:rsidRPr="00EC002B">
        <w:rPr>
          <w:i/>
        </w:rPr>
        <w:t>2030 Agenda for Sustainable Development</w:t>
      </w:r>
      <w:r w:rsidRPr="00EC002B">
        <w:t xml:space="preserve"> outlines a set of 17 sustainable development goals and 169 targets to create a more prosperous, sustainable and resilient future. The sustainable development goals seek to end poverty, reduce inequality and improve health and education while tackling climate change and protecting the natural environment. </w:t>
      </w:r>
    </w:p>
    <w:p w14:paraId="4BDF8442" w14:textId="77777777" w:rsidR="006135B1" w:rsidRPr="00EC002B" w:rsidRDefault="006135B1" w:rsidP="006135B1">
      <w:pPr>
        <w:pStyle w:val="BodyText"/>
        <w:rPr>
          <w:i/>
        </w:rPr>
      </w:pPr>
      <w:r w:rsidRPr="00EC002B">
        <w:t>The project most closely aligns with sustainable development goal no.</w:t>
      </w:r>
      <w:r w:rsidRPr="00EC002B">
        <w:rPr>
          <w:i/>
        </w:rPr>
        <w:t xml:space="preserve"> </w:t>
      </w:r>
      <w:r w:rsidRPr="00EC002B">
        <w:t>7:</w:t>
      </w:r>
    </w:p>
    <w:p w14:paraId="58E1B077" w14:textId="77777777" w:rsidR="006135B1" w:rsidRPr="00EC002B" w:rsidRDefault="006135B1" w:rsidP="006135B1">
      <w:pPr>
        <w:pStyle w:val="BodyText"/>
        <w:ind w:left="720"/>
      </w:pPr>
      <w:r w:rsidRPr="00EC002B">
        <w:rPr>
          <w:i/>
        </w:rPr>
        <w:t>Ensure access to affordable, reliable, sustainable and modern energy for all</w:t>
      </w:r>
      <w:r w:rsidRPr="00EC002B">
        <w:t>.</w:t>
      </w:r>
    </w:p>
    <w:p w14:paraId="653BB2EC" w14:textId="7B5176D7" w:rsidR="006135B1" w:rsidRDefault="006135B1" w:rsidP="006135B1">
      <w:pPr>
        <w:pStyle w:val="BodyText"/>
      </w:pPr>
      <w:r w:rsidRPr="00EC002B">
        <w:t xml:space="preserve">The project would directly contribute to the achievement of this goal through the delivery of low-cost, renewable and reliable electricity to the </w:t>
      </w:r>
      <w:r w:rsidRPr="00C40871">
        <w:t>National Electricity Market</w:t>
      </w:r>
      <w:r w:rsidRPr="00EC002B">
        <w:t>.</w:t>
      </w:r>
    </w:p>
    <w:p w14:paraId="28C142AF" w14:textId="346B8C4A" w:rsidR="006135B1" w:rsidRDefault="006135B1" w:rsidP="006135B1">
      <w:r>
        <w:rPr>
          <w:noProof/>
          <w:lang w:eastAsia="fr-CA"/>
        </w:rPr>
        <mc:AlternateContent>
          <mc:Choice Requires="wps">
            <w:drawing>
              <wp:inline distT="0" distB="0" distL="0" distR="0" wp14:anchorId="42A9C834" wp14:editId="3B6E752A">
                <wp:extent cx="5760000" cy="1781175"/>
                <wp:effectExtent l="0" t="0" r="12700" b="28575"/>
                <wp:docPr id="217" name="Text Box 2" descr="The National Electricity Market involves the wholesale generation of electricity, which is transported via transmission lines (incorporating about 40,000 kilometres of state and private assets) to industrial energy users and local energy distributors in all states and territories except Western Australia and Northern Territory. In total, the National Electricity Market supplies around 10 million customers.&#10;Of the generation resources that make up the National Electricity Market, wind energy comprised of roughly 8% or 15 terawatt-hours (as of 20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781175"/>
                        </a:xfrm>
                        <a:prstGeom prst="roundRect">
                          <a:avLst/>
                        </a:prstGeom>
                        <a:solidFill>
                          <a:srgbClr val="E2EAF1"/>
                        </a:solidFill>
                        <a:ln w="9525">
                          <a:solidFill>
                            <a:srgbClr val="9E9E9D"/>
                          </a:solidFill>
                          <a:miter lim="800000"/>
                          <a:headEnd/>
                          <a:tailEnd/>
                        </a:ln>
                      </wps:spPr>
                      <wps:txbx>
                        <w:txbxContent>
                          <w:p w14:paraId="1EBB62F0" w14:textId="71988533" w:rsidR="006135B1" w:rsidRDefault="006135B1" w:rsidP="006135B1">
                            <w:pPr>
                              <w:pStyle w:val="PullOutBoxText"/>
                            </w:pPr>
                            <w:r>
                              <w:t xml:space="preserve">The </w:t>
                            </w:r>
                            <w:r w:rsidRPr="006135B1">
                              <w:rPr>
                                <w:b/>
                                <w:bCs/>
                              </w:rPr>
                              <w:t>National Electricity Market</w:t>
                            </w:r>
                            <w:r>
                              <w:t xml:space="preserve"> involves the wholesale generation of electricity, which is transported via transmission lines (incorporating about 40,000 kilometres of state and private assets) to industrial energy users and local energy distributors in all states and territories except Western Australia and Northern Territory. In total, the National Electricity Market supplies around 10 million customers.</w:t>
                            </w:r>
                          </w:p>
                          <w:p w14:paraId="15CF4FD5" w14:textId="77777777" w:rsidR="006135B1" w:rsidRDefault="006135B1" w:rsidP="006135B1">
                            <w:pPr>
                              <w:pStyle w:val="PullOutBoxText"/>
                            </w:pPr>
                            <w:r>
                              <w:t>Of the generation resources that make up the National Electricity Market, wind energy comprised of roughly 8% or 15 terawatt-hours (as of 2019/20).</w:t>
                            </w:r>
                          </w:p>
                          <w:p w14:paraId="72B58730" w14:textId="4D364C29" w:rsidR="006135B1" w:rsidRPr="006135B1" w:rsidRDefault="006135B1" w:rsidP="006135B1">
                            <w:pPr>
                              <w:pStyle w:val="PullOutBoxText"/>
                              <w:jc w:val="right"/>
                              <w:rPr>
                                <w:i/>
                                <w:iCs/>
                                <w:sz w:val="16"/>
                              </w:rPr>
                            </w:pPr>
                            <w:r w:rsidRPr="006135B1">
                              <w:rPr>
                                <w:b/>
                                <w:bCs/>
                                <w:i/>
                                <w:iCs/>
                                <w:sz w:val="16"/>
                              </w:rPr>
                              <w:t>Source:</w:t>
                            </w:r>
                            <w:r w:rsidRPr="006135B1">
                              <w:rPr>
                                <w:i/>
                                <w:iCs/>
                                <w:sz w:val="16"/>
                              </w:rPr>
                              <w:t xml:space="preserve"> Fact Sheet – The National Electricity Market (Australian Energy Market Operator (AEMO), 2020a)</w:t>
                            </w:r>
                          </w:p>
                        </w:txbxContent>
                      </wps:txbx>
                      <wps:bodyPr rot="0" vert="horz" wrap="square" lIns="91440" tIns="45720" rIns="91440" bIns="45720" anchor="t" anchorCtr="0">
                        <a:noAutofit/>
                      </wps:bodyPr>
                    </wps:wsp>
                  </a:graphicData>
                </a:graphic>
              </wp:inline>
            </w:drawing>
          </mc:Choice>
          <mc:Fallback>
            <w:pict>
              <v:roundrect w14:anchorId="42A9C834" id="Text Box 2" o:spid="_x0000_s1026" alt="The National Electricity Market involves the wholesale generation of electricity, which is transported via transmission lines (incorporating about 40,000 kilometres of state and private assets) to industrial energy users and local energy distributors in all states and territories except Western Australia and Northern Territory. In total, the National Electricity Market supplies around 10 million customers.&#10;Of the generation resources that make up the National Electricity Market, wind energy comprised of roughly 8% or 15 terawatt-hours (as of 2019/20)." style="width:453.55pt;height:140.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" fillcolor="#e2eaf1" strokecolor="#9e9e9d">
                <v:stroke joinstyle="miter"/>
                <v:textbox>
                  <w:txbxContent>
                    <w:p w14:paraId="1EBB62F0" w14:textId="71988533" w:rsidR="006135B1" w:rsidRDefault="006135B1" w:rsidP="006135B1">
                      <w:pPr>
                        <w:pStyle w:val="PullOutBoxText"/>
                      </w:pPr>
                      <w:r>
                        <w:t xml:space="preserve">The </w:t>
                      </w:r>
                      <w:r w:rsidRPr="006135B1">
                        <w:rPr>
                          <w:b/>
                          <w:bCs/>
                        </w:rPr>
                        <w:t>National Electricity Market</w:t>
                      </w:r>
                      <w:r>
                        <w:t xml:space="preserve"> involves the wholesale generation of electricity, which is transported via transmission lines (incorporating about 40,000 kilometres of state and private assets) to industrial energy users and local energy distributors in all states and territories except Western Australia and Northern Territory. In total, the National Electricity Market supplies around 10 million customers.</w:t>
                      </w:r>
                    </w:p>
                    <w:p w14:paraId="15CF4FD5" w14:textId="77777777" w:rsidR="006135B1" w:rsidRDefault="006135B1" w:rsidP="006135B1">
                      <w:pPr>
                        <w:pStyle w:val="PullOutBoxText"/>
                      </w:pPr>
                      <w:r>
                        <w:t>Of the generation resources that make up the National Electricity Market, wind energy comprised of roughly 8% or 15 terawatt-hours (as of 2019/20).</w:t>
                      </w:r>
                    </w:p>
                    <w:p w14:paraId="72B58730" w14:textId="4D364C29" w:rsidR="006135B1" w:rsidRPr="006135B1" w:rsidRDefault="006135B1" w:rsidP="006135B1">
                      <w:pPr>
                        <w:pStyle w:val="PullOutBoxText"/>
                        <w:jc w:val="right"/>
                        <w:rPr>
                          <w:i/>
                          <w:iCs/>
                          <w:sz w:val="16"/>
                        </w:rPr>
                      </w:pPr>
                      <w:r w:rsidRPr="006135B1">
                        <w:rPr>
                          <w:b/>
                          <w:bCs/>
                          <w:i/>
                          <w:iCs/>
                          <w:sz w:val="16"/>
                        </w:rPr>
                        <w:t>Source:</w:t>
                      </w:r>
                      <w:r w:rsidRPr="006135B1">
                        <w:rPr>
                          <w:i/>
                          <w:iCs/>
                          <w:sz w:val="16"/>
                        </w:rPr>
                        <w:t xml:space="preserve"> Fact Sheet – The National Electricity Market (Australian Energy Market Operator (AEMO), 2020a)</w:t>
                      </w:r>
                    </w:p>
                  </w:txbxContent>
                </v:textbox>
                <w10:anchorlock/>
              </v:roundrect>
            </w:pict>
          </mc:Fallback>
        </mc:AlternateContent>
      </w:r>
    </w:p>
    <w:p w14:paraId="3E4C04F1" w14:textId="77777777" w:rsidR="006135B1" w:rsidRPr="00EC002B" w:rsidRDefault="006135B1" w:rsidP="006135B1">
      <w:pPr>
        <w:pStyle w:val="Heading4"/>
      </w:pPr>
      <w:r w:rsidRPr="00EC002B">
        <w:t>Paris Agreement</w:t>
      </w:r>
    </w:p>
    <w:p w14:paraId="05665909" w14:textId="77777777" w:rsidR="006135B1" w:rsidRPr="00EC002B" w:rsidRDefault="006135B1" w:rsidP="006135B1">
      <w:pPr>
        <w:pStyle w:val="BodyText"/>
      </w:pPr>
      <w:r w:rsidRPr="00EC002B">
        <w:t>The outcome of 2016 meeting of the United Nations Framework Convention on Climate Change in Paris was a world-wide commitment to limit global warming to well below 2°C, preferably to 1.5°C, compared to pre-industrial levels, termed the Paris Agreement of 2016. A key component of the Paris Agreement is that countries submit their plans for climate action via ‘nationally determined contributions’ by 2020 and for these contributions to be reviewed and updated (to be increasingly ambitious) on a 5-year cycle.</w:t>
      </w:r>
    </w:p>
    <w:p w14:paraId="42726CAF" w14:textId="77777777" w:rsidR="006135B1" w:rsidRPr="00EC002B" w:rsidRDefault="006135B1" w:rsidP="006135B1">
      <w:pPr>
        <w:pStyle w:val="BodyText"/>
      </w:pPr>
      <w:r w:rsidRPr="00EC002B">
        <w:t>The Kyoto Protocol was the predecessor of the Paris Agreement. The Kyoto Protocol was adopted in December 1997 and entered into force in 2005. It put into operation the United Nations Framework Convention on Climate Change by committing industrialised countries and economies in transition to limit and reduce greenhouse gas emissions in accordance with agreed individual targets.</w:t>
      </w:r>
    </w:p>
    <w:p w14:paraId="3AC05B2D" w14:textId="728078CA" w:rsidR="006135B1" w:rsidRPr="00EC002B" w:rsidRDefault="006135B1" w:rsidP="006135B1">
      <w:pPr>
        <w:pStyle w:val="BodyText"/>
      </w:pPr>
      <w:r w:rsidRPr="00EC002B">
        <w:t xml:space="preserve">Australia is a signatory to both the Kyoto Protocol and the Paris Agreement (see Section </w:t>
      </w:r>
      <w:r w:rsidRPr="00EC002B">
        <w:fldChar w:fldCharType="begin"/>
      </w:r>
      <w:r w:rsidRPr="00EC002B">
        <w:instrText xml:space="preserve"> REF _Ref68016116 \r \h </w:instrText>
      </w:r>
      <w:r w:rsidRPr="00EC002B">
        <w:fldChar w:fldCharType="separate"/>
      </w:r>
      <w:r w:rsidR="000C123A">
        <w:t>2.3.2</w:t>
      </w:r>
      <w:r w:rsidRPr="00EC002B">
        <w:fldChar w:fldCharType="end"/>
      </w:r>
      <w:r w:rsidRPr="00EC002B">
        <w:t>).</w:t>
      </w:r>
    </w:p>
    <w:p w14:paraId="0076B2E1" w14:textId="77777777" w:rsidR="006135B1" w:rsidRPr="00EC002B" w:rsidRDefault="006135B1" w:rsidP="009A70B9">
      <w:pPr>
        <w:pStyle w:val="Heading3"/>
        <w:numPr>
          <w:ilvl w:val="2"/>
          <w:numId w:val="7"/>
        </w:numPr>
        <w:spacing w:before="200" w:line="288" w:lineRule="auto"/>
      </w:pPr>
      <w:bookmarkStart w:id="21" w:name="_Toc68099215"/>
      <w:bookmarkStart w:id="22" w:name="_Toc68099216"/>
      <w:bookmarkStart w:id="23" w:name="_Toc68099217"/>
      <w:bookmarkStart w:id="24" w:name="_Toc68099218"/>
      <w:bookmarkStart w:id="25" w:name="_Ref68016116"/>
      <w:bookmarkStart w:id="26" w:name="_Toc81485616"/>
      <w:bookmarkStart w:id="27" w:name="_Toc104806332"/>
      <w:bookmarkEnd w:id="21"/>
      <w:bookmarkEnd w:id="22"/>
      <w:bookmarkEnd w:id="23"/>
      <w:bookmarkEnd w:id="24"/>
      <w:r w:rsidRPr="00EC002B">
        <w:t>Commonwealth context</w:t>
      </w:r>
      <w:bookmarkEnd w:id="25"/>
      <w:bookmarkEnd w:id="26"/>
      <w:bookmarkEnd w:id="27"/>
    </w:p>
    <w:p w14:paraId="64B919EF" w14:textId="23816CC5" w:rsidR="006135B1" w:rsidRPr="00EC002B" w:rsidRDefault="006135B1" w:rsidP="006135B1">
      <w:pPr>
        <w:pStyle w:val="BodyText"/>
      </w:pPr>
      <w:r w:rsidRPr="00EC002B">
        <w:t xml:space="preserve">Australia’s Department of Industry, Science, Energy and Resources is tasked with managing and delivering policies and programs that respond to challenges </w:t>
      </w:r>
      <w:r w:rsidR="00B06A5B">
        <w:t xml:space="preserve">that </w:t>
      </w:r>
      <w:r w:rsidRPr="00EC002B">
        <w:t>climate change poses in Australia. The Department of Agriculture, Water and the Environment (DAWE) is responsible for delivering climate change adaptation and climate science policy and programs. Together with the Department of Foreign Affairs and Trade, these departments negotiate and implement Australia’s obligations under the Paris Agreement and administer other major Commonwealth programs and strategies that relate to climate change.</w:t>
      </w:r>
    </w:p>
    <w:p w14:paraId="2C24C882" w14:textId="77777777" w:rsidR="006135B1" w:rsidRPr="00EC002B" w:rsidRDefault="006135B1" w:rsidP="000C123A">
      <w:pPr>
        <w:pStyle w:val="Heading4"/>
      </w:pPr>
      <w:r w:rsidRPr="00EC002B">
        <w:lastRenderedPageBreak/>
        <w:t>Meeting the Paris Agreement</w:t>
      </w:r>
    </w:p>
    <w:p w14:paraId="1A2CEAA3" w14:textId="6092323A" w:rsidR="006135B1" w:rsidRPr="00EC002B" w:rsidRDefault="006135B1" w:rsidP="000C123A">
      <w:pPr>
        <w:pStyle w:val="BodyText"/>
        <w:keepNext/>
        <w:keepLines/>
      </w:pPr>
      <w:r w:rsidRPr="00EC002B">
        <w:t>Under the Paris Agreement, the Australian Government has established the nationally determined contribution of an economy-wide target to reduce greenhouse gas emissions by 26 to 28% below 2005 levels by 2030. Australia’s most recent estimate of the country’s national inventory of greenhouse gas emissions up to the September quarter 2020 showed emissions were 4.4% (or 23.3 million tonnes) lower than in 2019 (Department of Industry, Science, Energy and Resources</w:t>
      </w:r>
      <w:r w:rsidR="00063B62">
        <w:t>,</w:t>
      </w:r>
      <w:r w:rsidRPr="00EC002B">
        <w:t xml:space="preserve"> 2021a). Emissions were 19% below the level of emissions in 2005 (which is the baseline year for the Paris Agreement). This reduction in emissions is partly due to ongoing reductions in emissions from electricity (down 4.0%), although electricity maintained the highest contribution with 33.4% of total emissions, indicating there is considerable potential for further reductions.</w:t>
      </w:r>
      <w:r>
        <w:t xml:space="preserve"> </w:t>
      </w:r>
    </w:p>
    <w:p w14:paraId="483226A9" w14:textId="345BBBAE" w:rsidR="006135B1" w:rsidRPr="00EC002B" w:rsidRDefault="006135B1" w:rsidP="006135B1">
      <w:pPr>
        <w:pStyle w:val="BodyText"/>
      </w:pPr>
      <w:r w:rsidRPr="00EC002B">
        <w:t xml:space="preserve">In </w:t>
      </w:r>
      <w:r w:rsidR="001F0A66">
        <w:t>October</w:t>
      </w:r>
      <w:r w:rsidR="001F0A66" w:rsidRPr="00EC002B">
        <w:t xml:space="preserve"> </w:t>
      </w:r>
      <w:r w:rsidRPr="00EC002B">
        <w:t xml:space="preserve">2021, Prime Minister Scott Morrison stated </w:t>
      </w:r>
      <w:r w:rsidR="001F0A66">
        <w:t xml:space="preserve">that </w:t>
      </w:r>
      <w:r w:rsidRPr="00EC002B">
        <w:t xml:space="preserve">Australia </w:t>
      </w:r>
      <w:r w:rsidR="001F0A66">
        <w:t xml:space="preserve">now has a </w:t>
      </w:r>
      <w:r w:rsidR="0091000A">
        <w:t xml:space="preserve">target to achieve </w:t>
      </w:r>
      <w:r w:rsidRPr="00EC002B">
        <w:t>net-zero emissions by 2050. The net-zero emissions by 2050 target has</w:t>
      </w:r>
      <w:r w:rsidR="0091000A">
        <w:t xml:space="preserve"> also</w:t>
      </w:r>
      <w:r w:rsidRPr="00EC002B">
        <w:t xml:space="preserve"> been committed to by all Australian states and territories.</w:t>
      </w:r>
    </w:p>
    <w:p w14:paraId="47020B1E" w14:textId="29BE4136" w:rsidR="006135B1" w:rsidRPr="00EC002B" w:rsidRDefault="006135B1" w:rsidP="006135B1">
      <w:pPr>
        <w:pStyle w:val="BodyText"/>
      </w:pPr>
      <w:bookmarkStart w:id="28" w:name="_Hlk69829184"/>
      <w:r w:rsidRPr="00EC002B">
        <w:t xml:space="preserve">The project would make a meaningful contribution to Australia’s target to reduce carbon emissions under the agreement, as outlined in Section </w:t>
      </w:r>
      <w:r w:rsidRPr="00EC002B">
        <w:fldChar w:fldCharType="begin"/>
      </w:r>
      <w:r w:rsidRPr="00EC002B">
        <w:instrText xml:space="preserve"> REF _Ref79563622 \n \h </w:instrText>
      </w:r>
      <w:r w:rsidRPr="00EC002B">
        <w:fldChar w:fldCharType="separate"/>
      </w:r>
      <w:r w:rsidR="000C123A">
        <w:t>2.4</w:t>
      </w:r>
      <w:r w:rsidRPr="00EC002B">
        <w:fldChar w:fldCharType="end"/>
      </w:r>
      <w:r w:rsidRPr="00EC002B">
        <w:t xml:space="preserve"> below.</w:t>
      </w:r>
    </w:p>
    <w:p w14:paraId="3471630D" w14:textId="77777777" w:rsidR="006135B1" w:rsidRPr="00EC002B" w:rsidRDefault="006135B1" w:rsidP="006135B1">
      <w:pPr>
        <w:pStyle w:val="Heading4"/>
      </w:pPr>
      <w:r w:rsidRPr="00EC002B">
        <w:t xml:space="preserve">Renewable Energy Target </w:t>
      </w:r>
    </w:p>
    <w:p w14:paraId="7CF1CBCD" w14:textId="77777777" w:rsidR="006135B1" w:rsidRPr="00EC002B" w:rsidRDefault="006135B1" w:rsidP="006135B1">
      <w:pPr>
        <w:pStyle w:val="BodyText"/>
        <w:keepNext/>
        <w:keepLines/>
      </w:pPr>
      <w:bookmarkStart w:id="29" w:name="_Hlk69829039"/>
      <w:bookmarkEnd w:id="28"/>
      <w:r w:rsidRPr="00C40871">
        <w:t>The Renewable Energy Target, administered by the Clean Energy Regulator, is a Commonwealth Government policy designed to ensure at least 33,000 gigawatt hours of Australia’s electricity came from renewable sources by 2020. Under th</w:t>
      </w:r>
      <w:r w:rsidRPr="00EC002B">
        <w:t>e Renewable Energy Target, the Large-scale Renewable Energy Target scheme requires high-energy users to acquire a fixed proportion of their electricity from renewable sources. This occurs in the form of large-scale generation certificates, which are created by large renewable energy power stations (such as wind farms) and then sold to high-energy users who must surrender them to meet their obligations under the Large-scale Renewable Energy Target</w:t>
      </w:r>
      <w:r w:rsidRPr="00EC002B" w:rsidDel="001E6C2B">
        <w:t xml:space="preserve"> </w:t>
      </w:r>
      <w:r w:rsidRPr="00EC002B">
        <w:t>(i.e., to meet their renewable energy obligations). One large-scale generation certificate can be created per megawatt hour of eligible electricity generated by a power station, providing a supplement to the generator’s income received for the energy sold on the market.</w:t>
      </w:r>
    </w:p>
    <w:p w14:paraId="63246EC2" w14:textId="23E4D6A8" w:rsidR="006135B1" w:rsidRPr="00EC002B" w:rsidRDefault="006135B1" w:rsidP="006135B1">
      <w:pPr>
        <w:pStyle w:val="BodyText"/>
      </w:pPr>
      <w:r w:rsidRPr="00EC002B">
        <w:t>The Renewable Energy Target’s 33,000-gigawatt hours</w:t>
      </w:r>
      <w:r w:rsidRPr="00EC002B" w:rsidDel="001E6C2B">
        <w:t xml:space="preserve"> </w:t>
      </w:r>
      <w:r w:rsidRPr="00EC002B">
        <w:t>target (including the Large-scale Renewable Energy Target) was met at the end of January 2021</w:t>
      </w:r>
      <w:r w:rsidRPr="00EC002B">
        <w:rPr>
          <w:vertAlign w:val="superscript"/>
        </w:rPr>
        <w:t xml:space="preserve"> </w:t>
      </w:r>
      <w:r w:rsidRPr="00EC002B">
        <w:t>(Clean Energy Regulator</w:t>
      </w:r>
      <w:r w:rsidR="00063B62">
        <w:t>,</w:t>
      </w:r>
      <w:r w:rsidRPr="00EC002B">
        <w:t xml:space="preserve"> 2021). Large-scale generation certificates will continue to be generated and high-energy users will continue to be required to meet their obligations under the policy until 2030. The large-scale generation certificate price is set by market forces (including supply and demand) and is expected to decrease during the decade to 2030 as oversupply in the market significantly reduces their value.</w:t>
      </w:r>
    </w:p>
    <w:bookmarkEnd w:id="29"/>
    <w:p w14:paraId="07B9E8EA" w14:textId="68B31756" w:rsidR="006135B1" w:rsidRPr="00EC002B" w:rsidRDefault="006135B1" w:rsidP="006135B1">
      <w:pPr>
        <w:pStyle w:val="BodyText"/>
      </w:pPr>
      <w:r w:rsidRPr="00EC002B">
        <w:t>The project can be expected to create and sell large-scale generation certificates from the time of commissioning up until 2030 when the Large-scale Renewable Energy Target scheme ends. The large-scale generation certificate spot price in Quarter 1 2021 was $33.25 per megawatt hour (Clean Energy Regulator</w:t>
      </w:r>
      <w:r w:rsidR="00063B62">
        <w:t>,</w:t>
      </w:r>
      <w:r w:rsidRPr="00EC002B">
        <w:t xml:space="preserve"> 2021), however as the supply of renewable energy in the market increases, prices are expected to fall as the Large-scale Renewable Energy Target scheme approaches its end in 2030. The Large-scale Renewable Energy Target scheme is therefore not expected to be pivotal in the financial success of the project. </w:t>
      </w:r>
    </w:p>
    <w:p w14:paraId="022903B9" w14:textId="77777777" w:rsidR="006135B1" w:rsidRPr="00EC002B" w:rsidRDefault="006135B1" w:rsidP="006135B1">
      <w:pPr>
        <w:pStyle w:val="Heading4"/>
      </w:pPr>
      <w:r w:rsidRPr="00EC002B">
        <w:t>Other Commonwealth initiatives</w:t>
      </w:r>
    </w:p>
    <w:p w14:paraId="7A8071D9" w14:textId="77777777" w:rsidR="006135B1" w:rsidRPr="00EC002B" w:rsidRDefault="006135B1" w:rsidP="006135B1">
      <w:pPr>
        <w:pStyle w:val="BodyText"/>
      </w:pPr>
      <w:r w:rsidRPr="00EC002B">
        <w:t xml:space="preserve">The recent focus of the Commonwealth Government has been to invest in the National Hydrogen Strategy, emissions abatement strategies, offshore renewable energy and new technologies via its Technology Investment Roadmap. Investment has occurred in large-scale pumped hydro projects like Snowy 2.0 and transmission projects such as Marinus Link, as well as supporting energy efficiency measures and developing a national strategy for electric vehicles. </w:t>
      </w:r>
    </w:p>
    <w:p w14:paraId="2C9C8108" w14:textId="77777777" w:rsidR="006135B1" w:rsidRPr="00EC002B" w:rsidRDefault="006135B1" w:rsidP="006135B1">
      <w:pPr>
        <w:pStyle w:val="BodyText"/>
      </w:pPr>
      <w:r w:rsidRPr="00EC002B">
        <w:t xml:space="preserve">The Commonwealth Government has policies and programs that provide indirect support for large-scale conventional wind energy projects. For example, the carbon emission reduction benefits of pumped hydro are maximised by using renewable energy, such as wind energy projects, to pump water that can later be used to generate electricity. The environmental benefits of electric vehicles are also maximised when the source of electricity to charge them is from renewable energy such as wind energy projects. </w:t>
      </w:r>
    </w:p>
    <w:p w14:paraId="0B0EC961" w14:textId="77777777" w:rsidR="006135B1" w:rsidRPr="00EC002B" w:rsidRDefault="006135B1" w:rsidP="006135B1">
      <w:pPr>
        <w:pStyle w:val="Heading4"/>
      </w:pPr>
      <w:r w:rsidRPr="00EC002B">
        <w:lastRenderedPageBreak/>
        <w:t>Manufacturing and recycling</w:t>
      </w:r>
    </w:p>
    <w:p w14:paraId="51504DED" w14:textId="70F415A1" w:rsidR="006135B1" w:rsidRPr="00EC002B" w:rsidRDefault="006135B1" w:rsidP="006135B1">
      <w:pPr>
        <w:pStyle w:val="BodyText"/>
      </w:pPr>
      <w:r w:rsidRPr="00EC002B">
        <w:t>In 2021</w:t>
      </w:r>
      <w:r w:rsidR="00B06A5B">
        <w:t>,</w:t>
      </w:r>
      <w:r w:rsidRPr="00EC002B">
        <w:t xml:space="preserve"> the Commonwealth Government released a </w:t>
      </w:r>
      <w:r w:rsidRPr="00EC002B">
        <w:rPr>
          <w:i/>
        </w:rPr>
        <w:t xml:space="preserve">Recycling and Clean Energy National Manufacturing Priority Road Map </w:t>
      </w:r>
      <w:r w:rsidRPr="00EC002B">
        <w:t>(Department of Industry, Science, Energy and Resources</w:t>
      </w:r>
      <w:r w:rsidR="00F72831">
        <w:t>,</w:t>
      </w:r>
      <w:r w:rsidRPr="00EC002B">
        <w:t xml:space="preserve"> 2021b)</w:t>
      </w:r>
      <w:r w:rsidRPr="00EC002B">
        <w:rPr>
          <w:i/>
        </w:rPr>
        <w:t xml:space="preserve"> </w:t>
      </w:r>
      <w:r w:rsidRPr="00EC002B">
        <w:t>as part of its Modern Manufacturing Strategy. The road map highlights opportunities that exist in Australia for manufacturing and recycling of clean energy components such as wind turbines and batteries. The road map signals an expression of the Commonwealth Government’s intentions to support manufacturing and recycling enterprises in the wind energy sector, and sets two-, five- and ten-year goals to achieve its vision to:</w:t>
      </w:r>
    </w:p>
    <w:p w14:paraId="10CA6613" w14:textId="77777777" w:rsidR="006135B1" w:rsidRPr="00EC002B" w:rsidRDefault="006135B1" w:rsidP="006135B1">
      <w:pPr>
        <w:pStyle w:val="BodyText"/>
        <w:ind w:left="720"/>
      </w:pPr>
      <w:r w:rsidRPr="00EC002B">
        <w:rPr>
          <w:i/>
        </w:rPr>
        <w:t>..develop world-leading advanced manufacturers that seize economic opportunities from sustainability, the clean energy transition, and the global effort to create more value from resources and reduced waste</w:t>
      </w:r>
      <w:r w:rsidRPr="00EC002B">
        <w:t>.</w:t>
      </w:r>
    </w:p>
    <w:p w14:paraId="3FBAACBC" w14:textId="77D28997" w:rsidR="006135B1" w:rsidRPr="00EC002B" w:rsidRDefault="006135B1" w:rsidP="006135B1">
      <w:pPr>
        <w:pStyle w:val="BodyText"/>
      </w:pPr>
      <w:r w:rsidRPr="00EC002B">
        <w:t>An industry-wide approach to recycling would streamline processes, helping to reduce costs and increase the effectiveness of these processes. The project owner and operator would work with the Commonwealth Government, as well as state and local governments and industry associations (e.g., the Clean Energy Council) when preparing and later implementing the project’s detailed decommissioning plan. This will help maximise the recyclability of wind farm infrastructure at the end of its life.</w:t>
      </w:r>
      <w:r>
        <w:t xml:space="preserve"> </w:t>
      </w:r>
    </w:p>
    <w:p w14:paraId="77818D39" w14:textId="77777777" w:rsidR="006135B1" w:rsidRPr="00EC002B" w:rsidRDefault="006135B1" w:rsidP="009A70B9">
      <w:pPr>
        <w:pStyle w:val="Heading3"/>
        <w:numPr>
          <w:ilvl w:val="2"/>
          <w:numId w:val="7"/>
        </w:numPr>
        <w:spacing w:before="200" w:line="288" w:lineRule="auto"/>
      </w:pPr>
      <w:bookmarkStart w:id="30" w:name="_Toc81485617"/>
      <w:bookmarkStart w:id="31" w:name="_Toc104806333"/>
      <w:r w:rsidRPr="00EC002B">
        <w:t>Victorian context</w:t>
      </w:r>
      <w:bookmarkEnd w:id="30"/>
      <w:bookmarkEnd w:id="31"/>
    </w:p>
    <w:p w14:paraId="4013B73F" w14:textId="77777777" w:rsidR="006135B1" w:rsidRPr="00EC002B" w:rsidRDefault="006135B1" w:rsidP="006135B1">
      <w:pPr>
        <w:pStyle w:val="BodyText"/>
      </w:pPr>
      <w:r w:rsidRPr="00EC002B">
        <w:t xml:space="preserve">The Victorian Government’s policies relating to energy, and particularly renewable energy, have changed considerably during the past 20 years. The last six years has seen concerted effort by the Victorian Government to increase the contribution of renewable energy as a means of reducing greenhouse gas emissions from the electricity sector, including providing support to develop socially and environmentally sustainable wind energy projects. Importantly, the project would contribute to the state’s long-term target of net zero emissions by 2050, underpinned by the Victorian </w:t>
      </w:r>
      <w:r w:rsidRPr="00EC002B">
        <w:rPr>
          <w:i/>
        </w:rPr>
        <w:t>Climate Change Act 2017</w:t>
      </w:r>
      <w:r w:rsidRPr="00EC002B">
        <w:t>.</w:t>
      </w:r>
    </w:p>
    <w:p w14:paraId="4F69C952" w14:textId="77777777" w:rsidR="006135B1" w:rsidRPr="00EC002B" w:rsidRDefault="006135B1" w:rsidP="006135B1">
      <w:pPr>
        <w:pStyle w:val="BodyText"/>
      </w:pPr>
      <w:r w:rsidRPr="00EC002B">
        <w:t>Other policy objectives include reducing the cost of electricity, stimulating the Victorian economy, and assisting with the evolution of the National Electricity Market currently underway.</w:t>
      </w:r>
    </w:p>
    <w:p w14:paraId="285D3C09" w14:textId="77777777" w:rsidR="006135B1" w:rsidRPr="00EC002B" w:rsidRDefault="006135B1" w:rsidP="006135B1">
      <w:pPr>
        <w:pStyle w:val="Heading4"/>
      </w:pPr>
      <w:r w:rsidRPr="00EC002B">
        <w:t>Victoria’s Renewable Energy Roadmap</w:t>
      </w:r>
    </w:p>
    <w:p w14:paraId="1BD4F8AB" w14:textId="7AA56556" w:rsidR="006135B1" w:rsidRPr="00EC002B" w:rsidRDefault="006135B1" w:rsidP="006135B1">
      <w:pPr>
        <w:pStyle w:val="BodyText"/>
      </w:pPr>
      <w:r w:rsidRPr="00EC002B">
        <w:t>In 2015 the Victorian Government released the state’s Renewable Energy Roadmap (Department of Economic Development, Jobs, Transport and Resources</w:t>
      </w:r>
      <w:r w:rsidR="00F72831">
        <w:t>,</w:t>
      </w:r>
      <w:r w:rsidRPr="00EC002B">
        <w:t xml:space="preserve"> 2015). It was acknowledged at </w:t>
      </w:r>
      <w:r w:rsidR="00B06A5B">
        <w:t xml:space="preserve">the </w:t>
      </w:r>
      <w:r w:rsidRPr="00EC002B">
        <w:t xml:space="preserve">time </w:t>
      </w:r>
      <w:r w:rsidR="00B06A5B" w:rsidRPr="00EC002B">
        <w:t xml:space="preserve">that </w:t>
      </w:r>
      <w:r w:rsidRPr="00EC002B">
        <w:t>a critical element of delivering a sustainable economy is to increase the supply of renewable energy generation in the National Electricity Market. At that time, only 12% of Victoria’s electricity was sourced from renewable energy (predominantly via wind, solar and hydro power).</w:t>
      </w:r>
    </w:p>
    <w:p w14:paraId="545471F7" w14:textId="77777777" w:rsidR="006135B1" w:rsidRPr="00EC002B" w:rsidRDefault="006135B1" w:rsidP="006135B1">
      <w:pPr>
        <w:pStyle w:val="BodyText"/>
      </w:pPr>
      <w:r w:rsidRPr="00EC002B">
        <w:t>The Renewable Energy Roadmap</w:t>
      </w:r>
      <w:r w:rsidRPr="00EC002B" w:rsidDel="007E51EA">
        <w:t xml:space="preserve"> </w:t>
      </w:r>
      <w:r w:rsidRPr="00EC002B">
        <w:t xml:space="preserve">included several initiatives including reinstating a whole-of-Victorian Government facilitation service for renewable energy projects and investigation of new models to enable renewable energy projects. The Renewable Energy Roadmap also flagged the intention of releasing a Renewable Energy Action Plan that would establish targets for renewable energy generation in Victoria. </w:t>
      </w:r>
    </w:p>
    <w:p w14:paraId="46A4F343" w14:textId="77777777" w:rsidR="006135B1" w:rsidRPr="00EC002B" w:rsidRDefault="006135B1" w:rsidP="006135B1">
      <w:pPr>
        <w:pStyle w:val="Heading4"/>
      </w:pPr>
      <w:r w:rsidRPr="00EC002B">
        <w:t>Renewable Energy Action Plan</w:t>
      </w:r>
    </w:p>
    <w:p w14:paraId="411525B6" w14:textId="7E684195" w:rsidR="006135B1" w:rsidRPr="00EC002B" w:rsidRDefault="006135B1" w:rsidP="006135B1">
      <w:pPr>
        <w:pStyle w:val="BodyText"/>
      </w:pPr>
      <w:r w:rsidRPr="00EC002B">
        <w:t>Victoria’s Renewable Energy Action Plan was released in 2017 by DELWP, setting out long-term actions to drive renewable energy investment in Victoria. Action 1 of the Plan was a commitment to the Victorian Renewable Energy Target</w:t>
      </w:r>
      <w:r w:rsidRPr="00EC002B" w:rsidDel="00D57628">
        <w:t xml:space="preserve"> </w:t>
      </w:r>
      <w:r w:rsidRPr="00EC002B">
        <w:t xml:space="preserve">for 2020 and 2025. The Victorian Government has since legislated renewable energy targets within the </w:t>
      </w:r>
      <w:r w:rsidRPr="00EC002B">
        <w:rPr>
          <w:i/>
        </w:rPr>
        <w:t>Renewable Energy (Jobs and Investment) Act 2017</w:t>
      </w:r>
      <w:r w:rsidRPr="00EC002B">
        <w:t>. This legislation sets targets of 25% renewable energy by 2020, 40% by 2025 and 50% by 2030. The Government has met its 2020 target with more than 26% of Victoria’s electricity generated from renewable energy sources (DELWP,</w:t>
      </w:r>
      <w:r>
        <w:t> </w:t>
      </w:r>
      <w:r w:rsidRPr="00EC002B">
        <w:t xml:space="preserve">2021a). </w:t>
      </w:r>
    </w:p>
    <w:p w14:paraId="63547ED2" w14:textId="14A6ED32" w:rsidR="006135B1" w:rsidRPr="00EC002B" w:rsidRDefault="006135B1" w:rsidP="006135B1">
      <w:pPr>
        <w:pStyle w:val="BodyText"/>
      </w:pPr>
      <w:r w:rsidRPr="00EC002B">
        <w:t>Action 6 of the Plan is to streamline renewable energy project processes and approvals. The Government established a ‘one stop shop’ for wind farm planning permit matters “to ensure relevant government agencies can respond promptly to issues for individual applications”. The action also flagged the future introduction of Environment Protection Authority (EPA) Victoria</w:t>
      </w:r>
      <w:r w:rsidRPr="00EC002B" w:rsidDel="00D57628">
        <w:t xml:space="preserve"> </w:t>
      </w:r>
      <w:r w:rsidRPr="00EC002B">
        <w:t xml:space="preserve">audit of noise assessments and noise management plans (refer to Chapter 3 – </w:t>
      </w:r>
      <w:r w:rsidRPr="006135B1">
        <w:rPr>
          <w:i/>
          <w:iCs/>
        </w:rPr>
        <w:t>Legislation and policy framework</w:t>
      </w:r>
      <w:r w:rsidRPr="00EC002B">
        <w:t xml:space="preserve"> to see how these apply to the project).</w:t>
      </w:r>
    </w:p>
    <w:p w14:paraId="3B9237F9" w14:textId="287EE0F2" w:rsidR="006135B1" w:rsidRDefault="006135B1" w:rsidP="006135B1">
      <w:pPr>
        <w:pStyle w:val="BodyText"/>
      </w:pPr>
      <w:r w:rsidRPr="00EC002B">
        <w:lastRenderedPageBreak/>
        <w:t>Action 17 of the Plan is to support energy storage that integrates with renewable energy generation. The Plan commits to a minimum of two 20 megawatt batteries in western Victoria, “to support battery storage becoming mainstream”.</w:t>
      </w:r>
    </w:p>
    <w:p w14:paraId="75D60E9D" w14:textId="77777777" w:rsidR="00691110" w:rsidRPr="00EC002B" w:rsidRDefault="00691110" w:rsidP="00691110">
      <w:pPr>
        <w:pStyle w:val="Heading4"/>
      </w:pPr>
      <w:r>
        <w:t>Victoria’s Climate Change Strategy</w:t>
      </w:r>
    </w:p>
    <w:p w14:paraId="49E7A09D" w14:textId="3689E023" w:rsidR="00693727" w:rsidRDefault="00693727" w:rsidP="00693727">
      <w:r w:rsidRPr="00693727">
        <w:t xml:space="preserve">Victoria’s Climate Change Strategy </w:t>
      </w:r>
      <w:r w:rsidR="00384506">
        <w:t xml:space="preserve">(DELWP 2021b) </w:t>
      </w:r>
      <w:r w:rsidRPr="00693727">
        <w:t>is a roadmap to net-zero emissions and a climate resilient Victoria by 2050.</w:t>
      </w:r>
      <w:r>
        <w:t xml:space="preserve"> </w:t>
      </w:r>
      <w:r w:rsidRPr="00693727">
        <w:t>The Government has set targets to reduce the state’s greenhouse gas emissions from 2005 levels by 28–33% by 2025 and 45–50% by 2030. </w:t>
      </w:r>
      <w:r w:rsidR="00DA2485">
        <w:t>The strategy is linked to the legislated renewable energy targets referred to above under the Renewable Energy Action Plan.</w:t>
      </w:r>
    </w:p>
    <w:p w14:paraId="737A24B2" w14:textId="77777777" w:rsidR="006135B1" w:rsidRPr="00EC002B" w:rsidRDefault="006135B1" w:rsidP="006135B1">
      <w:pPr>
        <w:pStyle w:val="Heading4"/>
      </w:pPr>
      <w:r w:rsidRPr="00EC002B">
        <w:t>Victoria’s energy future</w:t>
      </w:r>
    </w:p>
    <w:p w14:paraId="2FDEA751" w14:textId="0DF67B3E" w:rsidR="006135B1" w:rsidRPr="00EC002B" w:rsidRDefault="006135B1" w:rsidP="006135B1">
      <w:pPr>
        <w:pStyle w:val="BodyText"/>
      </w:pPr>
      <w:r w:rsidRPr="00EC002B">
        <w:t xml:space="preserve">The Australian Energy Market Operator (AEMO) has reported that </w:t>
      </w:r>
      <w:r w:rsidR="00B06A5B" w:rsidRPr="00EC002B">
        <w:t>“</w:t>
      </w:r>
      <w:r w:rsidRPr="00EC002B">
        <w:t xml:space="preserve">a minimum of 13.2 GW [gigawatts] of Victorian renewable generation would be required by 2030 to meet the </w:t>
      </w:r>
      <w:bookmarkStart w:id="32" w:name="_Hlk79564816"/>
      <w:r w:rsidRPr="00EC002B">
        <w:t>Victorian Renewable Energy Target</w:t>
      </w:r>
      <w:bookmarkEnd w:id="32"/>
      <w:r w:rsidRPr="00EC002B">
        <w:t xml:space="preserve"> (VRET). This means Victoria will need at least an additional 5.4 GW of additional large-scale renewable energy projects and DER [distributed energy resources] investment to meet the VRET” (AEMO, 2020b). This statement was made before the announcement by Energy Australia in March 2021 of the early closure of the Yallourn coal-fired power station in 2028 instead of 2032.</w:t>
      </w:r>
    </w:p>
    <w:p w14:paraId="0BC5A293" w14:textId="77777777" w:rsidR="006135B1" w:rsidRPr="00EC002B" w:rsidRDefault="006135B1" w:rsidP="006135B1">
      <w:pPr>
        <w:pStyle w:val="BodyText"/>
      </w:pPr>
      <w:r w:rsidRPr="00EC002B">
        <w:t xml:space="preserve">The early closure of Yallourn, along with the potential early closure of other coal-fired power stations within the National Electricity Market, creates additional incentive to add new energy generation before 2028. Given current global and local trends and Victorian Government policies on energy, the replacement for Yallourn’s 1,450 megawatts (~10,500 </w:t>
      </w:r>
      <w:bookmarkStart w:id="33" w:name="_Hlk79564779"/>
      <w:r w:rsidRPr="00EC002B">
        <w:t>gigawatt hours</w:t>
      </w:r>
      <w:bookmarkEnd w:id="33"/>
      <w:r w:rsidRPr="00EC002B">
        <w:t>) of generation will most likely be from renewable energy sources. The addition of large-scale batteries (and pumped hydro) will also contribute to the energy mix, allowing renewable energy to be stored during periods of low demand and dispatched when demand is higher.</w:t>
      </w:r>
    </w:p>
    <w:p w14:paraId="37FA9434" w14:textId="40A1C82D" w:rsidR="006135B1" w:rsidRPr="00EC002B" w:rsidRDefault="006135B1" w:rsidP="006135B1">
      <w:pPr>
        <w:pStyle w:val="BodyText"/>
      </w:pPr>
      <w:r w:rsidRPr="00EC002B">
        <w:t>The project’s estimated 1,</w:t>
      </w:r>
      <w:r w:rsidR="002C2A4A">
        <w:t>3</w:t>
      </w:r>
      <w:r w:rsidRPr="00EC002B">
        <w:t xml:space="preserve">00 gigawatt hours of renewable energy could replace around </w:t>
      </w:r>
      <w:r w:rsidR="00535D7B" w:rsidRPr="00EC002B">
        <w:t>1</w:t>
      </w:r>
      <w:r w:rsidR="00535D7B">
        <w:t>2</w:t>
      </w:r>
      <w:r w:rsidRPr="00EC002B">
        <w:t>% of Yallourn’s output</w:t>
      </w:r>
      <w:r w:rsidR="00124E89">
        <w:t>,</w:t>
      </w:r>
      <w:r w:rsidRPr="00EC002B">
        <w:t xml:space="preserve"> and the battery and synchronous condenser (if built) would provide additional security of supply to the National Electricity Market. </w:t>
      </w:r>
    </w:p>
    <w:p w14:paraId="6D18DF03" w14:textId="77777777" w:rsidR="006135B1" w:rsidRPr="00EC002B" w:rsidRDefault="006135B1" w:rsidP="006135B1">
      <w:pPr>
        <w:pStyle w:val="Heading4"/>
      </w:pPr>
      <w:r w:rsidRPr="00EC002B">
        <w:t>Renewable Energy Zones</w:t>
      </w:r>
    </w:p>
    <w:p w14:paraId="6E306E1F" w14:textId="0697549C" w:rsidR="006135B1" w:rsidRPr="00EC002B" w:rsidRDefault="006135B1" w:rsidP="006135B1">
      <w:pPr>
        <w:pStyle w:val="BodyText"/>
      </w:pPr>
      <w:r w:rsidRPr="00EC002B">
        <w:t xml:space="preserve">AEMO’s </w:t>
      </w:r>
      <w:r w:rsidRPr="00EC002B">
        <w:rPr>
          <w:i/>
        </w:rPr>
        <w:t>2020 Integrated System Plan</w:t>
      </w:r>
      <w:r w:rsidRPr="00EC002B">
        <w:t xml:space="preserve"> (2020c) identified six Victorian </w:t>
      </w:r>
      <w:r w:rsidRPr="00C40871">
        <w:t>Renewable Energy Zones</w:t>
      </w:r>
      <w:r w:rsidRPr="00EC002B">
        <w:t xml:space="preserve"> (</w:t>
      </w:r>
      <w:r w:rsidRPr="00EC002B">
        <w:fldChar w:fldCharType="begin"/>
      </w:r>
      <w:r w:rsidRPr="00EC002B">
        <w:instrText xml:space="preserve"> REF _Ref70077122 \h </w:instrText>
      </w:r>
      <w:r w:rsidRPr="00EC002B">
        <w:fldChar w:fldCharType="separate"/>
      </w:r>
      <w:r w:rsidR="000C123A" w:rsidRPr="006135B1">
        <w:t>Figure</w:t>
      </w:r>
      <w:r w:rsidR="000C123A">
        <w:t> </w:t>
      </w:r>
      <w:r w:rsidR="000C123A">
        <w:rPr>
          <w:noProof/>
        </w:rPr>
        <w:t>2</w:t>
      </w:r>
      <w:r w:rsidR="000C123A">
        <w:t>.</w:t>
      </w:r>
      <w:r w:rsidR="000C123A">
        <w:rPr>
          <w:noProof/>
        </w:rPr>
        <w:t>2</w:t>
      </w:r>
      <w:r w:rsidRPr="00EC002B">
        <w:fldChar w:fldCharType="end"/>
      </w:r>
      <w:r w:rsidRPr="00EC002B">
        <w:t xml:space="preserve">). These Renewable Energy Zones are regions with the greatest potential for renewable energy development across the state, and their selection focuses on areas where grid improvements should be carried out to facilitate the transition to a renewables-based National Electricity Market. </w:t>
      </w:r>
    </w:p>
    <w:p w14:paraId="52FD9B2A" w14:textId="77777777" w:rsidR="006135B1" w:rsidRPr="00EC002B" w:rsidRDefault="006135B1" w:rsidP="006135B1">
      <w:pPr>
        <w:pStyle w:val="BodyText"/>
      </w:pPr>
      <w:r w:rsidRPr="00EC002B">
        <w:t>The Victorian Government has committed to developing the Renewable Energy Zones to meet the following objectives:</w:t>
      </w:r>
    </w:p>
    <w:p w14:paraId="6636767E" w14:textId="4DA84022" w:rsidR="006135B1" w:rsidRPr="00EC002B" w:rsidRDefault="006135B1" w:rsidP="006135B1">
      <w:pPr>
        <w:pStyle w:val="ListBullet"/>
        <w:contextualSpacing/>
      </w:pPr>
      <w:r w:rsidRPr="00EC002B">
        <w:t>ensure that communities, including traditional owners, are engaged in the process</w:t>
      </w:r>
    </w:p>
    <w:p w14:paraId="526CB09D" w14:textId="22D1A1F7" w:rsidR="006135B1" w:rsidRPr="00EC002B" w:rsidRDefault="006135B1" w:rsidP="006135B1">
      <w:pPr>
        <w:pStyle w:val="ListBullet"/>
        <w:contextualSpacing/>
      </w:pPr>
      <w:r w:rsidRPr="00EC002B">
        <w:t>provide for the orderly, planned development of renewable energy resources</w:t>
      </w:r>
    </w:p>
    <w:p w14:paraId="2EC06601" w14:textId="14B67E4D" w:rsidR="006135B1" w:rsidRPr="00EC002B" w:rsidRDefault="006135B1" w:rsidP="006135B1">
      <w:pPr>
        <w:pStyle w:val="ListBullet"/>
        <w:contextualSpacing/>
      </w:pPr>
      <w:r w:rsidRPr="00EC002B">
        <w:t>efficiently and effectively expand the grid and connect new generation</w:t>
      </w:r>
    </w:p>
    <w:p w14:paraId="26160E94" w14:textId="4FA3C0D7" w:rsidR="006135B1" w:rsidRPr="00EC002B" w:rsidRDefault="006135B1" w:rsidP="006135B1">
      <w:pPr>
        <w:pStyle w:val="ListBullet"/>
        <w:contextualSpacing/>
      </w:pPr>
      <w:r w:rsidRPr="00EC002B">
        <w:t>reduce network congestion and costs.</w:t>
      </w:r>
    </w:p>
    <w:p w14:paraId="373A11EB" w14:textId="20F9154F" w:rsidR="006135B1" w:rsidRPr="00EC002B" w:rsidRDefault="006135B1" w:rsidP="006135B1">
      <w:pPr>
        <w:pStyle w:val="BodyText"/>
      </w:pPr>
      <w:r w:rsidRPr="00EC002B">
        <w:t xml:space="preserve">A Renewable Energy Zone Development Plan is currently under development to ensure investments are coordinated, timely, and deliver positive outcomes for Victoria and local communities. This follows the release of the </w:t>
      </w:r>
      <w:r w:rsidRPr="00EC002B">
        <w:rPr>
          <w:i/>
        </w:rPr>
        <w:t>Victorian Renewable Energy Zones Development Plan Directions Paper</w:t>
      </w:r>
      <w:r w:rsidRPr="00EC002B">
        <w:t xml:space="preserve"> in February 2021 (DELWP, 2021</w:t>
      </w:r>
      <w:r w:rsidR="004A3C68">
        <w:t>c</w:t>
      </w:r>
      <w:r w:rsidRPr="00EC002B">
        <w:t>) which tabled several priority transmission network upgrades “to support existing and future renewable energy generation development in Victoria’s Renewable Energy Zones”.</w:t>
      </w:r>
    </w:p>
    <w:p w14:paraId="49CE2928" w14:textId="3114AE6E" w:rsidR="006135B1" w:rsidRPr="00EC002B" w:rsidRDefault="006135B1" w:rsidP="006135B1">
      <w:pPr>
        <w:pStyle w:val="BodyText"/>
      </w:pPr>
      <w:r w:rsidRPr="00EC002B">
        <w:t>In early 2021, the Victorian Government announced the establishment of VicGrid to administer a $540</w:t>
      </w:r>
      <w:r>
        <w:t> </w:t>
      </w:r>
      <w:r w:rsidRPr="00EC002B">
        <w:t xml:space="preserve">million Renewable Energy Zone fund. This government agency will engage with regional communities to provide for appropriate and beneficial development in each Renewable Energy Zone. Their work will see immediate network investments to upgrade the grid to support the decentralisation of energy generation (i.e., over-reliance on coal fired generation in the Latrobe Valley) and integration of renewables within the Renewable Energy Zones in Victoria. </w:t>
      </w:r>
    </w:p>
    <w:p w14:paraId="050DB3A2" w14:textId="00449AE0" w:rsidR="006135B1" w:rsidRDefault="006135B1" w:rsidP="006135B1">
      <w:pPr>
        <w:pStyle w:val="BodyText"/>
        <w:keepLines/>
      </w:pPr>
      <w:r w:rsidRPr="00EC002B">
        <w:lastRenderedPageBreak/>
        <w:t>The strength of the wind resource, access to a transmission network with capacity and the availability of suitable land on which to develop renewable energy projects has led to south-west Victoria being designated a Renewable Energy Zone. This identification of the candidate Renewable Energy Zone was formalised by the Victorian Government in early 2021, and the management of the Renewable Energy Zone will be overseen by VicGrid.</w:t>
      </w:r>
    </w:p>
    <w:p w14:paraId="178C99AE" w14:textId="363F48C8" w:rsidR="006135B1" w:rsidRPr="00EC002B" w:rsidRDefault="00BD5B48" w:rsidP="006135B1">
      <w:pPr>
        <w:pStyle w:val="Image"/>
      </w:pPr>
      <w:r>
        <w:rPr>
          <w:noProof/>
        </w:rPr>
        <w:drawing>
          <wp:inline distT="0" distB="0" distL="0" distR="0" wp14:anchorId="7493D89F" wp14:editId="11AE8A1C">
            <wp:extent cx="5759450" cy="4110355"/>
            <wp:effectExtent l="0" t="0" r="0" b="4445"/>
            <wp:docPr id="8" name="Picture 8" descr="Figure showing the Renewable Energy Zones, V1 to V6,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showing the Renewable Energy Zones, V1 to V6, in Victoria"/>
                    <pic:cNvPicPr/>
                  </pic:nvPicPr>
                  <pic:blipFill>
                    <a:blip r:embed="rId12"/>
                    <a:stretch>
                      <a:fillRect/>
                    </a:stretch>
                  </pic:blipFill>
                  <pic:spPr>
                    <a:xfrm>
                      <a:off x="0" y="0"/>
                      <a:ext cx="5759450" cy="4110355"/>
                    </a:xfrm>
                    <a:prstGeom prst="rect">
                      <a:avLst/>
                    </a:prstGeom>
                  </pic:spPr>
                </pic:pic>
              </a:graphicData>
            </a:graphic>
          </wp:inline>
        </w:drawing>
      </w:r>
    </w:p>
    <w:p w14:paraId="07F06C2D" w14:textId="68B5B784" w:rsidR="006135B1" w:rsidRPr="006135B1" w:rsidRDefault="006135B1" w:rsidP="006135B1">
      <w:pPr>
        <w:pStyle w:val="Caption"/>
      </w:pPr>
      <w:bookmarkStart w:id="34" w:name="_Ref70077122"/>
      <w:bookmarkStart w:id="35" w:name="_Toc81485622"/>
      <w:bookmarkStart w:id="36" w:name="_Toc104806301"/>
      <w:r w:rsidRPr="006135B1">
        <w:t>Figure</w:t>
      </w:r>
      <w:r>
        <w:t> </w:t>
      </w:r>
      <w:fldSimple w:instr=" STYLEREF 1 \s ">
        <w:r w:rsidR="000C123A">
          <w:rPr>
            <w:noProof/>
          </w:rPr>
          <w:t>2</w:t>
        </w:r>
      </w:fldSimple>
      <w:r w:rsidR="000C123A">
        <w:t>.</w:t>
      </w:r>
      <w:fldSimple w:instr=" SEQ Figure \* ARABIC \s 1 ">
        <w:r w:rsidR="000C123A">
          <w:rPr>
            <w:noProof/>
          </w:rPr>
          <w:t>2</w:t>
        </w:r>
      </w:fldSimple>
      <w:bookmarkEnd w:id="34"/>
      <w:r w:rsidRPr="006135B1">
        <w:tab/>
        <w:t>Renewable Energy Zones in Victoria (source: DELWP</w:t>
      </w:r>
      <w:r w:rsidR="00535D7B">
        <w:t>,</w:t>
      </w:r>
      <w:r w:rsidRPr="006135B1">
        <w:t xml:space="preserve"> 2021</w:t>
      </w:r>
      <w:r w:rsidR="00926448">
        <w:t>e</w:t>
      </w:r>
      <w:r w:rsidRPr="006135B1">
        <w:t>)</w:t>
      </w:r>
      <w:bookmarkEnd w:id="35"/>
      <w:bookmarkEnd w:id="36"/>
    </w:p>
    <w:p w14:paraId="530970F3" w14:textId="77777777" w:rsidR="000C123A" w:rsidRPr="00EC002B" w:rsidRDefault="000C123A" w:rsidP="000C123A">
      <w:pPr>
        <w:pStyle w:val="Heading4"/>
      </w:pPr>
      <w:bookmarkStart w:id="37" w:name="_Toc68099223"/>
      <w:bookmarkStart w:id="38" w:name="_Toc68099224"/>
      <w:bookmarkStart w:id="39" w:name="_Toc68099225"/>
      <w:bookmarkStart w:id="40" w:name="_Toc68099226"/>
      <w:bookmarkStart w:id="41" w:name="_Toc68099227"/>
      <w:bookmarkStart w:id="42" w:name="_Toc68099228"/>
      <w:bookmarkStart w:id="43" w:name="_Toc81485618"/>
      <w:bookmarkEnd w:id="37"/>
      <w:bookmarkEnd w:id="38"/>
      <w:bookmarkEnd w:id="39"/>
      <w:bookmarkEnd w:id="40"/>
      <w:bookmarkEnd w:id="41"/>
      <w:bookmarkEnd w:id="42"/>
      <w:r>
        <w:t>Victoria Planning Provisions</w:t>
      </w:r>
    </w:p>
    <w:p w14:paraId="2C3EF491" w14:textId="77777777" w:rsidR="000C123A" w:rsidRDefault="000C123A" w:rsidP="000C123A">
      <w:r>
        <w:t>State Government plans and strategies for renewable energy are supported through the by the Victoria Planning Provisions contained within all local planning schemes, including the Moyne Planning Scheme. Clause 19.01-2S (Renewable energy) has the objective of promoting the provision of renewable energy in a manner that ensures appropriate siting and design considerations are met. One of the strategies listed in this planning provision is to “consider the economic and environmental benefits to the broader community of renewable energy generation while also considering the need to minimise the effects of a proposal on the local community and environment”.</w:t>
      </w:r>
    </w:p>
    <w:p w14:paraId="063933CC" w14:textId="77777777" w:rsidR="000C123A" w:rsidRDefault="000C123A" w:rsidP="000C123A">
      <w:r>
        <w:t>Clause 52.32 (Wind Energy Facility) provides more specific direction in relation to the use and development of land for a wind farm “to facilitate the establishment and expansion of wind energy facilities, in appropriate locations, with minimal impact on the amenity of the area”. Specifically, the clause includes a description of when a permit is required to use and develop land for a wind energy facility and what a permit application must include.</w:t>
      </w:r>
    </w:p>
    <w:p w14:paraId="2D72A429" w14:textId="1665FED5" w:rsidR="006135B1" w:rsidRPr="00EC002B" w:rsidRDefault="006135B1" w:rsidP="000C123A">
      <w:pPr>
        <w:pStyle w:val="Heading3"/>
        <w:numPr>
          <w:ilvl w:val="2"/>
          <w:numId w:val="7"/>
        </w:numPr>
        <w:spacing w:before="200" w:line="288" w:lineRule="auto"/>
      </w:pPr>
      <w:bookmarkStart w:id="44" w:name="_Toc104806334"/>
      <w:r w:rsidRPr="00EC002B">
        <w:lastRenderedPageBreak/>
        <w:t>Local and regional policies</w:t>
      </w:r>
      <w:bookmarkEnd w:id="43"/>
      <w:bookmarkEnd w:id="44"/>
    </w:p>
    <w:p w14:paraId="22107A02" w14:textId="77777777" w:rsidR="006135B1" w:rsidRPr="00EC002B" w:rsidRDefault="006135B1" w:rsidP="000C123A">
      <w:pPr>
        <w:pStyle w:val="Heading4"/>
      </w:pPr>
      <w:r w:rsidRPr="00EC002B">
        <w:t>Victoria’s Regional Statement</w:t>
      </w:r>
    </w:p>
    <w:p w14:paraId="6D2572A5" w14:textId="7C5BD38E" w:rsidR="006135B1" w:rsidRPr="00EC002B" w:rsidRDefault="006135B1" w:rsidP="000C123A">
      <w:pPr>
        <w:pStyle w:val="BodyText"/>
        <w:keepNext/>
      </w:pPr>
      <w:r w:rsidRPr="00C40871">
        <w:rPr>
          <w:i/>
          <w:iCs/>
        </w:rPr>
        <w:t>Victoria’s Regional Statement</w:t>
      </w:r>
      <w:r w:rsidRPr="00EC002B">
        <w:t xml:space="preserve"> was released in 2015 and set out the next steps and flagged future directions for regional development policy. The statement’s focus is on regional jobs growth and boosting regional economies, with renewable energy identified as a key element of future plans.</w:t>
      </w:r>
      <w:r>
        <w:t xml:space="preserve"> </w:t>
      </w:r>
    </w:p>
    <w:p w14:paraId="50AC0E90" w14:textId="18948B8A" w:rsidR="006135B1" w:rsidRPr="00EC002B" w:rsidRDefault="006135B1" w:rsidP="006135B1">
      <w:pPr>
        <w:pStyle w:val="BodyText"/>
      </w:pPr>
      <w:r w:rsidRPr="00EC002B">
        <w:t>In late December 2019, the Barwon South West Renewable Energy Roadmap was released, which incorporates the Moyne Shire (DELWP, 2019). The roadmap articulates the region’s “vision for a renewable energy future, identifying opportunities to attract investment and better understand their community’s engagement and capacity to transition to renewable energy” (from the Minister’s foreword). Collaboration, consultation and engagement with local communities was key to the roadmap’s development. Key themes from the consultation were:</w:t>
      </w:r>
    </w:p>
    <w:p w14:paraId="73B7966E" w14:textId="77777777" w:rsidR="006135B1" w:rsidRPr="00EC002B" w:rsidRDefault="006135B1" w:rsidP="006135B1">
      <w:pPr>
        <w:pStyle w:val="ListNumber"/>
      </w:pPr>
      <w:r w:rsidRPr="00EC002B">
        <w:t>Support for renewable energy is strong – very few people (less than 1%) did not support a shift to renewable energy.</w:t>
      </w:r>
    </w:p>
    <w:p w14:paraId="6512FE48" w14:textId="77777777" w:rsidR="006135B1" w:rsidRPr="00EC002B" w:rsidRDefault="006135B1" w:rsidP="006135B1">
      <w:pPr>
        <w:pStyle w:val="ListNumber"/>
      </w:pPr>
      <w:r w:rsidRPr="00EC002B">
        <w:t>Take a strategic approach and listen to the community – the community was concerned that renewable energy generation projects were not being planned in a systematic way across Victoria, leading to rushed and ad hoc projects, and that community consultation about proposed renewable energy projects was poor.</w:t>
      </w:r>
    </w:p>
    <w:p w14:paraId="24B207F8" w14:textId="77777777" w:rsidR="006135B1" w:rsidRPr="00EC002B" w:rsidRDefault="006135B1" w:rsidP="006135B1">
      <w:pPr>
        <w:pStyle w:val="ListNumber"/>
      </w:pPr>
      <w:r w:rsidRPr="00EC002B">
        <w:t>Share the benefits – it was important that projects created local jobs and an economic boost to local businesses.</w:t>
      </w:r>
    </w:p>
    <w:p w14:paraId="5CE87994" w14:textId="77777777" w:rsidR="006135B1" w:rsidRPr="00EC002B" w:rsidRDefault="006135B1" w:rsidP="006135B1">
      <w:pPr>
        <w:pStyle w:val="ListNumber"/>
      </w:pPr>
      <w:r w:rsidRPr="00EC002B">
        <w:t>Wind and solar are the preferred technologies – these technologies were seen by communities as the most appropriate, given the climatic conditions and advantages.</w:t>
      </w:r>
    </w:p>
    <w:p w14:paraId="5D8CFD5A" w14:textId="77777777" w:rsidR="006135B1" w:rsidRPr="00EC002B" w:rsidRDefault="006135B1" w:rsidP="006135B1">
      <w:pPr>
        <w:pStyle w:val="ListNumber"/>
      </w:pPr>
      <w:r w:rsidRPr="00EC002B">
        <w:t>Cut down the complexities and costs and make it easier – the community felt that the current rules and regulations are highly complex and preventing community involvement and innovation in the renewable energy space.</w:t>
      </w:r>
    </w:p>
    <w:p w14:paraId="04E056B1" w14:textId="77777777" w:rsidR="006135B1" w:rsidRPr="00EC002B" w:rsidRDefault="006135B1" w:rsidP="006135B1">
      <w:pPr>
        <w:pStyle w:val="BodyText"/>
      </w:pPr>
      <w:r w:rsidRPr="00EC002B">
        <w:t xml:space="preserve">Respectful engagement and honest sharing of information has formed a key part of the project’s development for more than ten years. While some of the key themes of the project’s consultation are reflected in those from the Roadmap, community engagement was (and continues to be) carried out in accordance with the Clean Energy Council’s </w:t>
      </w:r>
      <w:r w:rsidRPr="00EC002B">
        <w:rPr>
          <w:i/>
        </w:rPr>
        <w:t>Best Practice Charter for Renewable Energy Developments</w:t>
      </w:r>
      <w:r w:rsidRPr="00EC002B">
        <w:t>.</w:t>
      </w:r>
    </w:p>
    <w:p w14:paraId="2D6A747B" w14:textId="77777777" w:rsidR="006135B1" w:rsidRPr="00EC002B" w:rsidRDefault="006135B1" w:rsidP="006135B1">
      <w:pPr>
        <w:pStyle w:val="Heading4"/>
      </w:pPr>
      <w:r w:rsidRPr="00EC002B">
        <w:t>Moyne Shire Council</w:t>
      </w:r>
    </w:p>
    <w:p w14:paraId="680364A7" w14:textId="0FBD4905" w:rsidR="006135B1" w:rsidRPr="00EC002B" w:rsidRDefault="006135B1" w:rsidP="006135B1">
      <w:pPr>
        <w:pStyle w:val="BodyText"/>
      </w:pPr>
      <w:r w:rsidRPr="00EC002B">
        <w:t xml:space="preserve">Victoria currently has 30 wind farms operating throughout the state, with several others under construction, with planning approval, seeking planning approval or under investigation. The Moyne Shire is home to Victoria’s oldest wind farm, Codrington Wind Farm (near Port Fairy), built in 2001 and still operating today. As of October 2021, the Moyne Shire has seven operating wind farms and a further three with a planning permit. The operating wind farms are Codrington, Yambuck, Mortons Lane, Macarthur, Salt Creek, Dundonnell and Mortlake South. Those wind farms with a planning permit are Ryan Corner, Hawkesdale and Woolsthorpe. </w:t>
      </w:r>
      <w:r w:rsidR="00231687">
        <w:t xml:space="preserve">The proponent of the </w:t>
      </w:r>
      <w:r w:rsidRPr="00EC002B">
        <w:t xml:space="preserve">Mt Fyans Wind Farm </w:t>
      </w:r>
      <w:r w:rsidR="00231687">
        <w:t>has</w:t>
      </w:r>
      <w:r w:rsidRPr="00EC002B">
        <w:t xml:space="preserve"> </w:t>
      </w:r>
      <w:r w:rsidR="00231687">
        <w:t xml:space="preserve">applied for a </w:t>
      </w:r>
      <w:r w:rsidRPr="00EC002B">
        <w:t xml:space="preserve">planning permit. </w:t>
      </w:r>
    </w:p>
    <w:p w14:paraId="65394FEE" w14:textId="77777777" w:rsidR="006135B1" w:rsidRPr="00EC002B" w:rsidRDefault="006135B1" w:rsidP="006135B1">
      <w:pPr>
        <w:pStyle w:val="BodyText"/>
      </w:pPr>
      <w:r w:rsidRPr="00EC002B">
        <w:t>In October 2019, Moyne Shire Council declared a climate emergency. The declaration “commits Council to advocating to state and Federal governments to declare a climate emergency and to drive actions to reduce emissions and the impacts on coastal areas. Moyne Shire Council will also incorporate the declaration in all of its relevant strategies and policies and consider the impact of climate change when planning and decision making” (Moyne Shire Council, 2019a).</w:t>
      </w:r>
    </w:p>
    <w:p w14:paraId="178D7C8D" w14:textId="77777777" w:rsidR="0071779D" w:rsidRDefault="0071779D" w:rsidP="0071779D">
      <w:pPr>
        <w:pStyle w:val="BodyText"/>
      </w:pPr>
      <w:r w:rsidRPr="007320E6">
        <w:t xml:space="preserve">The Moyne Shire’s </w:t>
      </w:r>
      <w:r w:rsidRPr="007320E6">
        <w:rPr>
          <w:i/>
        </w:rPr>
        <w:t>Council Plan 20</w:t>
      </w:r>
      <w:r>
        <w:rPr>
          <w:i/>
        </w:rPr>
        <w:t>21–</w:t>
      </w:r>
      <w:r w:rsidRPr="007320E6">
        <w:rPr>
          <w:i/>
        </w:rPr>
        <w:t>20</w:t>
      </w:r>
      <w:r>
        <w:rPr>
          <w:i/>
        </w:rPr>
        <w:t>25</w:t>
      </w:r>
      <w:r w:rsidRPr="007320E6">
        <w:rPr>
          <w:i/>
        </w:rPr>
        <w:t xml:space="preserve"> </w:t>
      </w:r>
      <w:r>
        <w:t xml:space="preserve">includes strategic objectives relating to renewable energy, including that: </w:t>
      </w:r>
    </w:p>
    <w:p w14:paraId="29EFE2CC" w14:textId="77777777" w:rsidR="0071779D" w:rsidRPr="00D14343" w:rsidRDefault="0071779D" w:rsidP="0071779D">
      <w:pPr>
        <w:pStyle w:val="ListBullet"/>
        <w:contextualSpacing/>
        <w:rPr>
          <w:i/>
          <w:iCs/>
        </w:rPr>
      </w:pPr>
      <w:r w:rsidRPr="0032538D">
        <w:rPr>
          <w:i/>
          <w:iCs/>
        </w:rPr>
        <w:t>”</w:t>
      </w:r>
      <w:r w:rsidRPr="00D14343">
        <w:rPr>
          <w:i/>
          <w:iCs/>
        </w:rPr>
        <w:t>Local communities receive significant benefits from investment and development in renewable energy projects across the Shire</w:t>
      </w:r>
      <w:r>
        <w:t>”, and</w:t>
      </w:r>
    </w:p>
    <w:p w14:paraId="72DC8113" w14:textId="77777777" w:rsidR="0071779D" w:rsidRPr="0032538D" w:rsidRDefault="0071779D" w:rsidP="0071779D">
      <w:pPr>
        <w:pStyle w:val="ListBullet"/>
        <w:contextualSpacing/>
        <w:rPr>
          <w:i/>
          <w:iCs/>
        </w:rPr>
      </w:pPr>
      <w:r>
        <w:rPr>
          <w:i/>
          <w:iCs/>
        </w:rPr>
        <w:t>The scale and size of renewable energy projects considers cumulative social, environmental and economic impacts</w:t>
      </w:r>
      <w:r>
        <w:t>”.</w:t>
      </w:r>
      <w:r w:rsidRPr="0032538D">
        <w:rPr>
          <w:i/>
          <w:iCs/>
        </w:rPr>
        <w:t xml:space="preserve"> </w:t>
      </w:r>
    </w:p>
    <w:p w14:paraId="1050B55C" w14:textId="77777777" w:rsidR="0071779D" w:rsidRPr="007320E6" w:rsidRDefault="0071779D" w:rsidP="0071779D">
      <w:pPr>
        <w:pStyle w:val="BodyText"/>
      </w:pPr>
      <w:r>
        <w:t>The</w:t>
      </w:r>
      <w:r w:rsidRPr="007320E6">
        <w:t xml:space="preserve"> project team has worked with Council via Council’s Major </w:t>
      </w:r>
      <w:r>
        <w:t>P</w:t>
      </w:r>
      <w:r w:rsidRPr="007320E6">
        <w:t xml:space="preserve">rojects team, the EES Technical Reference Group and periodic presentations to councillors. </w:t>
      </w:r>
    </w:p>
    <w:p w14:paraId="4A7670DB" w14:textId="38D7FFBC" w:rsidR="006135B1" w:rsidRPr="00EC002B" w:rsidRDefault="006135B1" w:rsidP="006135B1">
      <w:pPr>
        <w:pStyle w:val="BodyText"/>
      </w:pPr>
      <w:r w:rsidRPr="00EC002B">
        <w:lastRenderedPageBreak/>
        <w:t>On 27 November 2018</w:t>
      </w:r>
      <w:r w:rsidR="00B06A5B">
        <w:t>,</w:t>
      </w:r>
      <w:r w:rsidRPr="00EC002B">
        <w:t xml:space="preserve"> Council resolved to oppose any further wind farm development or new transmission infrastructure within the shire, pending the implementation of the National Wind Farm Commissioner’s 2017 annual report recommendations within Victoria. The key concern raised by Council was around cumulative impacts of wind farms on the community, including social impacts relating to housing availability, noise and visual amenity, and traffic, as well as environmental impacts such as impacts to Brolga and other threatened fauna, native vegetation and threatened flora (Moyne Shire Council</w:t>
      </w:r>
      <w:r w:rsidR="00413CFB">
        <w:t>,</w:t>
      </w:r>
      <w:r w:rsidRPr="00EC002B">
        <w:t xml:space="preserve"> 2021). These concerns have been addressed through the avoidance of impacts where possible, and mitigation and management measures where needed (as contained within the EES and summarised in Chapter 26 – </w:t>
      </w:r>
      <w:r w:rsidRPr="009A70B9">
        <w:rPr>
          <w:i/>
          <w:iCs/>
        </w:rPr>
        <w:t>Environmental management framework</w:t>
      </w:r>
      <w:r w:rsidRPr="00EC002B">
        <w:t>).</w:t>
      </w:r>
      <w:r>
        <w:t xml:space="preserve"> </w:t>
      </w:r>
    </w:p>
    <w:p w14:paraId="3CD45541" w14:textId="77777777" w:rsidR="006135B1" w:rsidRPr="00EC002B" w:rsidRDefault="006135B1" w:rsidP="006135B1">
      <w:pPr>
        <w:pStyle w:val="Heading4"/>
      </w:pPr>
      <w:r w:rsidRPr="00EC002B">
        <w:t>Great South Coast Regional Growth Plan</w:t>
      </w:r>
    </w:p>
    <w:p w14:paraId="38D77455" w14:textId="77777777" w:rsidR="006135B1" w:rsidRPr="00EC002B" w:rsidRDefault="006135B1" w:rsidP="006135B1">
      <w:pPr>
        <w:pStyle w:val="BodyText"/>
      </w:pPr>
      <w:r w:rsidRPr="00EC002B">
        <w:t xml:space="preserve">Regional Growth Plans cover eight regions in Victoria and, together with </w:t>
      </w:r>
      <w:r w:rsidRPr="00EC002B">
        <w:rPr>
          <w:i/>
        </w:rPr>
        <w:t>Plan Melbourne 2017-2050</w:t>
      </w:r>
      <w:r w:rsidRPr="00EC002B">
        <w:t xml:space="preserve">, provide a land use planning framework for Victoria. Of the regional plans, the </w:t>
      </w:r>
      <w:bookmarkStart w:id="45" w:name="_Hlk81144769"/>
      <w:r w:rsidRPr="00EC002B">
        <w:rPr>
          <w:i/>
        </w:rPr>
        <w:t xml:space="preserve">Great South Coast Regional Growth Plan </w:t>
      </w:r>
      <w:bookmarkEnd w:id="45"/>
      <w:r w:rsidRPr="00EC002B">
        <w:t xml:space="preserve">(2014) covers the project site and Moyne Shire, as well as the municipalities of Corangamite, Glenelg, Southern Grampians and Warrnambool. </w:t>
      </w:r>
    </w:p>
    <w:p w14:paraId="3C96B2ED" w14:textId="77777777" w:rsidR="006135B1" w:rsidRPr="00EC002B" w:rsidRDefault="006135B1" w:rsidP="006135B1">
      <w:pPr>
        <w:pStyle w:val="BodyText"/>
      </w:pPr>
      <w:r w:rsidRPr="00EC002B">
        <w:t xml:space="preserve">The </w:t>
      </w:r>
      <w:r w:rsidRPr="00EC002B">
        <w:rPr>
          <w:i/>
        </w:rPr>
        <w:t>Great South Coast Regional Growth Plan</w:t>
      </w:r>
      <w:r w:rsidRPr="00EC002B">
        <w:t xml:space="preserve"> outlines opportunities for growth during the next 30 years, with the vision to “create a thriving, multifaceted and resilient economy, while valuing and managing our natural resources and environment”. A key strategic direction of the Plan is to position the Great South Coast for economic growth, with renewable energy (including wind energy) identified as a major opportunity for the region. Land use policies, strategies and actions outlined in the Plan in relation to alternative energy production (i.e., energy generated from renewable sources and natural gas) include:</w:t>
      </w:r>
    </w:p>
    <w:p w14:paraId="7C5B03F6" w14:textId="50350781" w:rsidR="006135B1" w:rsidRPr="00EC002B" w:rsidRDefault="006135B1" w:rsidP="009A70B9">
      <w:pPr>
        <w:pStyle w:val="ListBullet"/>
        <w:contextualSpacing/>
      </w:pPr>
      <w:r w:rsidRPr="00EC002B">
        <w:t>“</w:t>
      </w:r>
      <w:r w:rsidR="009A70B9">
        <w:t>s</w:t>
      </w:r>
      <w:r w:rsidRPr="00EC002B">
        <w:t>upport the development of energy facilities in appropriate locations where they take advantage of existing infrastructure and provide benefits to the regional community</w:t>
      </w:r>
    </w:p>
    <w:p w14:paraId="4AB3FAB7" w14:textId="215204E7" w:rsidR="006135B1" w:rsidRPr="00EC002B" w:rsidRDefault="009A70B9" w:rsidP="009A70B9">
      <w:pPr>
        <w:pStyle w:val="ListBullet"/>
        <w:contextualSpacing/>
      </w:pPr>
      <w:r>
        <w:t>r</w:t>
      </w:r>
      <w:r w:rsidR="006135B1" w:rsidRPr="00EC002B">
        <w:t>equire the protection and proper maintenance of infrastructure and assets, including local roads, during the development and construction of energy projects</w:t>
      </w:r>
    </w:p>
    <w:p w14:paraId="75A60C2E" w14:textId="0978F484" w:rsidR="006135B1" w:rsidRPr="00EC002B" w:rsidRDefault="009A70B9" w:rsidP="009A70B9">
      <w:pPr>
        <w:pStyle w:val="ListBullet"/>
        <w:contextualSpacing/>
      </w:pPr>
      <w:r>
        <w:t>p</w:t>
      </w:r>
      <w:r w:rsidR="006135B1" w:rsidRPr="00EC002B">
        <w:t>lan for and sustainably manage the cumulative impacts of alternative energy development</w:t>
      </w:r>
    </w:p>
    <w:p w14:paraId="7E2E2869" w14:textId="39043CC4" w:rsidR="006135B1" w:rsidRPr="00EC002B" w:rsidRDefault="009A70B9" w:rsidP="009A70B9">
      <w:pPr>
        <w:pStyle w:val="ListBullet"/>
        <w:contextualSpacing/>
      </w:pPr>
      <w:r>
        <w:t>s</w:t>
      </w:r>
      <w:r w:rsidR="006135B1" w:rsidRPr="00EC002B">
        <w:t>ecure access to key construction material resources in the region, including on-site quarrying”.</w:t>
      </w:r>
    </w:p>
    <w:p w14:paraId="4BD12CF8" w14:textId="77777777" w:rsidR="006135B1" w:rsidRPr="00EC002B" w:rsidRDefault="006135B1" w:rsidP="006135B1">
      <w:pPr>
        <w:pStyle w:val="Heading2"/>
      </w:pPr>
      <w:bookmarkStart w:id="46" w:name="_Ref79563622"/>
      <w:bookmarkStart w:id="47" w:name="_Toc81485619"/>
      <w:bookmarkStart w:id="48" w:name="_Toc104806335"/>
      <w:r w:rsidRPr="00EC002B">
        <w:t>Environmental benefits</w:t>
      </w:r>
      <w:bookmarkEnd w:id="46"/>
      <w:bookmarkEnd w:id="47"/>
      <w:bookmarkEnd w:id="48"/>
    </w:p>
    <w:p w14:paraId="32B7046E" w14:textId="77777777" w:rsidR="006135B1" w:rsidRPr="00EC002B" w:rsidRDefault="006135B1" w:rsidP="006135B1">
      <w:pPr>
        <w:pStyle w:val="BodyText"/>
      </w:pPr>
      <w:r w:rsidRPr="00EC002B">
        <w:t xml:space="preserve">The project would provide several environmental benefits from a global to a local level. </w:t>
      </w:r>
    </w:p>
    <w:p w14:paraId="3231BDBD" w14:textId="36D4F5D5" w:rsidR="006135B1" w:rsidRPr="00EC002B" w:rsidRDefault="006135B1" w:rsidP="006135B1">
      <w:pPr>
        <w:pStyle w:val="BodyText"/>
      </w:pPr>
      <w:r w:rsidRPr="00EC002B">
        <w:t>The project would contribute significantly to the Victorian Renewable Energy Target of 50% by 2030. In 2020, renewable energy sources were already generating more than 26% of Victoria’s electricity (DELWP,</w:t>
      </w:r>
      <w:r w:rsidR="009A70B9">
        <w:t> </w:t>
      </w:r>
      <w:r w:rsidRPr="00EC002B">
        <w:t>2020). During the 2019</w:t>
      </w:r>
      <w:r w:rsidR="009A70B9">
        <w:t>–</w:t>
      </w:r>
      <w:r w:rsidRPr="00EC002B">
        <w:t>2020 financial year, wind generation contributed about 12.2% of Victorian electricity generation by source. If the project’s contribution of more than 1,</w:t>
      </w:r>
      <w:r w:rsidR="00535D7B">
        <w:t>3</w:t>
      </w:r>
      <w:r w:rsidRPr="00EC002B">
        <w:t>00 gigawatt hours was added to the National Electricity Market</w:t>
      </w:r>
      <w:r w:rsidRPr="00EC002B" w:rsidDel="00BE3DFA">
        <w:t xml:space="preserve"> </w:t>
      </w:r>
      <w:r w:rsidRPr="00EC002B">
        <w:t xml:space="preserve">at that time, it would have increased the overall contribution from wind (and therefore renewable sources) by more than 2%. </w:t>
      </w:r>
    </w:p>
    <w:p w14:paraId="3E3F6BE0" w14:textId="77777777" w:rsidR="000C123A" w:rsidRDefault="006135B1" w:rsidP="00037642">
      <w:pPr>
        <w:pStyle w:val="BodyText"/>
      </w:pPr>
      <w:r w:rsidRPr="00EC002B">
        <w:t xml:space="preserve">As more renewable energy generation is added to the grid the emissions intensity of the electricity is reduced. The emissions intensity is the amount (in tonnes) of </w:t>
      </w:r>
      <w:r w:rsidR="007859DF">
        <w:t>carbon dioxide</w:t>
      </w:r>
      <w:r w:rsidR="007859DF" w:rsidRPr="00EC002B">
        <w:t xml:space="preserve"> </w:t>
      </w:r>
      <w:r w:rsidRPr="00EC002B">
        <w:t xml:space="preserve">emitted per megawatt of electricity supplied to the grid from all contributing generators. </w:t>
      </w:r>
      <w:r w:rsidR="009A70B9">
        <w:fldChar w:fldCharType="begin"/>
      </w:r>
      <w:r w:rsidR="009A70B9">
        <w:instrText xml:space="preserve"> REF _Ref84496087 \h </w:instrText>
      </w:r>
      <w:r w:rsidR="009A70B9">
        <w:fldChar w:fldCharType="separate"/>
      </w:r>
    </w:p>
    <w:p w14:paraId="3948C3F7" w14:textId="62F1D06E" w:rsidR="006135B1" w:rsidRDefault="000C123A" w:rsidP="009A70B9">
      <w:pPr>
        <w:pStyle w:val="BodyText"/>
      </w:pPr>
      <w:r>
        <w:t xml:space="preserve">Figure </w:t>
      </w:r>
      <w:r>
        <w:rPr>
          <w:noProof/>
        </w:rPr>
        <w:t>2</w:t>
      </w:r>
      <w:r>
        <w:t>.</w:t>
      </w:r>
      <w:r>
        <w:rPr>
          <w:noProof/>
        </w:rPr>
        <w:t>3</w:t>
      </w:r>
      <w:r w:rsidR="009A70B9">
        <w:fldChar w:fldCharType="end"/>
      </w:r>
      <w:r w:rsidR="006135B1" w:rsidRPr="00EC002B">
        <w:t xml:space="preserve"> shows the emissions and emissions intensity within the National Electricity Market. The emission intensity is the amount of carbon dioxide emitted per megawatt generated and the graph indicates that, since 2015 in Australia, electricity has increasingly been supplied by renewable energy sources.</w:t>
      </w:r>
    </w:p>
    <w:p w14:paraId="10855823" w14:textId="77777777" w:rsidR="00037642" w:rsidRDefault="00037642" w:rsidP="00037642">
      <w:pPr>
        <w:pStyle w:val="BodyText"/>
      </w:pPr>
      <w:r>
        <w:rPr>
          <w:noProof/>
        </w:rPr>
        <w:lastRenderedPageBreak/>
        <w:drawing>
          <wp:inline distT="0" distB="0" distL="0" distR="0" wp14:anchorId="0C378310" wp14:editId="4C14D365">
            <wp:extent cx="5759450" cy="2814955"/>
            <wp:effectExtent l="0" t="0" r="0" b="4445"/>
            <wp:docPr id="4" name="Picture 4" descr="Graph of the quarterly emissions, on the left y-axis, and emissions intensity, on the right y-axis, within the National Electricity Market from 2011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 of the quarterly emissions, on the left y-axis, and emissions intensity, on the right y-axis, within the National Electricity Market from 2011 to 20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2814955"/>
                    </a:xfrm>
                    <a:prstGeom prst="rect">
                      <a:avLst/>
                    </a:prstGeom>
                  </pic:spPr>
                </pic:pic>
              </a:graphicData>
            </a:graphic>
          </wp:inline>
        </w:drawing>
      </w:r>
      <w:bookmarkStart w:id="49" w:name="ReturnHere"/>
      <w:bookmarkStart w:id="50" w:name="_Ref84496087"/>
      <w:bookmarkEnd w:id="49"/>
    </w:p>
    <w:p w14:paraId="496B85D2" w14:textId="20921AE4" w:rsidR="009A70B9" w:rsidRDefault="009A70B9" w:rsidP="009A70B9">
      <w:pPr>
        <w:pStyle w:val="Caption"/>
      </w:pPr>
      <w:bookmarkStart w:id="51" w:name="_Toc104806302"/>
      <w:r>
        <w:t xml:space="preserve">Figure </w:t>
      </w:r>
      <w:fldSimple w:instr=" STYLEREF 1 \s ">
        <w:r w:rsidR="000C123A">
          <w:rPr>
            <w:noProof/>
          </w:rPr>
          <w:t>2</w:t>
        </w:r>
      </w:fldSimple>
      <w:r w:rsidR="000C123A">
        <w:t>.</w:t>
      </w:r>
      <w:fldSimple w:instr=" SEQ Figure \* ARABIC \s 1 ">
        <w:r w:rsidR="000C123A">
          <w:rPr>
            <w:noProof/>
          </w:rPr>
          <w:t>3</w:t>
        </w:r>
      </w:fldSimple>
      <w:bookmarkEnd w:id="50"/>
      <w:r>
        <w:tab/>
      </w:r>
      <w:r w:rsidRPr="009A70B9">
        <w:t>Quarterly National Electricity Market emissions and emissions intensity (Q4s) (</w:t>
      </w:r>
      <w:r w:rsidR="0075066E">
        <w:t xml:space="preserve">source: </w:t>
      </w:r>
      <w:r w:rsidRPr="009A70B9">
        <w:t xml:space="preserve">Australian Energy </w:t>
      </w:r>
      <w:r w:rsidR="0075066E">
        <w:t>Market Operator, 2021</w:t>
      </w:r>
      <w:r w:rsidRPr="009A70B9">
        <w:t>)</w:t>
      </w:r>
      <w:bookmarkEnd w:id="51"/>
    </w:p>
    <w:p w14:paraId="13AC3FDB" w14:textId="2AB213B9" w:rsidR="006135B1" w:rsidRPr="00EC002B" w:rsidRDefault="006135B1" w:rsidP="006135B1">
      <w:pPr>
        <w:pStyle w:val="BodyText"/>
      </w:pPr>
      <w:r w:rsidRPr="00EC002B">
        <w:t>The key environmental benefit of the project would be contributing to a reduction of emissions intensity of electricity within the National Electricity Market. With a contribution of at least 1,</w:t>
      </w:r>
      <w:r w:rsidR="00C40871">
        <w:t>3</w:t>
      </w:r>
      <w:r w:rsidRPr="00EC002B">
        <w:t xml:space="preserve">00 gigawatt hours of electricity to the National Electricity Market, that is enough to power </w:t>
      </w:r>
      <w:r w:rsidR="00555794">
        <w:t>more than 2</w:t>
      </w:r>
      <w:r w:rsidRPr="00EC002B">
        <w:t>00,000 homes with renewable energy. If the projec</w:t>
      </w:r>
      <w:r w:rsidRPr="00C40871">
        <w:t xml:space="preserve">t were to directly replace the brown coal generation, this would equate to savings of around </w:t>
      </w:r>
      <w:r w:rsidR="00907185" w:rsidRPr="00C40871">
        <w:t>1</w:t>
      </w:r>
      <w:r w:rsidRPr="00C40871">
        <w:t>.</w:t>
      </w:r>
      <w:r w:rsidR="00907185" w:rsidRPr="00C40871">
        <w:t>3</w:t>
      </w:r>
      <w:r w:rsidRPr="00C40871">
        <w:t xml:space="preserve"> million tonnes of carbon dioxide equivalent annu</w:t>
      </w:r>
      <w:r w:rsidRPr="00EC002B">
        <w:t xml:space="preserve">ally. </w:t>
      </w:r>
    </w:p>
    <w:p w14:paraId="521A7466" w14:textId="77777777" w:rsidR="006135B1" w:rsidRPr="00EC002B" w:rsidRDefault="006135B1" w:rsidP="006135B1">
      <w:pPr>
        <w:pStyle w:val="BodyText"/>
      </w:pPr>
      <w:r w:rsidRPr="00EC002B">
        <w:t>Australia has one of the highest per capita emissions of carbon dioxide in the world, and our population of more than 25 million people is contributing significantly to human-induced climate change on a per capita basis. Australia ranks higher than other large democracies for emissions, including the United States, Canada and South Korea (Data Commons, August 2021). Australia is also highly exposed to the impacts of climate change, providing a particular imperative that action is taken to reduce carbon emissions as soon as possible (CSIRO, 2020).</w:t>
      </w:r>
    </w:p>
    <w:p w14:paraId="5BF03D9A" w14:textId="77777777" w:rsidR="006135B1" w:rsidRPr="00EC002B" w:rsidRDefault="006135B1" w:rsidP="006135B1">
      <w:pPr>
        <w:pStyle w:val="Heading2"/>
      </w:pPr>
      <w:bookmarkStart w:id="52" w:name="_Toc68099231"/>
      <w:bookmarkStart w:id="53" w:name="_Toc81485620"/>
      <w:bookmarkStart w:id="54" w:name="_Toc104806336"/>
      <w:bookmarkEnd w:id="52"/>
      <w:r w:rsidRPr="00EC002B">
        <w:t>Economic benefits</w:t>
      </w:r>
      <w:bookmarkEnd w:id="53"/>
      <w:bookmarkEnd w:id="54"/>
    </w:p>
    <w:p w14:paraId="2A7820E7" w14:textId="02598DB2" w:rsidR="006135B1" w:rsidRPr="00EC002B" w:rsidRDefault="006135B1" w:rsidP="006135B1">
      <w:pPr>
        <w:pStyle w:val="BodyText"/>
      </w:pPr>
      <w:r w:rsidRPr="00EC002B">
        <w:t xml:space="preserve">The main drivers for developing wind energy projects may be environmental, but there are also significant economic drivers. The relative cost of wind energy continues to fall and is predicted to fall further into the future. The </w:t>
      </w:r>
      <w:r w:rsidR="00B06A5B">
        <w:t>key</w:t>
      </w:r>
      <w:r w:rsidRPr="00EC002B">
        <w:t xml:space="preserve"> contributors to this fall in cost are:</w:t>
      </w:r>
    </w:p>
    <w:p w14:paraId="5D92FD3B" w14:textId="77777777" w:rsidR="006135B1" w:rsidRPr="00EC002B" w:rsidRDefault="006135B1" w:rsidP="009A70B9">
      <w:pPr>
        <w:pStyle w:val="ListBullet"/>
        <w:contextualSpacing/>
      </w:pPr>
      <w:r w:rsidRPr="00EC002B">
        <w:t>improvements in wind turbine, energy storage and electricity grid technologies</w:t>
      </w:r>
    </w:p>
    <w:p w14:paraId="6B09ACED" w14:textId="25771787" w:rsidR="006135B1" w:rsidRPr="00EC002B" w:rsidRDefault="00977F8D" w:rsidP="009A70B9">
      <w:pPr>
        <w:pStyle w:val="ListBullet"/>
        <w:contextualSpacing/>
      </w:pPr>
      <w:r>
        <w:t>higher costs to produce energy from fossil fuels</w:t>
      </w:r>
    </w:p>
    <w:p w14:paraId="6D3C00E6" w14:textId="77777777" w:rsidR="006135B1" w:rsidRPr="00EC002B" w:rsidRDefault="006135B1" w:rsidP="009A70B9">
      <w:pPr>
        <w:pStyle w:val="ListBullet"/>
        <w:contextualSpacing/>
      </w:pPr>
      <w:r w:rsidRPr="00EC002B">
        <w:t>policy certainty, particularly at the state level, that create a more stable market for wind energy technology</w:t>
      </w:r>
    </w:p>
    <w:p w14:paraId="31FB5AB0" w14:textId="77777777" w:rsidR="006135B1" w:rsidRPr="00EC002B" w:rsidRDefault="006135B1" w:rsidP="009A70B9">
      <w:pPr>
        <w:pStyle w:val="ListBullet"/>
        <w:contextualSpacing/>
      </w:pPr>
      <w:r w:rsidRPr="00EC002B">
        <w:t>a growing and increasingly skilled local workforce.</w:t>
      </w:r>
    </w:p>
    <w:p w14:paraId="12D2D168" w14:textId="77777777" w:rsidR="006135B1" w:rsidRPr="00EC002B" w:rsidRDefault="006135B1" w:rsidP="006135B1">
      <w:pPr>
        <w:pStyle w:val="Heading3"/>
      </w:pPr>
      <w:bookmarkStart w:id="55" w:name="_Toc104806337"/>
      <w:r w:rsidRPr="00EC002B">
        <w:t>Electricity costs</w:t>
      </w:r>
      <w:bookmarkEnd w:id="55"/>
    </w:p>
    <w:p w14:paraId="3CB8307D" w14:textId="77777777" w:rsidR="006135B1" w:rsidRPr="00EC002B" w:rsidRDefault="006135B1" w:rsidP="006135B1">
      <w:pPr>
        <w:pStyle w:val="BodyText"/>
      </w:pPr>
      <w:r w:rsidRPr="00EC002B">
        <w:t xml:space="preserve">The CSIRO </w:t>
      </w:r>
      <w:r w:rsidRPr="00EC002B">
        <w:rPr>
          <w:i/>
        </w:rPr>
        <w:t>GenCost 2020-21 consultation draft</w:t>
      </w:r>
      <w:r w:rsidRPr="00EC002B">
        <w:t xml:space="preserve"> report (Graham et at. 2020) stated that:</w:t>
      </w:r>
    </w:p>
    <w:p w14:paraId="0128FD9C" w14:textId="77777777" w:rsidR="006135B1" w:rsidRPr="009A70B9" w:rsidRDefault="006135B1" w:rsidP="009A70B9">
      <w:pPr>
        <w:pStyle w:val="BodyText"/>
        <w:ind w:left="720"/>
        <w:rPr>
          <w:i/>
          <w:iCs/>
        </w:rPr>
      </w:pPr>
      <w:r w:rsidRPr="009A70B9">
        <w:rPr>
          <w:i/>
          <w:iCs/>
        </w:rPr>
        <w:t>“Variable renewables (wind and solar PV [photovoltaic]) without transmission or storage costs are the lowest cost generation technology by a significant margin. From 2030, the new estimates on additional costs associated with increasing variable renewable generation confirms that they are also competitive when transmission and storage costs are included up to any relevant VRE [Variable Renewable Energy] share”.</w:t>
      </w:r>
    </w:p>
    <w:p w14:paraId="1C96071E" w14:textId="77777777" w:rsidR="006135B1" w:rsidRPr="00EC002B" w:rsidRDefault="006135B1" w:rsidP="006135B1">
      <w:pPr>
        <w:pStyle w:val="BodyText"/>
      </w:pPr>
      <w:r w:rsidRPr="00EC002B">
        <w:t>The Australian Energy Market Commission (2020) stated that “Wholesale costs are expected to go down by 37.2 per cent (or $197) over the reporting period [1 July 2020 to 30 June 2022]. This is driven by increases in generation capacity, particularly wind farms”.</w:t>
      </w:r>
    </w:p>
    <w:p w14:paraId="429BBB47" w14:textId="77777777" w:rsidR="006135B1" w:rsidRPr="00EC002B" w:rsidRDefault="006135B1" w:rsidP="006135B1">
      <w:pPr>
        <w:pStyle w:val="Heading3"/>
      </w:pPr>
      <w:bookmarkStart w:id="56" w:name="_Toc104806338"/>
      <w:r w:rsidRPr="00EC002B">
        <w:lastRenderedPageBreak/>
        <w:t>Investment in the wind sector</w:t>
      </w:r>
      <w:bookmarkEnd w:id="56"/>
    </w:p>
    <w:p w14:paraId="6B6C6CAB" w14:textId="77777777" w:rsidR="006135B1" w:rsidRPr="00EC002B" w:rsidRDefault="006135B1" w:rsidP="006135B1">
      <w:pPr>
        <w:pStyle w:val="BodyText"/>
      </w:pPr>
      <w:r w:rsidRPr="00EC002B">
        <w:t xml:space="preserve">The Clean Energy Council’s </w:t>
      </w:r>
      <w:r w:rsidRPr="00EC002B">
        <w:rPr>
          <w:i/>
        </w:rPr>
        <w:t>Clean Energy Australia Report 2021</w:t>
      </w:r>
      <w:r w:rsidRPr="00EC002B">
        <w:t xml:space="preserve"> reported the total investment amount for large-scale renewable energy projects under construction or financially committed in Victoria was $5 billion.</w:t>
      </w:r>
    </w:p>
    <w:p w14:paraId="3991C46C" w14:textId="769DA724" w:rsidR="006135B1" w:rsidRPr="00EC002B" w:rsidRDefault="006135B1" w:rsidP="006135B1">
      <w:pPr>
        <w:pStyle w:val="BodyText"/>
      </w:pPr>
      <w:r w:rsidRPr="00EC002B">
        <w:t xml:space="preserve">The Moyne Shire </w:t>
      </w:r>
      <w:r w:rsidRPr="00EC002B">
        <w:rPr>
          <w:i/>
        </w:rPr>
        <w:t xml:space="preserve">Annual Report 2019-2020 </w:t>
      </w:r>
      <w:r w:rsidR="00413CFB">
        <w:rPr>
          <w:iCs/>
        </w:rPr>
        <w:t xml:space="preserve">(Moyne Shire Council, 2019b) </w:t>
      </w:r>
      <w:r w:rsidRPr="00EC002B">
        <w:t>reported that renewable energy projects worth an estimated $7 billion are in various stages of planning and development across the shire. This includes projects that are not yet financially committed, such as the Willatook Wind Farm project.</w:t>
      </w:r>
    </w:p>
    <w:p w14:paraId="28293715" w14:textId="77777777" w:rsidR="006135B1" w:rsidRPr="00EC002B" w:rsidRDefault="006135B1" w:rsidP="006135B1">
      <w:pPr>
        <w:pStyle w:val="BodyText"/>
      </w:pPr>
      <w:r w:rsidRPr="00EC002B">
        <w:t>It is clear from the growth in installed wind farm generation capacity in Australia that investment has been increasing. Greater energy policy certainty at the state level and estimated closure dates for some of Australia’s biggest coal-fired power stations is fuelling the investment in the renewables sector.</w:t>
      </w:r>
    </w:p>
    <w:p w14:paraId="5032DDEB" w14:textId="77777777" w:rsidR="006135B1" w:rsidRPr="00EC002B" w:rsidRDefault="006135B1" w:rsidP="006135B1">
      <w:pPr>
        <w:pStyle w:val="Heading3"/>
      </w:pPr>
      <w:bookmarkStart w:id="57" w:name="_Toc104806339"/>
      <w:r w:rsidRPr="00EC002B">
        <w:t>Employment and economic stimulus</w:t>
      </w:r>
      <w:bookmarkEnd w:id="57"/>
    </w:p>
    <w:p w14:paraId="4A78708A" w14:textId="77777777" w:rsidR="006135B1" w:rsidRPr="00EC002B" w:rsidRDefault="006135B1" w:rsidP="006135B1">
      <w:pPr>
        <w:pStyle w:val="BodyText"/>
      </w:pPr>
      <w:r w:rsidRPr="00EC002B">
        <w:t xml:space="preserve">The Clean Energy Council’s </w:t>
      </w:r>
      <w:r w:rsidRPr="00EC002B">
        <w:rPr>
          <w:i/>
        </w:rPr>
        <w:t>Clean Energy Australia Report 2021</w:t>
      </w:r>
      <w:r w:rsidRPr="00EC002B">
        <w:t xml:space="preserve"> reported the wind energy in Australia directly employs 7,200 people.</w:t>
      </w:r>
    </w:p>
    <w:p w14:paraId="098234C1" w14:textId="5CAFBE6E" w:rsidR="006135B1" w:rsidRPr="00EC002B" w:rsidRDefault="006135B1" w:rsidP="006135B1">
      <w:pPr>
        <w:pStyle w:val="BodyText"/>
      </w:pPr>
      <w:r w:rsidRPr="00EC002B">
        <w:t xml:space="preserve">The project would support the local and regional economy by providing around </w:t>
      </w:r>
      <w:r w:rsidR="008B14E3" w:rsidRPr="00EC002B">
        <w:t>1</w:t>
      </w:r>
      <w:r w:rsidR="008B14E3">
        <w:t>80</w:t>
      </w:r>
      <w:r w:rsidR="008B14E3" w:rsidRPr="00EC002B">
        <w:t xml:space="preserve"> </w:t>
      </w:r>
      <w:r w:rsidRPr="00EC002B">
        <w:t xml:space="preserve">direct full time equivalent jobs during construction and an additional </w:t>
      </w:r>
      <w:r w:rsidR="00393453">
        <w:t>290</w:t>
      </w:r>
      <w:r w:rsidRPr="00EC002B">
        <w:t xml:space="preserve"> indirect full time equivalent jobs through supply chains and local service industries. Around 1</w:t>
      </w:r>
      <w:r w:rsidR="00393453">
        <w:t>2</w:t>
      </w:r>
      <w:r w:rsidRPr="00EC002B">
        <w:t xml:space="preserve"> ongoing full time equivalent maintenance jobs and </w:t>
      </w:r>
      <w:r w:rsidR="00393453" w:rsidRPr="007F5572">
        <w:t>35</w:t>
      </w:r>
      <w:r w:rsidRPr="00EC002B">
        <w:t xml:space="preserve"> indirect full time equivalent jobs would also be created throughout the operation of the wind farm. </w:t>
      </w:r>
    </w:p>
    <w:p w14:paraId="632E82B0" w14:textId="77777777" w:rsidR="006135B1" w:rsidRPr="00EC002B" w:rsidRDefault="006135B1" w:rsidP="006135B1">
      <w:pPr>
        <w:pStyle w:val="BodyText"/>
      </w:pPr>
      <w:r w:rsidRPr="00EC002B">
        <w:t xml:space="preserve">The project would also upgrade several roads to provide access for the oversized project infrastructure components such as wind turbine blades and tower sections. These upgrades would also improve the road conditions for local road users in the longer term. </w:t>
      </w:r>
    </w:p>
    <w:p w14:paraId="0A588B15" w14:textId="77777777" w:rsidR="006135B1" w:rsidRPr="00EC002B" w:rsidRDefault="006135B1" w:rsidP="006135B1">
      <w:pPr>
        <w:pStyle w:val="BodyText"/>
      </w:pPr>
      <w:r w:rsidRPr="00EC002B">
        <w:t>The project is predicted to generate considerable economic benefits during its 25-year life, including:</w:t>
      </w:r>
    </w:p>
    <w:p w14:paraId="01DC62C0" w14:textId="5AA11C1B" w:rsidR="006135B1" w:rsidRPr="00EC002B" w:rsidRDefault="006135B1" w:rsidP="009A70B9">
      <w:pPr>
        <w:pStyle w:val="ListBullet"/>
        <w:contextualSpacing/>
      </w:pPr>
      <w:r w:rsidRPr="00EC002B">
        <w:t>capital expenditure of approximately $</w:t>
      </w:r>
      <w:r w:rsidR="00393453">
        <w:t>800</w:t>
      </w:r>
      <w:r w:rsidR="00393453" w:rsidRPr="00EC002B">
        <w:t xml:space="preserve"> </w:t>
      </w:r>
      <w:r w:rsidRPr="00EC002B">
        <w:t>million</w:t>
      </w:r>
    </w:p>
    <w:p w14:paraId="7EC5031D" w14:textId="3A9E3084" w:rsidR="006135B1" w:rsidRPr="00EC002B" w:rsidRDefault="006135B1" w:rsidP="009A70B9">
      <w:pPr>
        <w:pStyle w:val="ListBullet"/>
        <w:contextualSpacing/>
      </w:pPr>
      <w:r w:rsidRPr="00EC002B">
        <w:t>total rates to the Moyne Shire of more approximately $</w:t>
      </w:r>
      <w:r w:rsidR="00C61963">
        <w:t>550</w:t>
      </w:r>
      <w:r w:rsidRPr="007F5572">
        <w:t>,000</w:t>
      </w:r>
      <w:r w:rsidRPr="00EC002B">
        <w:t xml:space="preserve"> each year during the project’s operational life </w:t>
      </w:r>
    </w:p>
    <w:p w14:paraId="6737FE42" w14:textId="3981806C" w:rsidR="00284E69" w:rsidRDefault="006135B1" w:rsidP="009A70B9">
      <w:pPr>
        <w:pStyle w:val="ListBullet"/>
        <w:contextualSpacing/>
      </w:pPr>
      <w:r w:rsidRPr="00EC002B">
        <w:t xml:space="preserve">ongoing economic stimulus of approximately </w:t>
      </w:r>
      <w:r w:rsidRPr="007F5572">
        <w:t>$</w:t>
      </w:r>
      <w:r w:rsidR="00F85D1D">
        <w:t>158.4</w:t>
      </w:r>
      <w:r w:rsidRPr="00EC002B">
        <w:t xml:space="preserve"> million</w:t>
      </w:r>
      <w:r w:rsidR="00F85D1D">
        <w:t xml:space="preserve"> over 25 years</w:t>
      </w:r>
      <w:r w:rsidRPr="00EC002B">
        <w:t xml:space="preserve"> associated with the operation of the wind farm via financial returns to Moyne Shire, host landowners, neighbour benefit program payments and local wages</w:t>
      </w:r>
    </w:p>
    <w:p w14:paraId="6715658C" w14:textId="55FFC369" w:rsidR="006135B1" w:rsidRPr="00EC002B" w:rsidRDefault="00284E69" w:rsidP="009A70B9">
      <w:pPr>
        <w:pStyle w:val="ListBullet"/>
        <w:contextualSpacing/>
      </w:pPr>
      <w:r>
        <w:t>the inclusion of local and regional content requirements into key project contracts to maximise employment opportunities in the Moyne Shire and surrounding areas</w:t>
      </w:r>
      <w:r w:rsidR="006135B1" w:rsidRPr="00EC002B">
        <w:t>.</w:t>
      </w:r>
    </w:p>
    <w:p w14:paraId="3AE59FED" w14:textId="6BCD6D79" w:rsidR="006135B1" w:rsidRPr="00EC002B" w:rsidRDefault="006135B1" w:rsidP="009A70B9">
      <w:pPr>
        <w:pStyle w:val="BodyText"/>
      </w:pPr>
      <w:r w:rsidRPr="00EC002B">
        <w:t xml:space="preserve">Further details about the economic benefits can be found in Chapter 17 – </w:t>
      </w:r>
      <w:r w:rsidRPr="009A70B9">
        <w:rPr>
          <w:i/>
          <w:iCs/>
        </w:rPr>
        <w:t>Social</w:t>
      </w:r>
      <w:r w:rsidR="009A70B9" w:rsidRPr="009A70B9">
        <w:rPr>
          <w:i/>
          <w:iCs/>
        </w:rPr>
        <w:t>-</w:t>
      </w:r>
      <w:r w:rsidRPr="009A70B9">
        <w:rPr>
          <w:i/>
          <w:iCs/>
        </w:rPr>
        <w:t>economic</w:t>
      </w:r>
      <w:r w:rsidRPr="00EC002B">
        <w:t>.</w:t>
      </w:r>
    </w:p>
    <w:p w14:paraId="16350870" w14:textId="77777777" w:rsidR="006135B1" w:rsidRPr="00EC002B" w:rsidRDefault="006135B1" w:rsidP="006135B1">
      <w:pPr>
        <w:pStyle w:val="Heading3"/>
      </w:pPr>
      <w:bookmarkStart w:id="58" w:name="_Toc104806340"/>
      <w:r w:rsidRPr="00EC002B">
        <w:t>Neighbour Benefit Sharing Program</w:t>
      </w:r>
      <w:bookmarkEnd w:id="58"/>
    </w:p>
    <w:p w14:paraId="0B917327" w14:textId="00B668B2" w:rsidR="006135B1" w:rsidRPr="00EC002B" w:rsidRDefault="006135B1" w:rsidP="006E72D2">
      <w:pPr>
        <w:pStyle w:val="BodyText"/>
      </w:pPr>
      <w:r w:rsidRPr="00C40871">
        <w:t>The project’s Neighbour Benefit Sharing Program has been developed in consultation with the local</w:t>
      </w:r>
      <w:r w:rsidRPr="00EC002B">
        <w:t xml:space="preserve"> community and draws upon recommendations from the Australian Energy Infrastructure Commissioner’s annual reports</w:t>
      </w:r>
      <w:r w:rsidR="006E72D2">
        <w:t>,</w:t>
      </w:r>
      <w:r w:rsidRPr="00EC002B">
        <w:t xml:space="preserve"> the Clean Energy Council’s (2019) </w:t>
      </w:r>
      <w:r w:rsidRPr="00EC002B">
        <w:rPr>
          <w:i/>
        </w:rPr>
        <w:t>A guide to benefit sharing options for renewable energy projects</w:t>
      </w:r>
      <w:r w:rsidR="006E72D2">
        <w:rPr>
          <w:i/>
        </w:rPr>
        <w:t xml:space="preserve">, </w:t>
      </w:r>
      <w:r w:rsidR="006E72D2" w:rsidRPr="00C40871">
        <w:rPr>
          <w:iCs/>
        </w:rPr>
        <w:t>and</w:t>
      </w:r>
      <w:r w:rsidR="006E72D2">
        <w:rPr>
          <w:i/>
        </w:rPr>
        <w:t xml:space="preserve"> </w:t>
      </w:r>
      <w:r w:rsidR="006E72D2">
        <w:t xml:space="preserve">the Department of Environment, Land, Water and Planning’s </w:t>
      </w:r>
      <w:r w:rsidR="006E72D2" w:rsidRPr="00C40871">
        <w:rPr>
          <w:i/>
          <w:iCs/>
        </w:rPr>
        <w:t>Community Engagement and Benefit Sharing in Renewable Energy Development in Victoria - A guide for renewable energy developers</w:t>
      </w:r>
      <w:r w:rsidR="00384506">
        <w:t xml:space="preserve"> (DELWP, 2021d)</w:t>
      </w:r>
      <w:r w:rsidRPr="00EC002B">
        <w:t>.</w:t>
      </w:r>
    </w:p>
    <w:p w14:paraId="65FB5710" w14:textId="487C308E" w:rsidR="006135B1" w:rsidRDefault="006135B1" w:rsidP="009A70B9">
      <w:pPr>
        <w:pStyle w:val="BodyText"/>
      </w:pPr>
      <w:r w:rsidRPr="00EC002B">
        <w:t>The total value of the Neighbour Benefit Sharing Program</w:t>
      </w:r>
      <w:r w:rsidRPr="00EC002B" w:rsidDel="0018069C">
        <w:t xml:space="preserve"> </w:t>
      </w:r>
      <w:r w:rsidRPr="00EC002B">
        <w:t>is dependent on the number and location of constructed wind turbines; however, the current estimate of total value of the program is around $</w:t>
      </w:r>
      <w:r w:rsidR="00F85D1D">
        <w:t>9</w:t>
      </w:r>
      <w:r w:rsidR="00C40871" w:rsidRPr="006F1A1A">
        <w:t>00,000</w:t>
      </w:r>
      <w:r w:rsidR="000C123A">
        <w:t> </w:t>
      </w:r>
      <w:r w:rsidRPr="00EC002B">
        <w:t>per year for the life of the project. The injection of this money into the local economy is expected to benefit the region.</w:t>
      </w:r>
    </w:p>
    <w:p w14:paraId="04CFE205" w14:textId="47DAC0C8" w:rsidR="005C4D6C" w:rsidRDefault="002D1636" w:rsidP="006F1A1A">
      <w:pPr>
        <w:pStyle w:val="BodyText"/>
      </w:pPr>
      <w:r>
        <w:t xml:space="preserve">The proposed Neighbour Benefit Sharing Program was communicated to project stakeholders </w:t>
      </w:r>
      <w:r w:rsidR="00D67BBD">
        <w:t xml:space="preserve">in November-December 2020 </w:t>
      </w:r>
      <w:r>
        <w:t xml:space="preserve">via a </w:t>
      </w:r>
      <w:r w:rsidR="00C46195">
        <w:t>flyer (Attachment V)</w:t>
      </w:r>
      <w:r>
        <w:t>, and via the project website</w:t>
      </w:r>
      <w:r w:rsidR="00C01429">
        <w:t>.</w:t>
      </w:r>
      <w:r>
        <w:t xml:space="preserve"> </w:t>
      </w:r>
      <w:r w:rsidR="005C4D6C">
        <w:t>A summary of the program, including an example of the Neighbour Benefit Program payment calculation, is illustrated in</w:t>
      </w:r>
      <w:r w:rsidR="000C123A">
        <w:t xml:space="preserve"> </w:t>
      </w:r>
      <w:r w:rsidR="000C123A">
        <w:fldChar w:fldCharType="begin"/>
      </w:r>
      <w:r w:rsidR="000C123A">
        <w:instrText xml:space="preserve"> REF _Ref104806110 \h </w:instrText>
      </w:r>
      <w:r w:rsidR="000C123A">
        <w:fldChar w:fldCharType="separate"/>
      </w:r>
      <w:r w:rsidR="000C123A">
        <w:t xml:space="preserve">Figure </w:t>
      </w:r>
      <w:r w:rsidR="000C123A">
        <w:rPr>
          <w:noProof/>
        </w:rPr>
        <w:t>2</w:t>
      </w:r>
      <w:r w:rsidR="000C123A">
        <w:t>.</w:t>
      </w:r>
      <w:r w:rsidR="000C123A">
        <w:rPr>
          <w:noProof/>
        </w:rPr>
        <w:t>4</w:t>
      </w:r>
      <w:r w:rsidR="000C123A">
        <w:fldChar w:fldCharType="end"/>
      </w:r>
      <w:r w:rsidR="00C01429">
        <w:t xml:space="preserve">. </w:t>
      </w:r>
    </w:p>
    <w:p w14:paraId="758F5C34" w14:textId="77777777" w:rsidR="007F54D0" w:rsidRDefault="007F54D0" w:rsidP="007F54D0">
      <w:pPr>
        <w:pStyle w:val="BodyText"/>
      </w:pPr>
      <w:r>
        <w:rPr>
          <w:noProof/>
        </w:rPr>
        <w:lastRenderedPageBreak/>
        <w:drawing>
          <wp:inline distT="0" distB="0" distL="0" distR="0" wp14:anchorId="1355CAC1" wp14:editId="2E1D94FF">
            <wp:extent cx="5759450" cy="3263265"/>
            <wp:effectExtent l="0" t="0" r="0" b="0"/>
            <wp:docPr id="7" name="Picture 7" descr="Graphic providing a summary of the Neighbour Benefit Sharing Program for neighbours within 6 kilometres of a constructed wind 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 providing a summary of the Neighbour Benefit Sharing Program for neighbours within 6 kilometres of a constructed wind turbine"/>
                    <pic:cNvPicPr/>
                  </pic:nvPicPr>
                  <pic:blipFill>
                    <a:blip r:embed="rId14"/>
                    <a:stretch>
                      <a:fillRect/>
                    </a:stretch>
                  </pic:blipFill>
                  <pic:spPr>
                    <a:xfrm>
                      <a:off x="0" y="0"/>
                      <a:ext cx="5759450" cy="3263265"/>
                    </a:xfrm>
                    <a:prstGeom prst="rect">
                      <a:avLst/>
                    </a:prstGeom>
                  </pic:spPr>
                </pic:pic>
              </a:graphicData>
            </a:graphic>
          </wp:inline>
        </w:drawing>
      </w:r>
      <w:bookmarkStart w:id="59" w:name="_Ref99971488"/>
      <w:bookmarkStart w:id="60" w:name="_Ref99971734"/>
      <w:bookmarkStart w:id="61" w:name="_Ref99971683"/>
    </w:p>
    <w:p w14:paraId="7220040E" w14:textId="6B8AD95D" w:rsidR="00BD5B48" w:rsidRPr="00BD5B48" w:rsidRDefault="00BD5B48" w:rsidP="00BD5B48">
      <w:pPr>
        <w:pStyle w:val="Caption"/>
      </w:pPr>
      <w:bookmarkStart w:id="62" w:name="_Ref104806110"/>
      <w:bookmarkStart w:id="63" w:name="_Toc104806303"/>
      <w:r>
        <w:t>Figure</w:t>
      </w:r>
      <w:bookmarkEnd w:id="59"/>
      <w:r>
        <w:t xml:space="preserve"> </w:t>
      </w:r>
      <w:fldSimple w:instr=" STYLEREF 1 \s ">
        <w:r w:rsidR="000C123A">
          <w:rPr>
            <w:noProof/>
          </w:rPr>
          <w:t>2</w:t>
        </w:r>
      </w:fldSimple>
      <w:r w:rsidR="000C123A">
        <w:t>.</w:t>
      </w:r>
      <w:fldSimple w:instr=" SEQ Figure \* ARABIC \s 1 ">
        <w:r w:rsidR="000C123A">
          <w:rPr>
            <w:noProof/>
          </w:rPr>
          <w:t>4</w:t>
        </w:r>
      </w:fldSimple>
      <w:bookmarkEnd w:id="60"/>
      <w:bookmarkEnd w:id="62"/>
      <w:r>
        <w:tab/>
        <w:t>Neighbour Benefit Sharing Program summary</w:t>
      </w:r>
      <w:bookmarkEnd w:id="61"/>
      <w:bookmarkEnd w:id="63"/>
    </w:p>
    <w:p w14:paraId="4081A8F9" w14:textId="1FFA715D" w:rsidR="006135B1" w:rsidRPr="00EC002B" w:rsidRDefault="006135B1" w:rsidP="006135B1">
      <w:pPr>
        <w:pStyle w:val="Heading2"/>
      </w:pPr>
      <w:bookmarkStart w:id="64" w:name="_Toc68099233"/>
      <w:bookmarkStart w:id="65" w:name="_Toc68099235"/>
      <w:bookmarkStart w:id="66" w:name="_Toc68099238"/>
      <w:bookmarkStart w:id="67" w:name="_Toc68099239"/>
      <w:bookmarkStart w:id="68" w:name="_Toc68099240"/>
      <w:bookmarkStart w:id="69" w:name="_Toc68099241"/>
      <w:bookmarkStart w:id="70" w:name="_Toc68099242"/>
      <w:bookmarkStart w:id="71" w:name="_Toc68099243"/>
      <w:bookmarkStart w:id="72" w:name="_Toc68099244"/>
      <w:bookmarkStart w:id="73" w:name="_Toc68099245"/>
      <w:bookmarkStart w:id="74" w:name="_Toc68099246"/>
      <w:bookmarkStart w:id="75" w:name="_Toc68099247"/>
      <w:bookmarkStart w:id="76" w:name="_Toc68099248"/>
      <w:bookmarkStart w:id="77" w:name="_Toc81485621"/>
      <w:bookmarkStart w:id="78" w:name="_Toc104806341"/>
      <w:bookmarkEnd w:id="64"/>
      <w:bookmarkEnd w:id="65"/>
      <w:bookmarkEnd w:id="66"/>
      <w:bookmarkEnd w:id="67"/>
      <w:bookmarkEnd w:id="68"/>
      <w:bookmarkEnd w:id="69"/>
      <w:bookmarkEnd w:id="70"/>
      <w:bookmarkEnd w:id="71"/>
      <w:bookmarkEnd w:id="72"/>
      <w:bookmarkEnd w:id="73"/>
      <w:bookmarkEnd w:id="74"/>
      <w:bookmarkEnd w:id="75"/>
      <w:bookmarkEnd w:id="76"/>
      <w:r w:rsidRPr="00EC002B">
        <w:t>Achieving project objectives</w:t>
      </w:r>
      <w:bookmarkEnd w:id="77"/>
      <w:bookmarkEnd w:id="78"/>
    </w:p>
    <w:p w14:paraId="493C3CC9" w14:textId="43AF9D2C" w:rsidR="006135B1" w:rsidRPr="00EC002B" w:rsidRDefault="000C123A" w:rsidP="006135B1">
      <w:pPr>
        <w:pStyle w:val="BodyText"/>
      </w:pPr>
      <w:r>
        <w:fldChar w:fldCharType="begin"/>
      </w:r>
      <w:r>
        <w:instrText xml:space="preserve"> REF _Ref67594697 \h </w:instrText>
      </w:r>
      <w:r>
        <w:fldChar w:fldCharType="separate"/>
      </w:r>
      <w:r w:rsidRPr="009A70B9">
        <w:t xml:space="preserve">Table </w:t>
      </w:r>
      <w:r>
        <w:rPr>
          <w:noProof/>
        </w:rPr>
        <w:t>2</w:t>
      </w:r>
      <w:r w:rsidRPr="009A70B9">
        <w:t>.</w:t>
      </w:r>
      <w:r>
        <w:rPr>
          <w:noProof/>
        </w:rPr>
        <w:t>1</w:t>
      </w:r>
      <w:r>
        <w:fldChar w:fldCharType="end"/>
      </w:r>
      <w:r>
        <w:t xml:space="preserve"> </w:t>
      </w:r>
      <w:r w:rsidR="006135B1" w:rsidRPr="00EC002B">
        <w:t>outlines how project objectives would be achieved. Later chapters of this EES explain how some of these project objectives would be achieved in more detail. These chapters are referred to in the table where relevant.</w:t>
      </w:r>
    </w:p>
    <w:p w14:paraId="26F4CD2D" w14:textId="159558F5" w:rsidR="006135B1" w:rsidRPr="009A70B9" w:rsidRDefault="006135B1" w:rsidP="009A70B9">
      <w:pPr>
        <w:pStyle w:val="Caption"/>
      </w:pPr>
      <w:bookmarkStart w:id="79" w:name="_Ref67594697"/>
      <w:bookmarkStart w:id="80" w:name="_Toc81485624"/>
      <w:bookmarkStart w:id="81" w:name="_Toc104806299"/>
      <w:r w:rsidRPr="009A70B9">
        <w:t xml:space="preserve">Table </w:t>
      </w:r>
      <w:r w:rsidR="003468E3">
        <w:fldChar w:fldCharType="begin"/>
      </w:r>
      <w:r w:rsidR="003468E3">
        <w:instrText xml:space="preserve"> STYLEREF 1 \s </w:instrText>
      </w:r>
      <w:r w:rsidR="003468E3">
        <w:fldChar w:fldCharType="separate"/>
      </w:r>
      <w:r w:rsidR="000C123A">
        <w:rPr>
          <w:noProof/>
        </w:rPr>
        <w:t>2</w:t>
      </w:r>
      <w:r w:rsidR="003468E3">
        <w:rPr>
          <w:noProof/>
        </w:rPr>
        <w:fldChar w:fldCharType="end"/>
      </w:r>
      <w:r w:rsidRPr="009A70B9">
        <w:t>.</w:t>
      </w:r>
      <w:r w:rsidR="003468E3">
        <w:fldChar w:fldCharType="begin"/>
      </w:r>
      <w:r w:rsidR="003468E3">
        <w:instrText xml:space="preserve"> SEQ Table \* ARABIC \s 1 </w:instrText>
      </w:r>
      <w:r w:rsidR="003468E3">
        <w:fldChar w:fldCharType="separate"/>
      </w:r>
      <w:r w:rsidR="000C123A">
        <w:rPr>
          <w:noProof/>
        </w:rPr>
        <w:t>1</w:t>
      </w:r>
      <w:r w:rsidR="003468E3">
        <w:rPr>
          <w:noProof/>
        </w:rPr>
        <w:fldChar w:fldCharType="end"/>
      </w:r>
      <w:bookmarkEnd w:id="79"/>
      <w:r w:rsidRPr="009A70B9">
        <w:tab/>
        <w:t>Project objectives</w:t>
      </w:r>
      <w:bookmarkEnd w:id="80"/>
      <w:bookmarkEnd w:id="81"/>
    </w:p>
    <w:tbl>
      <w:tblPr>
        <w:tblStyle w:val="Table1"/>
        <w:tblW w:w="5000" w:type="pct"/>
        <w:tblLook w:val="00A0" w:firstRow="1" w:lastRow="0" w:firstColumn="1" w:lastColumn="0" w:noHBand="0" w:noVBand="0"/>
      </w:tblPr>
      <w:tblGrid>
        <w:gridCol w:w="2405"/>
        <w:gridCol w:w="6665"/>
      </w:tblGrid>
      <w:tr w:rsidR="006135B1" w:rsidRPr="00EC002B" w14:paraId="522BBA67" w14:textId="77777777" w:rsidTr="00CB6C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26" w:type="pct"/>
          </w:tcPr>
          <w:p w14:paraId="18700F3E" w14:textId="77777777" w:rsidR="006135B1" w:rsidRPr="00EC002B" w:rsidRDefault="006135B1" w:rsidP="00CB6C6F">
            <w:pPr>
              <w:pStyle w:val="TableHeading"/>
            </w:pPr>
            <w:r w:rsidRPr="00EC002B">
              <w:t xml:space="preserve">Objective </w:t>
            </w:r>
          </w:p>
        </w:tc>
        <w:tc>
          <w:tcPr>
            <w:tcW w:w="3674" w:type="pct"/>
          </w:tcPr>
          <w:p w14:paraId="1E057379" w14:textId="77777777" w:rsidR="006135B1" w:rsidRPr="00EC002B" w:rsidRDefault="006135B1" w:rsidP="00CB6C6F">
            <w:pPr>
              <w:pStyle w:val="TableHeading"/>
              <w:cnfStyle w:val="100000000000" w:firstRow="1" w:lastRow="0" w:firstColumn="0" w:lastColumn="0" w:oddVBand="0" w:evenVBand="0" w:oddHBand="0" w:evenHBand="0" w:firstRowFirstColumn="0" w:firstRowLastColumn="0" w:lastRowFirstColumn="0" w:lastRowLastColumn="0"/>
            </w:pPr>
            <w:r w:rsidRPr="00EC002B">
              <w:t xml:space="preserve">How the project aims to achieve the objective </w:t>
            </w:r>
          </w:p>
        </w:tc>
      </w:tr>
      <w:tr w:rsidR="009C086A" w:rsidRPr="00EC002B" w14:paraId="4BA29E20" w14:textId="77777777" w:rsidTr="00E16BEB">
        <w:tc>
          <w:tcPr>
            <w:cnfStyle w:val="001000000000" w:firstRow="0" w:lastRow="0" w:firstColumn="1" w:lastColumn="0" w:oddVBand="0" w:evenVBand="0" w:oddHBand="0" w:evenHBand="0" w:firstRowFirstColumn="0" w:firstRowLastColumn="0" w:lastRowFirstColumn="0" w:lastRowLastColumn="0"/>
            <w:tcW w:w="1326" w:type="pct"/>
          </w:tcPr>
          <w:p w14:paraId="01BD5560" w14:textId="77777777" w:rsidR="009C086A" w:rsidRPr="00EC002B" w:rsidRDefault="009C086A" w:rsidP="00E16BEB">
            <w:pPr>
              <w:pStyle w:val="TableText"/>
            </w:pPr>
            <w:r w:rsidRPr="00EC002B">
              <w:t>Deliver affordable and reliable electricity generated by renewable energy to the electricity grid</w:t>
            </w:r>
          </w:p>
        </w:tc>
        <w:tc>
          <w:tcPr>
            <w:tcW w:w="3674" w:type="pct"/>
          </w:tcPr>
          <w:p w14:paraId="578101EA" w14:textId="77777777" w:rsidR="009C086A" w:rsidRPr="00EC002B" w:rsidRDefault="009C086A" w:rsidP="00E16BEB">
            <w:pPr>
              <w:pStyle w:val="TableText"/>
              <w:cnfStyle w:val="000000000000" w:firstRow="0" w:lastRow="0" w:firstColumn="0" w:lastColumn="0" w:oddVBand="0" w:evenVBand="0" w:oddHBand="0" w:evenHBand="0" w:firstRowFirstColumn="0" w:firstRowLastColumn="0" w:lastRowFirstColumn="0" w:lastRowLastColumn="0"/>
            </w:pPr>
            <w:r w:rsidRPr="00EC002B">
              <w:t xml:space="preserve">The project would provide up to </w:t>
            </w:r>
            <w:r>
              <w:t>354</w:t>
            </w:r>
            <w:r w:rsidRPr="00EC002B">
              <w:t xml:space="preserve"> megawatts of wind generation capacity to the National Electricity Market. Large scale wind turbines are proven technology and have been part of Australia’s energy mix for more than 20 years. The project also has provision for around 200 megawatts/400 megawatt hours of battery energy storage and may include synchronous condenser which, along with hydro and pumped hydro projects (developed and operated by others), would ensure variable renewable energy generators (such as wind farms) can deliver reliable electricity to consumers.</w:t>
            </w:r>
          </w:p>
          <w:p w14:paraId="0B335723" w14:textId="77777777" w:rsidR="009C086A" w:rsidRPr="00EC002B" w:rsidRDefault="009C086A" w:rsidP="00E16BEB">
            <w:pPr>
              <w:pStyle w:val="TableText"/>
              <w:cnfStyle w:val="000000000000" w:firstRow="0" w:lastRow="0" w:firstColumn="0" w:lastColumn="0" w:oddVBand="0" w:evenVBand="0" w:oddHBand="0" w:evenHBand="0" w:firstRowFirstColumn="0" w:firstRowLastColumn="0" w:lastRowFirstColumn="0" w:lastRowLastColumn="0"/>
            </w:pPr>
            <w:r w:rsidRPr="00EC002B">
              <w:t>Wind energy is considerably cheaper than fossil fuel generation and is expected to remain so into the future.</w:t>
            </w:r>
          </w:p>
        </w:tc>
      </w:tr>
      <w:tr w:rsidR="006135B1" w:rsidRPr="00EC002B" w14:paraId="4DF852F3" w14:textId="77777777" w:rsidTr="00CB6C6F">
        <w:tc>
          <w:tcPr>
            <w:cnfStyle w:val="001000000000" w:firstRow="0" w:lastRow="0" w:firstColumn="1" w:lastColumn="0" w:oddVBand="0" w:evenVBand="0" w:oddHBand="0" w:evenHBand="0" w:firstRowFirstColumn="0" w:firstRowLastColumn="0" w:lastRowFirstColumn="0" w:lastRowLastColumn="0"/>
            <w:tcW w:w="1326" w:type="pct"/>
          </w:tcPr>
          <w:p w14:paraId="729AEC43" w14:textId="77777777" w:rsidR="006135B1" w:rsidRPr="00EC002B" w:rsidRDefault="006135B1" w:rsidP="00CB6C6F">
            <w:pPr>
              <w:pStyle w:val="TableText"/>
            </w:pPr>
            <w:r w:rsidRPr="00EC002B">
              <w:t xml:space="preserve">Support Victoria’s Renewable Energy Target </w:t>
            </w:r>
          </w:p>
        </w:tc>
        <w:tc>
          <w:tcPr>
            <w:tcW w:w="3674" w:type="pct"/>
          </w:tcPr>
          <w:p w14:paraId="3C66C74B" w14:textId="0CD0E453" w:rsidR="006135B1" w:rsidRPr="00EC002B" w:rsidRDefault="006135B1" w:rsidP="00CB6C6F">
            <w:pPr>
              <w:pStyle w:val="TableText"/>
              <w:cnfStyle w:val="000000000000" w:firstRow="0" w:lastRow="0" w:firstColumn="0" w:lastColumn="0" w:oddVBand="0" w:evenVBand="0" w:oddHBand="0" w:evenHBand="0" w:firstRowFirstColumn="0" w:firstRowLastColumn="0" w:lastRowFirstColumn="0" w:lastRowLastColumn="0"/>
            </w:pPr>
            <w:r w:rsidRPr="00EC002B">
              <w:t xml:space="preserve">At around </w:t>
            </w:r>
            <w:r w:rsidR="00B6039A">
              <w:t>354</w:t>
            </w:r>
            <w:r w:rsidR="00B6039A" w:rsidRPr="00EC002B">
              <w:t xml:space="preserve"> </w:t>
            </w:r>
            <w:r w:rsidRPr="00EC002B">
              <w:t>megawatts, the project would deliver more than 1,</w:t>
            </w:r>
            <w:r w:rsidR="00907185">
              <w:t>3</w:t>
            </w:r>
            <w:r w:rsidRPr="00EC002B">
              <w:t>00 gigawatt hours of affordable renewable electricity to the grid annually, replacing electricity sourced from fossil fuels. This would help the Victorian Government reach its renewable energy targets of 40% by 2025 and 50% by 2030.</w:t>
            </w:r>
          </w:p>
        </w:tc>
      </w:tr>
      <w:tr w:rsidR="006135B1" w:rsidRPr="00EC002B" w14:paraId="149A2046" w14:textId="77777777" w:rsidTr="00CB6C6F">
        <w:tc>
          <w:tcPr>
            <w:cnfStyle w:val="001000000000" w:firstRow="0" w:lastRow="0" w:firstColumn="1" w:lastColumn="0" w:oddVBand="0" w:evenVBand="0" w:oddHBand="0" w:evenHBand="0" w:firstRowFirstColumn="0" w:firstRowLastColumn="0" w:lastRowFirstColumn="0" w:lastRowLastColumn="0"/>
            <w:tcW w:w="1326" w:type="pct"/>
          </w:tcPr>
          <w:p w14:paraId="071E403D" w14:textId="218A2469" w:rsidR="006135B1" w:rsidRPr="00EC002B" w:rsidRDefault="006135B1" w:rsidP="009A70B9">
            <w:pPr>
              <w:pStyle w:val="TableText"/>
            </w:pPr>
            <w:r w:rsidRPr="00EC002B">
              <w:t xml:space="preserve">Support the Commonwealth Government’s greenhouse gas emissions reduction target </w:t>
            </w:r>
          </w:p>
        </w:tc>
        <w:tc>
          <w:tcPr>
            <w:tcW w:w="3674" w:type="pct"/>
          </w:tcPr>
          <w:p w14:paraId="5A694C1F" w14:textId="24B6FA13" w:rsidR="006135B1" w:rsidRPr="00EC002B" w:rsidRDefault="006135B1" w:rsidP="00504323">
            <w:pPr>
              <w:pStyle w:val="TableText"/>
              <w:cnfStyle w:val="000000000000" w:firstRow="0" w:lastRow="0" w:firstColumn="0" w:lastColumn="0" w:oddVBand="0" w:evenVBand="0" w:oddHBand="0" w:evenHBand="0" w:firstRowFirstColumn="0" w:firstRowLastColumn="0" w:lastRowFirstColumn="0" w:lastRowLastColumn="0"/>
            </w:pPr>
            <w:r w:rsidRPr="00EC002B">
              <w:t>The project would supply more than 1,</w:t>
            </w:r>
            <w:r w:rsidR="00907185">
              <w:t>3</w:t>
            </w:r>
            <w:r w:rsidRPr="00EC002B">
              <w:t>00 gigawatt hours of renewable electricity annually. This would help the Commonwealth Government achieve its Paris Agreement greenhouse gas reduction target of 26% to 28% on 2005 levels by 2030</w:t>
            </w:r>
            <w:r w:rsidR="00297EB2">
              <w:t>,</w:t>
            </w:r>
            <w:r w:rsidR="00504323">
              <w:t xml:space="preserve"> as well as the </w:t>
            </w:r>
            <w:r w:rsidR="00504323" w:rsidRPr="00EC002B">
              <w:t>Commonwealth Government</w:t>
            </w:r>
            <w:r w:rsidR="00504323">
              <w:t>’s target of</w:t>
            </w:r>
            <w:r w:rsidRPr="00EC002B">
              <w:t xml:space="preserve"> achieving net-zero emissions by 2050.</w:t>
            </w:r>
          </w:p>
        </w:tc>
      </w:tr>
      <w:tr w:rsidR="006135B1" w:rsidRPr="00EC002B" w14:paraId="28ED15C8" w14:textId="77777777" w:rsidTr="00CB6C6F">
        <w:tc>
          <w:tcPr>
            <w:cnfStyle w:val="001000000000" w:firstRow="0" w:lastRow="0" w:firstColumn="1" w:lastColumn="0" w:oddVBand="0" w:evenVBand="0" w:oddHBand="0" w:evenHBand="0" w:firstRowFirstColumn="0" w:firstRowLastColumn="0" w:lastRowFirstColumn="0" w:lastRowLastColumn="0"/>
            <w:tcW w:w="1326" w:type="pct"/>
          </w:tcPr>
          <w:p w14:paraId="649738D9" w14:textId="58A34878" w:rsidR="006135B1" w:rsidRPr="00EC002B" w:rsidRDefault="006135B1" w:rsidP="000C123A">
            <w:pPr>
              <w:pStyle w:val="TableText"/>
            </w:pPr>
            <w:r w:rsidRPr="00EC002B">
              <w:t>Improve network strength through the development of a firmed power supply</w:t>
            </w:r>
          </w:p>
        </w:tc>
        <w:tc>
          <w:tcPr>
            <w:tcW w:w="3674" w:type="pct"/>
          </w:tcPr>
          <w:p w14:paraId="186CB6FA" w14:textId="77777777" w:rsidR="006135B1" w:rsidRPr="00EC002B" w:rsidRDefault="006135B1" w:rsidP="00CB6C6F">
            <w:pPr>
              <w:pStyle w:val="TableText"/>
              <w:cnfStyle w:val="000000000000" w:firstRow="0" w:lastRow="0" w:firstColumn="0" w:lastColumn="0" w:oddVBand="0" w:evenVBand="0" w:oddHBand="0" w:evenHBand="0" w:firstRowFirstColumn="0" w:firstRowLastColumn="0" w:lastRowFirstColumn="0" w:lastRowLastColumn="0"/>
            </w:pPr>
            <w:r w:rsidRPr="00EC002B">
              <w:t>The project is proposed to include a battery energy storage facility that can provide short-term supply to the National Electricity Market. The project also has provision for a synchronous condenser which can provide network stability services to the National Electricity Market.</w:t>
            </w:r>
          </w:p>
          <w:p w14:paraId="1DB44CA5" w14:textId="77777777" w:rsidR="006135B1" w:rsidRPr="00EC002B" w:rsidRDefault="006135B1" w:rsidP="00CB6C6F">
            <w:pPr>
              <w:pStyle w:val="TableText"/>
              <w:cnfStyle w:val="000000000000" w:firstRow="0" w:lastRow="0" w:firstColumn="0" w:lastColumn="0" w:oddVBand="0" w:evenVBand="0" w:oddHBand="0" w:evenHBand="0" w:firstRowFirstColumn="0" w:firstRowLastColumn="0" w:lastRowFirstColumn="0" w:lastRowLastColumn="0"/>
            </w:pPr>
            <w:r w:rsidRPr="00EC002B">
              <w:t xml:space="preserve">Further details about the battery and synchronous condenser can be found in Chapter 5 – </w:t>
            </w:r>
            <w:r w:rsidRPr="009A70B9">
              <w:rPr>
                <w:i/>
                <w:iCs/>
              </w:rPr>
              <w:t>Project description</w:t>
            </w:r>
            <w:r w:rsidRPr="00EC002B">
              <w:t>.</w:t>
            </w:r>
          </w:p>
        </w:tc>
      </w:tr>
      <w:tr w:rsidR="006135B1" w:rsidRPr="00EC002B" w14:paraId="3F96BD2E" w14:textId="77777777" w:rsidTr="009A70B9">
        <w:trPr>
          <w:cantSplit/>
        </w:trPr>
        <w:tc>
          <w:tcPr>
            <w:cnfStyle w:val="001000000000" w:firstRow="0" w:lastRow="0" w:firstColumn="1" w:lastColumn="0" w:oddVBand="0" w:evenVBand="0" w:oddHBand="0" w:evenHBand="0" w:firstRowFirstColumn="0" w:firstRowLastColumn="0" w:lastRowFirstColumn="0" w:lastRowLastColumn="0"/>
            <w:tcW w:w="1326" w:type="pct"/>
          </w:tcPr>
          <w:p w14:paraId="2A696A35" w14:textId="77777777" w:rsidR="006135B1" w:rsidRPr="00EC002B" w:rsidRDefault="006135B1" w:rsidP="00CB6C6F">
            <w:pPr>
              <w:pStyle w:val="TableText"/>
            </w:pPr>
            <w:r w:rsidRPr="00EC002B">
              <w:lastRenderedPageBreak/>
              <w:t>Minimise negative, and maximise positive, effects on the environment and communities</w:t>
            </w:r>
          </w:p>
        </w:tc>
        <w:tc>
          <w:tcPr>
            <w:tcW w:w="3674" w:type="pct"/>
          </w:tcPr>
          <w:p w14:paraId="4AE1DE69" w14:textId="77777777" w:rsidR="004A6FC5" w:rsidRPr="00EC002B" w:rsidRDefault="004A6FC5" w:rsidP="004A6FC5">
            <w:pPr>
              <w:pStyle w:val="TableText"/>
              <w:cnfStyle w:val="000000000000" w:firstRow="0" w:lastRow="0" w:firstColumn="0" w:lastColumn="0" w:oddVBand="0" w:evenVBand="0" w:oddHBand="0" w:evenHBand="0" w:firstRowFirstColumn="0" w:firstRowLastColumn="0" w:lastRowFirstColumn="0" w:lastRowLastColumn="0"/>
            </w:pPr>
            <w:r w:rsidRPr="00EC002B">
              <w:t>The EES process established a mitigation hierarchy whereby potential impacts are firstly avoided or reduced during the design phase, with any remaining potential impacts addressed via management measures in the construction and operational phases of the project</w:t>
            </w:r>
            <w:r>
              <w:t xml:space="preserve"> </w:t>
            </w:r>
            <w:r w:rsidRPr="00E14CE7">
              <w:t>in order to achieve the evaluation objectives for the project</w:t>
            </w:r>
            <w:r>
              <w:t xml:space="preserve"> (as stated in the scoping requirements)</w:t>
            </w:r>
            <w:r w:rsidRPr="00EC002B">
              <w:t xml:space="preserve">. This process is explained within Chapter 7 – </w:t>
            </w:r>
            <w:r w:rsidRPr="009A70B9">
              <w:rPr>
                <w:i/>
                <w:iCs/>
              </w:rPr>
              <w:t>Assessment framework</w:t>
            </w:r>
            <w:r w:rsidRPr="00EC002B">
              <w:t xml:space="preserve">. </w:t>
            </w:r>
          </w:p>
          <w:p w14:paraId="291C30D9" w14:textId="59D65CC8" w:rsidR="006135B1" w:rsidRPr="00EC002B" w:rsidRDefault="006135B1" w:rsidP="00CB6C6F">
            <w:pPr>
              <w:pStyle w:val="TableText"/>
              <w:cnfStyle w:val="000000000000" w:firstRow="0" w:lastRow="0" w:firstColumn="0" w:lastColumn="0" w:oddVBand="0" w:evenVBand="0" w:oddHBand="0" w:evenHBand="0" w:firstRowFirstColumn="0" w:firstRowLastColumn="0" w:lastRowFirstColumn="0" w:lastRowLastColumn="0"/>
            </w:pPr>
            <w:r w:rsidRPr="00EC002B">
              <w:t xml:space="preserve">A thorough assessment of impacts and opportunities has been carried out via the EES process, committing the project owner to effective avoidance and mitigation measures listed in Chapter 26 – </w:t>
            </w:r>
            <w:r w:rsidRPr="009A70B9">
              <w:rPr>
                <w:i/>
                <w:iCs/>
              </w:rPr>
              <w:t xml:space="preserve">Environmental </w:t>
            </w:r>
            <w:r w:rsidR="009A70B9" w:rsidRPr="009A70B9">
              <w:rPr>
                <w:i/>
                <w:iCs/>
              </w:rPr>
              <w:t>m</w:t>
            </w:r>
            <w:r w:rsidRPr="009A70B9">
              <w:rPr>
                <w:i/>
                <w:iCs/>
              </w:rPr>
              <w:t xml:space="preserve">anagement </w:t>
            </w:r>
            <w:r w:rsidR="009A70B9" w:rsidRPr="009A70B9">
              <w:rPr>
                <w:i/>
                <w:iCs/>
              </w:rPr>
              <w:t>f</w:t>
            </w:r>
            <w:r w:rsidRPr="009A70B9">
              <w:rPr>
                <w:i/>
                <w:iCs/>
              </w:rPr>
              <w:t>ramework</w:t>
            </w:r>
            <w:r w:rsidRPr="00EC002B">
              <w:t>.</w:t>
            </w:r>
          </w:p>
          <w:p w14:paraId="192DDBF1" w14:textId="77777777" w:rsidR="006135B1" w:rsidRPr="00EC002B" w:rsidRDefault="006135B1" w:rsidP="00CB6C6F">
            <w:pPr>
              <w:pStyle w:val="TableText"/>
              <w:cnfStyle w:val="000000000000" w:firstRow="0" w:lastRow="0" w:firstColumn="0" w:lastColumn="0" w:oddVBand="0" w:evenVBand="0" w:oddHBand="0" w:evenHBand="0" w:firstRowFirstColumn="0" w:firstRowLastColumn="0" w:lastRowFirstColumn="0" w:lastRowLastColumn="0"/>
            </w:pPr>
            <w:r w:rsidRPr="00EC002B">
              <w:t>Neighbouring landowners and local community organisations would continue to be consulted throughout the design, construction and operational phases to work through any issues and to maximise the benefits from the project.</w:t>
            </w:r>
          </w:p>
          <w:p w14:paraId="0F5B60A1" w14:textId="77777777" w:rsidR="006135B1" w:rsidRPr="00EC002B" w:rsidRDefault="006135B1" w:rsidP="00CB6C6F">
            <w:pPr>
              <w:pStyle w:val="TableText"/>
              <w:cnfStyle w:val="000000000000" w:firstRow="0" w:lastRow="0" w:firstColumn="0" w:lastColumn="0" w:oddVBand="0" w:evenVBand="0" w:oddHBand="0" w:evenHBand="0" w:firstRowFirstColumn="0" w:firstRowLastColumn="0" w:lastRowFirstColumn="0" w:lastRowLastColumn="0"/>
            </w:pPr>
            <w:r w:rsidRPr="00EC002B">
              <w:t xml:space="preserve">Government agencies and Council would be expected to maintain a strong involvement in all stages of the project to help achieve the best outcomes for the environment and communities. These stakeholders are expected to help provide an understanding of the various regulatory requirements, review the adequacy of mitigation and management measures, and where required, enforce compliance with project commitments. </w:t>
            </w:r>
          </w:p>
        </w:tc>
      </w:tr>
      <w:tr w:rsidR="006135B1" w:rsidRPr="00EC002B" w14:paraId="3A0E1A2A" w14:textId="77777777" w:rsidTr="00CB6C6F">
        <w:tc>
          <w:tcPr>
            <w:cnfStyle w:val="001000000000" w:firstRow="0" w:lastRow="0" w:firstColumn="1" w:lastColumn="0" w:oddVBand="0" w:evenVBand="0" w:oddHBand="0" w:evenHBand="0" w:firstRowFirstColumn="0" w:firstRowLastColumn="0" w:lastRowFirstColumn="0" w:lastRowLastColumn="0"/>
            <w:tcW w:w="1326" w:type="pct"/>
          </w:tcPr>
          <w:p w14:paraId="14E46C80" w14:textId="77777777" w:rsidR="006135B1" w:rsidRPr="00EC002B" w:rsidRDefault="006135B1" w:rsidP="00CB6C6F">
            <w:pPr>
              <w:pStyle w:val="TableText"/>
            </w:pPr>
            <w:r w:rsidRPr="00EC002B">
              <w:t>Support the local community and the local economy</w:t>
            </w:r>
          </w:p>
        </w:tc>
        <w:tc>
          <w:tcPr>
            <w:tcW w:w="3674" w:type="pct"/>
          </w:tcPr>
          <w:p w14:paraId="1A23155D" w14:textId="77777777" w:rsidR="006135B1" w:rsidRPr="00C40871" w:rsidRDefault="006135B1" w:rsidP="00CB6C6F">
            <w:pPr>
              <w:pStyle w:val="TableText"/>
              <w:cnfStyle w:val="000000000000" w:firstRow="0" w:lastRow="0" w:firstColumn="0" w:lastColumn="0" w:oddVBand="0" w:evenVBand="0" w:oddHBand="0" w:evenHBand="0" w:firstRowFirstColumn="0" w:firstRowLastColumn="0" w:lastRowFirstColumn="0" w:lastRowLastColumn="0"/>
            </w:pPr>
            <w:r w:rsidRPr="00EC002B">
              <w:t xml:space="preserve">The project would increase development in the region, providing opportunities for local contractors and suppliers of goods and services and opportunities for local employment during construction </w:t>
            </w:r>
            <w:r w:rsidRPr="00C40871">
              <w:t>and operation.</w:t>
            </w:r>
          </w:p>
          <w:p w14:paraId="4EF7405D" w14:textId="77777777" w:rsidR="006135B1" w:rsidRPr="00EC002B" w:rsidRDefault="006135B1" w:rsidP="00CB6C6F">
            <w:pPr>
              <w:pStyle w:val="TableText"/>
              <w:cnfStyle w:val="000000000000" w:firstRow="0" w:lastRow="0" w:firstColumn="0" w:lastColumn="0" w:oddVBand="0" w:evenVBand="0" w:oddHBand="0" w:evenHBand="0" w:firstRowFirstColumn="0" w:firstRowLastColumn="0" w:lastRowFirstColumn="0" w:lastRowLastColumn="0"/>
            </w:pPr>
            <w:r w:rsidRPr="00C40871">
              <w:t>The project would also include a Community Benefit Fund (as part of the Neighbour Benefit Sharing Program), administered by a community-led independent fund committee, comprising $1,000 per oper</w:t>
            </w:r>
            <w:r w:rsidRPr="00EC002B">
              <w:t>ational wind turbine per year indexed annually to the Consumer Price Index from the commencement of the fund.</w:t>
            </w:r>
          </w:p>
          <w:p w14:paraId="7E6D16BC" w14:textId="297C057A" w:rsidR="006135B1" w:rsidRPr="00EC002B" w:rsidRDefault="006135B1" w:rsidP="00CB6C6F">
            <w:pPr>
              <w:pStyle w:val="TableText"/>
              <w:cnfStyle w:val="000000000000" w:firstRow="0" w:lastRow="0" w:firstColumn="0" w:lastColumn="0" w:oddVBand="0" w:evenVBand="0" w:oddHBand="0" w:evenHBand="0" w:firstRowFirstColumn="0" w:firstRowLastColumn="0" w:lastRowFirstColumn="0" w:lastRowLastColumn="0"/>
            </w:pPr>
            <w:r w:rsidRPr="00EC002B">
              <w:t xml:space="preserve">Further details about </w:t>
            </w:r>
            <w:r w:rsidR="00C01429">
              <w:t xml:space="preserve">how </w:t>
            </w:r>
            <w:r w:rsidRPr="00EC002B">
              <w:t xml:space="preserve">the Community Benefit Fund and the Neighbour Benefit Sharing Program </w:t>
            </w:r>
            <w:r w:rsidR="00C01429">
              <w:t xml:space="preserve">were developed </w:t>
            </w:r>
            <w:r w:rsidRPr="00EC002B">
              <w:t xml:space="preserve">can be found in Chapter 6 – </w:t>
            </w:r>
            <w:r w:rsidRPr="009A70B9">
              <w:rPr>
                <w:i/>
                <w:iCs/>
              </w:rPr>
              <w:t xml:space="preserve">Stakeholder </w:t>
            </w:r>
            <w:r w:rsidR="009A70B9" w:rsidRPr="009A70B9">
              <w:rPr>
                <w:i/>
                <w:iCs/>
              </w:rPr>
              <w:t>consultation</w:t>
            </w:r>
            <w:r w:rsidR="004A6FC5">
              <w:rPr>
                <w:i/>
                <w:iCs/>
              </w:rPr>
              <w:t xml:space="preserve"> </w:t>
            </w:r>
            <w:r w:rsidR="004A6FC5">
              <w:t>and Attachment IV</w:t>
            </w:r>
            <w:r w:rsidR="00626506">
              <w:t xml:space="preserve"> – </w:t>
            </w:r>
            <w:r w:rsidR="00626506" w:rsidRPr="00626506">
              <w:rPr>
                <w:i/>
                <w:iCs/>
              </w:rPr>
              <w:t>Neighbour Benefit Sharing Program</w:t>
            </w:r>
            <w:r w:rsidRPr="00EC002B">
              <w:t>.</w:t>
            </w:r>
          </w:p>
        </w:tc>
      </w:tr>
      <w:tr w:rsidR="006135B1" w:rsidRPr="00EC002B" w14:paraId="1CEC3A7A" w14:textId="77777777" w:rsidTr="00CB6C6F">
        <w:tc>
          <w:tcPr>
            <w:cnfStyle w:val="001000000000" w:firstRow="0" w:lastRow="0" w:firstColumn="1" w:lastColumn="0" w:oddVBand="0" w:evenVBand="0" w:oddHBand="0" w:evenHBand="0" w:firstRowFirstColumn="0" w:firstRowLastColumn="0" w:lastRowFirstColumn="0" w:lastRowLastColumn="0"/>
            <w:tcW w:w="1326" w:type="pct"/>
          </w:tcPr>
          <w:p w14:paraId="4A0E9E71" w14:textId="77777777" w:rsidR="006135B1" w:rsidRPr="00EC002B" w:rsidRDefault="006135B1" w:rsidP="00CB6C6F">
            <w:pPr>
              <w:pStyle w:val="TableText"/>
            </w:pPr>
            <w:r w:rsidRPr="00EC002B">
              <w:t>Support participating and neighbouring landowners</w:t>
            </w:r>
          </w:p>
        </w:tc>
        <w:tc>
          <w:tcPr>
            <w:tcW w:w="3674" w:type="pct"/>
          </w:tcPr>
          <w:p w14:paraId="2DE11F15" w14:textId="77777777" w:rsidR="006135B1" w:rsidRPr="00EC002B" w:rsidRDefault="006135B1" w:rsidP="00CB6C6F">
            <w:pPr>
              <w:pStyle w:val="TableText"/>
              <w:cnfStyle w:val="000000000000" w:firstRow="0" w:lastRow="0" w:firstColumn="0" w:lastColumn="0" w:oddVBand="0" w:evenVBand="0" w:oddHBand="0" w:evenHBand="0" w:firstRowFirstColumn="0" w:firstRowLastColumn="0" w:lastRowFirstColumn="0" w:lastRowLastColumn="0"/>
            </w:pPr>
            <w:r w:rsidRPr="00EC002B">
              <w:t>Provide landowners with additional drought resistance income streams complementary to their existing farming operations.</w:t>
            </w:r>
          </w:p>
          <w:p w14:paraId="30722DCA" w14:textId="767596E2" w:rsidR="006135B1" w:rsidRPr="00EC002B" w:rsidRDefault="006135B1" w:rsidP="00CB6C6F">
            <w:pPr>
              <w:pStyle w:val="TableText"/>
              <w:cnfStyle w:val="000000000000" w:firstRow="0" w:lastRow="0" w:firstColumn="0" w:lastColumn="0" w:oddVBand="0" w:evenVBand="0" w:oddHBand="0" w:evenHBand="0" w:firstRowFirstColumn="0" w:firstRowLastColumn="0" w:lastRowFirstColumn="0" w:lastRowLastColumn="0"/>
            </w:pPr>
            <w:r w:rsidRPr="00EC002B">
              <w:t>The Neighbour Benefit Sharing Program would offer the following benefits to eligible neighbouring landowners and/or residents with a dwelling within six</w:t>
            </w:r>
            <w:r w:rsidR="000C123A">
              <w:t> </w:t>
            </w:r>
            <w:r w:rsidRPr="00EC002B">
              <w:t>kilometres of a constructed wind turbine (excluding those hosting infrastructure):</w:t>
            </w:r>
          </w:p>
          <w:p w14:paraId="27536AF6" w14:textId="77777777" w:rsidR="006135B1" w:rsidRPr="00EC002B" w:rsidRDefault="006135B1" w:rsidP="009A70B9">
            <w:pPr>
              <w:pStyle w:val="TableBullet1"/>
              <w:contextualSpacing/>
              <w:cnfStyle w:val="000000000000" w:firstRow="0" w:lastRow="0" w:firstColumn="0" w:lastColumn="0" w:oddVBand="0" w:evenVBand="0" w:oddHBand="0" w:evenHBand="0" w:firstRowFirstColumn="0" w:firstRowLastColumn="0" w:lastRowFirstColumn="0" w:lastRowLastColumn="0"/>
            </w:pPr>
            <w:r w:rsidRPr="00EC002B">
              <w:t>one off construction payment of $1,000</w:t>
            </w:r>
          </w:p>
          <w:p w14:paraId="463B2B45" w14:textId="77777777" w:rsidR="006135B1" w:rsidRPr="00EC002B" w:rsidRDefault="006135B1" w:rsidP="009A70B9">
            <w:pPr>
              <w:pStyle w:val="TableBullet1"/>
              <w:contextualSpacing/>
              <w:cnfStyle w:val="000000000000" w:firstRow="0" w:lastRow="0" w:firstColumn="0" w:lastColumn="0" w:oddVBand="0" w:evenVBand="0" w:oddHBand="0" w:evenHBand="0" w:firstRowFirstColumn="0" w:firstRowLastColumn="0" w:lastRowFirstColumn="0" w:lastRowLastColumn="0"/>
            </w:pPr>
            <w:r w:rsidRPr="00EC002B">
              <w:t>neighbour benefit payment of between $1,000 and $30,000 annually (subject to eligibility criteria, including proximity of dwellings to constructed wind turbines)</w:t>
            </w:r>
          </w:p>
          <w:p w14:paraId="66F7CFFA" w14:textId="77777777" w:rsidR="006135B1" w:rsidRPr="00EC002B" w:rsidRDefault="006135B1" w:rsidP="009A70B9">
            <w:pPr>
              <w:pStyle w:val="TableBullet1"/>
              <w:contextualSpacing/>
              <w:cnfStyle w:val="000000000000" w:firstRow="0" w:lastRow="0" w:firstColumn="0" w:lastColumn="0" w:oddVBand="0" w:evenVBand="0" w:oddHBand="0" w:evenHBand="0" w:firstRowFirstColumn="0" w:firstRowLastColumn="0" w:lastRowFirstColumn="0" w:lastRowLastColumn="0"/>
            </w:pPr>
            <w:r w:rsidRPr="00EC002B">
              <w:t>energy cost offset plan payment of up to $2,000 annually.</w:t>
            </w:r>
          </w:p>
          <w:p w14:paraId="4BF2A8D3" w14:textId="0B9EBE78" w:rsidR="006135B1" w:rsidRPr="00EC002B" w:rsidRDefault="006135B1" w:rsidP="00CB6C6F">
            <w:pPr>
              <w:pStyle w:val="TableText"/>
              <w:cnfStyle w:val="000000000000" w:firstRow="0" w:lastRow="0" w:firstColumn="0" w:lastColumn="0" w:oddVBand="0" w:evenVBand="0" w:oddHBand="0" w:evenHBand="0" w:firstRowFirstColumn="0" w:firstRowLastColumn="0" w:lastRowFirstColumn="0" w:lastRowLastColumn="0"/>
            </w:pPr>
            <w:r w:rsidRPr="00EC002B">
              <w:t xml:space="preserve">Further details about </w:t>
            </w:r>
            <w:r w:rsidR="00C01429">
              <w:t xml:space="preserve">how </w:t>
            </w:r>
            <w:r w:rsidRPr="00EC002B">
              <w:t xml:space="preserve">the Neighbour Benefit Sharing Program </w:t>
            </w:r>
            <w:r w:rsidR="00C01429">
              <w:t xml:space="preserve">was developed </w:t>
            </w:r>
            <w:r w:rsidRPr="00EC002B">
              <w:t xml:space="preserve">can be found in Chapter 6 – </w:t>
            </w:r>
            <w:r w:rsidRPr="009A70B9">
              <w:rPr>
                <w:i/>
                <w:iCs/>
              </w:rPr>
              <w:t xml:space="preserve">Stakeholder </w:t>
            </w:r>
            <w:r w:rsidR="009A70B9" w:rsidRPr="009A70B9">
              <w:rPr>
                <w:i/>
                <w:iCs/>
              </w:rPr>
              <w:t>consultation</w:t>
            </w:r>
            <w:r w:rsidR="00626506">
              <w:rPr>
                <w:i/>
                <w:iCs/>
              </w:rPr>
              <w:t xml:space="preserve"> </w:t>
            </w:r>
            <w:r w:rsidR="00626506">
              <w:t>and Attachment</w:t>
            </w:r>
            <w:r w:rsidR="000C123A">
              <w:t> </w:t>
            </w:r>
            <w:r w:rsidR="00626506">
              <w:t xml:space="preserve">IV – </w:t>
            </w:r>
            <w:r w:rsidR="00626506" w:rsidRPr="00626506">
              <w:rPr>
                <w:i/>
                <w:iCs/>
              </w:rPr>
              <w:t>Neighbour Benefit Sharing Program</w:t>
            </w:r>
            <w:r w:rsidRPr="00EC002B">
              <w:t>.</w:t>
            </w:r>
          </w:p>
          <w:p w14:paraId="37437BEC" w14:textId="77777777" w:rsidR="006135B1" w:rsidRPr="00C40871" w:rsidRDefault="006135B1" w:rsidP="00CB6C6F">
            <w:pPr>
              <w:pStyle w:val="TableText"/>
              <w:cnfStyle w:val="000000000000" w:firstRow="0" w:lastRow="0" w:firstColumn="0" w:lastColumn="0" w:oddVBand="0" w:evenVBand="0" w:oddHBand="0" w:evenHBand="0" w:firstRowFirstColumn="0" w:firstRowLastColumn="0" w:lastRowFirstColumn="0" w:lastRowLastColumn="0"/>
            </w:pPr>
            <w:r w:rsidRPr="00EC002B">
              <w:t>The project infrastructure layout has been designed to minimise impacts to the ongoing farm operations of the host landowners, with access tracks following fence lines wh</w:t>
            </w:r>
            <w:r w:rsidRPr="00C40871">
              <w:t xml:space="preserve">ere appropriate and using existing farm access track layouts. </w:t>
            </w:r>
          </w:p>
          <w:p w14:paraId="32F5DB56" w14:textId="77777777" w:rsidR="006135B1" w:rsidRPr="00EC002B" w:rsidRDefault="006135B1" w:rsidP="00CB6C6F">
            <w:pPr>
              <w:pStyle w:val="TableText"/>
              <w:cnfStyle w:val="000000000000" w:firstRow="0" w:lastRow="0" w:firstColumn="0" w:lastColumn="0" w:oddVBand="0" w:evenVBand="0" w:oddHBand="0" w:evenHBand="0" w:firstRowFirstColumn="0" w:firstRowLastColumn="0" w:lastRowFirstColumn="0" w:lastRowLastColumn="0"/>
            </w:pPr>
            <w:r w:rsidRPr="00C40871">
              <w:t>Construction would be managed in accordance with a stringent Environmental Management Framework and environmental management plans to protect the amenity of, and limit impact</w:t>
            </w:r>
            <w:r w:rsidRPr="00EC002B">
              <w:t xml:space="preserve">s to, neighbouring landowners and the local community. </w:t>
            </w:r>
          </w:p>
        </w:tc>
      </w:tr>
      <w:tr w:rsidR="006135B1" w:rsidRPr="00EC002B" w14:paraId="3F552B34" w14:textId="77777777" w:rsidTr="00CB6C6F">
        <w:tc>
          <w:tcPr>
            <w:cnfStyle w:val="001000000000" w:firstRow="0" w:lastRow="0" w:firstColumn="1" w:lastColumn="0" w:oddVBand="0" w:evenVBand="0" w:oddHBand="0" w:evenHBand="0" w:firstRowFirstColumn="0" w:firstRowLastColumn="0" w:lastRowFirstColumn="0" w:lastRowLastColumn="0"/>
            <w:tcW w:w="1326" w:type="pct"/>
          </w:tcPr>
          <w:p w14:paraId="2D8C11B2" w14:textId="77777777" w:rsidR="006135B1" w:rsidRPr="00EC002B" w:rsidRDefault="006135B1" w:rsidP="00CB6C6F">
            <w:pPr>
              <w:pStyle w:val="TableText"/>
            </w:pPr>
            <w:r w:rsidRPr="00EC002B">
              <w:t>Engage and work with community and stakeholders to identify any potential environmental impacts and implement appropriate mitigation and/or monitoring measures</w:t>
            </w:r>
          </w:p>
        </w:tc>
        <w:tc>
          <w:tcPr>
            <w:tcW w:w="3674" w:type="pct"/>
          </w:tcPr>
          <w:p w14:paraId="718F960E" w14:textId="77777777" w:rsidR="006135B1" w:rsidRPr="00EC002B" w:rsidRDefault="006135B1" w:rsidP="00CB6C6F">
            <w:pPr>
              <w:pStyle w:val="TableText"/>
              <w:cnfStyle w:val="000000000000" w:firstRow="0" w:lastRow="0" w:firstColumn="0" w:lastColumn="0" w:oddVBand="0" w:evenVBand="0" w:oddHBand="0" w:evenHBand="0" w:firstRowFirstColumn="0" w:firstRowLastColumn="0" w:lastRowFirstColumn="0" w:lastRowLastColumn="0"/>
            </w:pPr>
            <w:r w:rsidRPr="00EC002B">
              <w:t>A consultation plan was formalised at the start of the EES process in early 2019. Considerable community engagement had occurred before that point in time however the plan set out a process to inform the public about the EES, seek targeted input and to respond to that input. Inputs included issues of potential concern, local knowledge on existing conditions, perceptions of potential effects, and feedback on proposed mitigation and management measures.</w:t>
            </w:r>
          </w:p>
          <w:p w14:paraId="2C7C805D" w14:textId="17A4DED0" w:rsidR="006135B1" w:rsidRPr="00EC002B" w:rsidRDefault="006135B1" w:rsidP="00CB6C6F">
            <w:pPr>
              <w:pStyle w:val="TableText"/>
              <w:cnfStyle w:val="000000000000" w:firstRow="0" w:lastRow="0" w:firstColumn="0" w:lastColumn="0" w:oddVBand="0" w:evenVBand="0" w:oddHBand="0" w:evenHBand="0" w:firstRowFirstColumn="0" w:firstRowLastColumn="0" w:lastRowFirstColumn="0" w:lastRowLastColumn="0"/>
            </w:pPr>
            <w:r w:rsidRPr="00EC002B">
              <w:t xml:space="preserve">Consultation would continue in accordance with the commitments made in Chapter 26 – </w:t>
            </w:r>
            <w:r w:rsidRPr="009A70B9">
              <w:rPr>
                <w:i/>
                <w:iCs/>
              </w:rPr>
              <w:t xml:space="preserve">Environmental </w:t>
            </w:r>
            <w:r w:rsidR="009A70B9" w:rsidRPr="009A70B9">
              <w:rPr>
                <w:i/>
                <w:iCs/>
              </w:rPr>
              <w:t>m</w:t>
            </w:r>
            <w:r w:rsidRPr="009A70B9">
              <w:rPr>
                <w:i/>
                <w:iCs/>
              </w:rPr>
              <w:t xml:space="preserve">anagement </w:t>
            </w:r>
            <w:r w:rsidR="009A70B9" w:rsidRPr="009A70B9">
              <w:rPr>
                <w:i/>
                <w:iCs/>
              </w:rPr>
              <w:t>f</w:t>
            </w:r>
            <w:r w:rsidRPr="009A70B9">
              <w:rPr>
                <w:i/>
                <w:iCs/>
              </w:rPr>
              <w:t>ramework</w:t>
            </w:r>
            <w:r w:rsidRPr="00EC002B">
              <w:t>.</w:t>
            </w:r>
            <w:r>
              <w:t xml:space="preserve"> </w:t>
            </w:r>
          </w:p>
        </w:tc>
      </w:tr>
    </w:tbl>
    <w:p w14:paraId="01B2245C" w14:textId="20698053" w:rsidR="006135B1" w:rsidRPr="000C123A" w:rsidRDefault="006135B1" w:rsidP="000C123A">
      <w:pPr>
        <w:spacing w:before="0" w:after="0" w:line="240" w:lineRule="auto"/>
        <w:rPr>
          <w:sz w:val="4"/>
          <w:lang w:eastAsia="fr-CA"/>
        </w:rPr>
      </w:pPr>
      <w:bookmarkStart w:id="82" w:name="EndPasteHere"/>
      <w:bookmarkEnd w:id="82"/>
      <w:bookmarkEnd w:id="1"/>
    </w:p>
    <w:sectPr w:rsidR="006135B1" w:rsidRPr="000C123A" w:rsidSect="00632BD3">
      <w:headerReference w:type="even" r:id="rId15"/>
      <w:headerReference w:type="default" r:id="rId16"/>
      <w:footerReference w:type="even" r:id="rId17"/>
      <w:footerReference w:type="default" r:id="rId18"/>
      <w:headerReference w:type="first" r:id="rId19"/>
      <w:footerReference w:type="first" r:id="rId20"/>
      <w:pgSz w:w="11906" w:h="16838" w:code="9"/>
      <w:pgMar w:top="1276" w:right="1418" w:bottom="1134" w:left="1418" w:header="709" w:footer="284"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B8B64" w14:textId="77777777" w:rsidR="00AD1921" w:rsidRDefault="00AD1921" w:rsidP="00DC10B3">
      <w:pPr>
        <w:spacing w:after="0"/>
      </w:pPr>
      <w:r>
        <w:separator/>
      </w:r>
    </w:p>
    <w:p w14:paraId="429F77EF" w14:textId="77777777" w:rsidR="00AD1921" w:rsidRDefault="00AD1921"/>
  </w:endnote>
  <w:endnote w:type="continuationSeparator" w:id="0">
    <w:p w14:paraId="0886F7C7" w14:textId="77777777" w:rsidR="00AD1921" w:rsidRDefault="00AD1921" w:rsidP="00DC10B3">
      <w:pPr>
        <w:spacing w:after="0"/>
      </w:pPr>
      <w:r>
        <w:continuationSeparator/>
      </w:r>
    </w:p>
    <w:p w14:paraId="3CDC4591" w14:textId="77777777" w:rsidR="00AD1921" w:rsidRDefault="00AD19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
      <w:gridCol w:w="8640"/>
    </w:tblGrid>
    <w:tr w:rsidR="0032621A" w14:paraId="4C35448E" w14:textId="77777777" w:rsidTr="00CD6056">
      <w:tc>
        <w:tcPr>
          <w:tcW w:w="425" w:type="dxa"/>
          <w:tcMar>
            <w:left w:w="0" w:type="dxa"/>
            <w:right w:w="0" w:type="dxa"/>
          </w:tcMar>
        </w:tcPr>
        <w:p w14:paraId="72536CDF" w14:textId="77777777" w:rsidR="0032621A" w:rsidRPr="00632BD3" w:rsidRDefault="0032621A" w:rsidP="0032621A">
          <w:pPr>
            <w:pStyle w:val="Footer"/>
            <w:rPr>
              <w:b/>
            </w:rPr>
          </w:pPr>
          <w:r w:rsidRPr="00632BD3">
            <w:rPr>
              <w:b/>
              <w:color w:val="auto"/>
            </w:rPr>
            <w:fldChar w:fldCharType="begin"/>
          </w:r>
          <w:r w:rsidRPr="00632BD3">
            <w:rPr>
              <w:b/>
              <w:color w:val="auto"/>
            </w:rPr>
            <w:instrText xml:space="preserve"> PAGE   \* MERGEFORMAT </w:instrText>
          </w:r>
          <w:r w:rsidRPr="00632BD3">
            <w:rPr>
              <w:b/>
              <w:color w:val="auto"/>
            </w:rPr>
            <w:fldChar w:fldCharType="separate"/>
          </w:r>
          <w:r w:rsidRPr="00632BD3">
            <w:rPr>
              <w:b/>
              <w:color w:val="auto"/>
            </w:rPr>
            <w:t>1-1</w:t>
          </w:r>
          <w:r w:rsidRPr="00632BD3">
            <w:rPr>
              <w:b/>
              <w:noProof/>
              <w:color w:val="auto"/>
            </w:rPr>
            <w:fldChar w:fldCharType="end"/>
          </w:r>
        </w:p>
      </w:tc>
      <w:tc>
        <w:tcPr>
          <w:tcW w:w="8506" w:type="dxa"/>
        </w:tcPr>
        <w:p w14:paraId="0584A186" w14:textId="3AE66AEF" w:rsidR="0032621A" w:rsidRDefault="003468E3" w:rsidP="0032621A">
          <w:pPr>
            <w:pStyle w:val="Footer"/>
          </w:pPr>
          <w:r>
            <w:fldChar w:fldCharType="begin"/>
          </w:r>
          <w:r>
            <w:instrText xml:space="preserve"> TITLE   \* MERGEFORMAT </w:instrText>
          </w:r>
          <w:r>
            <w:fldChar w:fldCharType="separate"/>
          </w:r>
          <w:r w:rsidR="000C123A" w:rsidRPr="000C123A">
            <w:rPr>
              <w:b/>
              <w:bCs/>
            </w:rPr>
            <w:t>Willatook Wind Farm</w:t>
          </w:r>
          <w:r w:rsidR="000C123A">
            <w:t xml:space="preserve"> | Environment Effects Statement</w:t>
          </w:r>
          <w:r>
            <w:fldChar w:fldCharType="end"/>
          </w:r>
          <w:r>
            <w:fldChar w:fldCharType="begin"/>
          </w:r>
          <w:r>
            <w:instrText xml:space="preserve"> STYLEREF  "Heading 1"  \* MERGEFORMAT </w:instrText>
          </w:r>
          <w:r>
            <w:fldChar w:fldCharType="separate"/>
          </w:r>
          <w:r>
            <w:rPr>
              <w:noProof/>
            </w:rPr>
            <w:br/>
            <w:t>Project rationale and benefits</w:t>
          </w:r>
          <w:r>
            <w:rPr>
              <w:noProof/>
            </w:rPr>
            <w:fldChar w:fldCharType="end"/>
          </w:r>
          <w:r w:rsidR="0032621A" w:rsidRPr="0032621A">
            <w:rPr>
              <w:b/>
            </w:rPr>
            <w:t xml:space="preserve"> </w:t>
          </w:r>
        </w:p>
      </w:tc>
    </w:tr>
  </w:tbl>
  <w:p w14:paraId="3293E23D" w14:textId="77777777" w:rsidR="00895F12" w:rsidRPr="0032621A" w:rsidRDefault="00895F12" w:rsidP="003262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9"/>
      <w:gridCol w:w="423"/>
    </w:tblGrid>
    <w:tr w:rsidR="0032621A" w14:paraId="6F7443C8" w14:textId="77777777" w:rsidTr="00CD6056">
      <w:trPr>
        <w:jc w:val="right"/>
      </w:trPr>
      <w:tc>
        <w:tcPr>
          <w:tcW w:w="8647" w:type="dxa"/>
        </w:tcPr>
        <w:p w14:paraId="36D453C3" w14:textId="74C363CA" w:rsidR="0032621A" w:rsidRDefault="003468E3" w:rsidP="00335632">
          <w:pPr>
            <w:pStyle w:val="Footer"/>
            <w:jc w:val="right"/>
          </w:pPr>
          <w:r>
            <w:fldChar w:fldCharType="begin"/>
          </w:r>
          <w:r>
            <w:instrText xml:space="preserve"> TITLE   \* MERGEFORMAT </w:instrText>
          </w:r>
          <w:r>
            <w:fldChar w:fldCharType="separate"/>
          </w:r>
          <w:r w:rsidR="000C123A" w:rsidRPr="000C123A">
            <w:rPr>
              <w:b/>
              <w:bCs/>
            </w:rPr>
            <w:t>Willatook Wind Farm</w:t>
          </w:r>
          <w:r w:rsidR="000C123A">
            <w:t xml:space="preserve"> | Environment Effects Statement</w:t>
          </w:r>
          <w:r>
            <w:fldChar w:fldCharType="end"/>
          </w:r>
          <w:r>
            <w:fldChar w:fldCharType="begin"/>
          </w:r>
          <w:r>
            <w:instrText xml:space="preserve"> STYLEREF  "Heading 1"  \* MERGEFORMAT </w:instrText>
          </w:r>
          <w:r>
            <w:fldChar w:fldCharType="separate"/>
          </w:r>
          <w:r>
            <w:rPr>
              <w:noProof/>
            </w:rPr>
            <w:br/>
            <w:t>Project rationale and benefits</w:t>
          </w:r>
          <w:r>
            <w:rPr>
              <w:noProof/>
            </w:rPr>
            <w:fldChar w:fldCharType="end"/>
          </w:r>
          <w:r w:rsidR="0032621A" w:rsidRPr="0032621A">
            <w:rPr>
              <w:b/>
            </w:rPr>
            <w:t xml:space="preserve"> </w:t>
          </w:r>
        </w:p>
      </w:tc>
      <w:tc>
        <w:tcPr>
          <w:tcW w:w="423" w:type="dxa"/>
          <w:tcMar>
            <w:left w:w="0" w:type="dxa"/>
            <w:right w:w="0" w:type="dxa"/>
          </w:tcMar>
        </w:tcPr>
        <w:p w14:paraId="0A9E2168" w14:textId="77777777" w:rsidR="0032621A" w:rsidRPr="00632BD3" w:rsidRDefault="0032621A" w:rsidP="00335632">
          <w:pPr>
            <w:pStyle w:val="Footer"/>
            <w:jc w:val="right"/>
            <w:rPr>
              <w:b/>
              <w:color w:val="5BC3EB"/>
            </w:rPr>
          </w:pPr>
          <w:r w:rsidRPr="00632BD3">
            <w:rPr>
              <w:b/>
              <w:color w:val="auto"/>
            </w:rPr>
            <w:fldChar w:fldCharType="begin"/>
          </w:r>
          <w:r w:rsidRPr="00632BD3">
            <w:rPr>
              <w:b/>
              <w:color w:val="auto"/>
            </w:rPr>
            <w:instrText xml:space="preserve"> PAGE   \* MERGEFORMAT </w:instrText>
          </w:r>
          <w:r w:rsidRPr="00632BD3">
            <w:rPr>
              <w:b/>
              <w:color w:val="auto"/>
            </w:rPr>
            <w:fldChar w:fldCharType="separate"/>
          </w:r>
          <w:r w:rsidRPr="00632BD3">
            <w:rPr>
              <w:b/>
              <w:color w:val="auto"/>
            </w:rPr>
            <w:t>1-1</w:t>
          </w:r>
          <w:r w:rsidRPr="00632BD3">
            <w:rPr>
              <w:b/>
              <w:noProof/>
              <w:color w:val="auto"/>
            </w:rPr>
            <w:fldChar w:fldCharType="end"/>
          </w:r>
        </w:p>
      </w:tc>
    </w:tr>
  </w:tbl>
  <w:p w14:paraId="5A5947EA" w14:textId="77777777" w:rsidR="00A8282B" w:rsidRDefault="00A8282B" w:rsidP="0032621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32879" w14:textId="17303E0D" w:rsidR="00E13EA9" w:rsidRDefault="003468E3" w:rsidP="008C12B0">
    <w:pPr>
      <w:pStyle w:val="Footer"/>
      <w:jc w:val="right"/>
    </w:pPr>
    <w:r>
      <w:fldChar w:fldCharType="begin"/>
    </w:r>
    <w:r>
      <w:instrText xml:space="preserve"> TITLE   \* MERGEFORMAT </w:instrText>
    </w:r>
    <w:r>
      <w:fldChar w:fldCharType="separate"/>
    </w:r>
    <w:r w:rsidR="000C123A">
      <w:t>Willatook Wind Farm | Environment Effects Statement</w:t>
    </w:r>
    <w:r>
      <w:fldChar w:fldCharType="end"/>
    </w:r>
    <w:r w:rsidR="00E13EA9">
      <w:t xml:space="preserve"> 2018 </w:t>
    </w:r>
    <w:r w:rsidR="00E13EA9" w:rsidRPr="008D2F0D">
      <w:rPr>
        <w:b/>
      </w:rPr>
      <w:t xml:space="preserve">| </w:t>
    </w:r>
    <w:r w:rsidR="00E13EA9" w:rsidRPr="008D2F0D">
      <w:rPr>
        <w:b/>
      </w:rPr>
      <w:fldChar w:fldCharType="begin"/>
    </w:r>
    <w:r w:rsidR="00E13EA9" w:rsidRPr="008D2F0D">
      <w:rPr>
        <w:b/>
      </w:rPr>
      <w:instrText xml:space="preserve"> PAGE   \* MERGEFORMAT </w:instrText>
    </w:r>
    <w:r w:rsidR="00E13EA9" w:rsidRPr="008D2F0D">
      <w:rPr>
        <w:b/>
      </w:rPr>
      <w:fldChar w:fldCharType="separate"/>
    </w:r>
    <w:r w:rsidR="00E13EA9">
      <w:rPr>
        <w:b/>
        <w:noProof/>
      </w:rPr>
      <w:t>2</w:t>
    </w:r>
    <w:r w:rsidR="00E13EA9" w:rsidRPr="008D2F0D">
      <w:rPr>
        <w:b/>
        <w:noProof/>
      </w:rPr>
      <w:fldChar w:fldCharType="end"/>
    </w:r>
  </w:p>
  <w:p w14:paraId="488476D5" w14:textId="77777777" w:rsidR="00E13EA9" w:rsidRDefault="00E13EA9" w:rsidP="008C12B0"/>
  <w:p w14:paraId="1CCFB128" w14:textId="77777777" w:rsidR="00E13EA9" w:rsidRPr="008C12B0" w:rsidRDefault="00E13EA9" w:rsidP="008C12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71B1C" w14:textId="77777777" w:rsidR="00AD1921" w:rsidRDefault="00AD1921" w:rsidP="00DC10B3">
      <w:pPr>
        <w:spacing w:after="0"/>
      </w:pPr>
      <w:r>
        <w:separator/>
      </w:r>
    </w:p>
    <w:p w14:paraId="3947C9B4" w14:textId="77777777" w:rsidR="00AD1921" w:rsidRDefault="00AD1921"/>
  </w:footnote>
  <w:footnote w:type="continuationSeparator" w:id="0">
    <w:p w14:paraId="50A42C7C" w14:textId="77777777" w:rsidR="00AD1921" w:rsidRDefault="00AD1921" w:rsidP="00DC10B3">
      <w:pPr>
        <w:spacing w:after="0"/>
      </w:pPr>
      <w:r>
        <w:continuationSeparator/>
      </w:r>
    </w:p>
    <w:p w14:paraId="454B7BD2" w14:textId="77777777" w:rsidR="00AD1921" w:rsidRDefault="00AD19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095DB" w14:textId="77777777" w:rsidR="00094EB8" w:rsidRDefault="00B02211">
    <w:pPr>
      <w:pStyle w:val="Header"/>
    </w:pPr>
    <w:r>
      <w:rPr>
        <w:noProof/>
      </w:rPr>
      <w:drawing>
        <wp:anchor distT="0" distB="0" distL="114300" distR="114300" simplePos="0" relativeHeight="251676672" behindDoc="0" locked="0" layoutInCell="1" allowOverlap="1" wp14:anchorId="7B84D771" wp14:editId="7CB88FDD">
          <wp:simplePos x="0" y="0"/>
          <wp:positionH relativeFrom="column">
            <wp:posOffset>-885825</wp:posOffset>
          </wp:positionH>
          <wp:positionV relativeFrom="paragraph">
            <wp:posOffset>-438785</wp:posOffset>
          </wp:positionV>
          <wp:extent cx="3600000" cy="565395"/>
          <wp:effectExtent l="0" t="0" r="0"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2607" b="94738"/>
                  <a:stretch/>
                </pic:blipFill>
                <pic:spPr bwMode="auto">
                  <a:xfrm flipH="1">
                    <a:off x="0" y="0"/>
                    <a:ext cx="3600000" cy="56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30916" w14:textId="77777777" w:rsidR="00E13EA9" w:rsidRDefault="00B02211">
    <w:pPr>
      <w:pStyle w:val="Header"/>
    </w:pPr>
    <w:bookmarkStart w:id="83" w:name="_Hlk84494301"/>
    <w:bookmarkStart w:id="84" w:name="_Hlk84494302"/>
    <w:r>
      <w:rPr>
        <w:noProof/>
      </w:rPr>
      <w:drawing>
        <wp:anchor distT="0" distB="0" distL="114300" distR="114300" simplePos="0" relativeHeight="251674624" behindDoc="0" locked="0" layoutInCell="1" allowOverlap="1" wp14:anchorId="5E52A788" wp14:editId="7D88BF17">
          <wp:simplePos x="0" y="0"/>
          <wp:positionH relativeFrom="column">
            <wp:posOffset>3061335</wp:posOffset>
          </wp:positionH>
          <wp:positionV relativeFrom="paragraph">
            <wp:posOffset>-440690</wp:posOffset>
          </wp:positionV>
          <wp:extent cx="3600000" cy="565395"/>
          <wp:effectExtent l="0" t="0" r="635"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2607" b="94738"/>
                  <a:stretch/>
                </pic:blipFill>
                <pic:spPr bwMode="auto">
                  <a:xfrm>
                    <a:off x="0" y="0"/>
                    <a:ext cx="3600000" cy="56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83"/>
    <w:bookmarkEnd w:id="8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8B411" w14:textId="77777777" w:rsidR="00E13EA9" w:rsidRDefault="00E13EA9">
    <w:pPr>
      <w:pStyle w:val="Header"/>
    </w:pPr>
    <w:bookmarkStart w:id="85" w:name="_Hlk519249691"/>
    <w:bookmarkStart w:id="86" w:name="_Hlk519249692"/>
    <w:bookmarkStart w:id="87" w:name="_Hlk519249693"/>
    <w:bookmarkStart w:id="88" w:name="_Hlk84494303"/>
    <w:bookmarkStart w:id="89" w:name="_Hlk84494304"/>
    <w:bookmarkEnd w:id="85"/>
    <w:bookmarkEnd w:id="86"/>
    <w:bookmarkEnd w:id="87"/>
    <w:bookmarkEnd w:id="88"/>
    <w:bookmarkEnd w:id="8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AC857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47E6FCE"/>
    <w:lvl w:ilvl="0">
      <w:start w:val="1"/>
      <w:numFmt w:val="decimal"/>
      <w:pStyle w:val="ListNumber4"/>
      <w:lvlText w:val="%1."/>
      <w:lvlJc w:val="left"/>
      <w:pPr>
        <w:tabs>
          <w:tab w:val="num" w:pos="1209"/>
        </w:tabs>
        <w:ind w:left="1209" w:hanging="360"/>
      </w:pPr>
    </w:lvl>
  </w:abstractNum>
  <w:abstractNum w:abstractNumId="2" w15:restartNumberingAfterBreak="0">
    <w:nsid w:val="FFFFFF89"/>
    <w:multiLevelType w:val="singleLevel"/>
    <w:tmpl w:val="0A3C0C5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5B0EA9CA"/>
    <w:lvl w:ilvl="0">
      <w:start w:val="1"/>
      <w:numFmt w:val="none"/>
      <w:suff w:val="nothing"/>
      <w:lvlText w:val=""/>
      <w:lvlJc w:val="left"/>
      <w:pPr>
        <w:ind w:left="113" w:firstLine="0"/>
      </w:pPr>
      <w:rPr>
        <w:rFonts w:hint="default"/>
      </w:rPr>
    </w:lvl>
    <w:lvl w:ilvl="1">
      <w:start w:val="1"/>
      <w:numFmt w:val="decimal"/>
      <w:pStyle w:val="Footnotes"/>
      <w:lvlText w:val="%2."/>
      <w:lvlJc w:val="left"/>
      <w:pPr>
        <w:tabs>
          <w:tab w:val="num" w:pos="357"/>
        </w:tabs>
        <w:ind w:left="357" w:hanging="357"/>
      </w:pPr>
      <w:rPr>
        <w:rFonts w:hint="default"/>
        <w:b w:val="0"/>
        <w:bCs/>
        <w:i w:val="0"/>
        <w:color w:val="1C2B39" w:themeColor="text2"/>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64F3927"/>
    <w:multiLevelType w:val="multilevel"/>
    <w:tmpl w:val="5262EEF0"/>
    <w:numStyleLink w:val="LXRANumberedList"/>
  </w:abstractNum>
  <w:abstractNum w:abstractNumId="6" w15:restartNumberingAfterBreak="0">
    <w:nsid w:val="0FB2573F"/>
    <w:multiLevelType w:val="multilevel"/>
    <w:tmpl w:val="DE1A4C60"/>
    <w:lvl w:ilvl="0">
      <w:start w:val="1"/>
      <w:numFmt w:val="none"/>
      <w:suff w:val="nothing"/>
      <w:lvlText w:val=""/>
      <w:lvlJc w:val="left"/>
      <w:pPr>
        <w:ind w:left="113" w:firstLine="0"/>
      </w:pPr>
      <w:rPr>
        <w:rFonts w:hint="default"/>
        <w:spacing w:val="-10"/>
      </w:rPr>
    </w:lvl>
    <w:lvl w:ilvl="1">
      <w:start w:val="1"/>
      <w:numFmt w:val="decimal"/>
      <w:pStyle w:val="TableFootnotes"/>
      <w:lvlText w:val="(%2)"/>
      <w:lvlJc w:val="left"/>
      <w:pPr>
        <w:tabs>
          <w:tab w:val="num" w:pos="425"/>
        </w:tabs>
        <w:ind w:left="425" w:hanging="425"/>
      </w:pPr>
      <w:rPr>
        <w:rFonts w:hint="default"/>
        <w:spacing w:val="0"/>
        <w:w w:val="100"/>
        <w:kern w:val="0"/>
        <w:position w:val="0"/>
      </w:rPr>
    </w:lvl>
    <w:lvl w:ilvl="2">
      <w:start w:val="1"/>
      <w:numFmt w:val="none"/>
      <w:lvlRestart w:val="1"/>
      <w:lvlText w:val=""/>
      <w:lvlJc w:val="left"/>
      <w:pPr>
        <w:tabs>
          <w:tab w:val="num" w:pos="284"/>
        </w:tabs>
        <w:ind w:left="284" w:hanging="284"/>
      </w:pPr>
      <w:rPr>
        <w:rFonts w:hint="default"/>
        <w:color w:val="auto"/>
        <w:spacing w:val="-4"/>
      </w:rPr>
    </w:lvl>
    <w:lvl w:ilvl="3">
      <w:start w:val="1"/>
      <w:numFmt w:val="none"/>
      <w:lvlText w:val=""/>
      <w:lvlJc w:val="left"/>
      <w:pPr>
        <w:tabs>
          <w:tab w:val="num" w:pos="0"/>
        </w:tabs>
        <w:ind w:left="-709" w:firstLine="0"/>
      </w:pPr>
      <w:rPr>
        <w:rFonts w:hint="default"/>
        <w:spacing w:val="-10"/>
        <w:w w:val="100"/>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2160"/>
        </w:tabs>
        <w:ind w:left="2016" w:hanging="936"/>
      </w:pPr>
      <w:rPr>
        <w:rFonts w:hint="default"/>
      </w:rPr>
    </w:lvl>
    <w:lvl w:ilvl="6">
      <w:start w:val="1"/>
      <w:numFmt w:val="lowerRoman"/>
      <w:lvlRestart w:val="1"/>
      <w:lvlText w:val="%7"/>
      <w:lvlJc w:val="left"/>
      <w:pPr>
        <w:tabs>
          <w:tab w:val="num" w:pos="369"/>
        </w:tabs>
        <w:ind w:left="369" w:hanging="369"/>
      </w:pPr>
      <w:rPr>
        <w:rFonts w:hint="default"/>
      </w:rPr>
    </w:lvl>
    <w:lvl w:ilvl="7">
      <w:start w:val="1"/>
      <w:numFmt w:val="lowerLetter"/>
      <w:lvlText w:val="%8."/>
      <w:lvlJc w:val="left"/>
      <w:pPr>
        <w:tabs>
          <w:tab w:val="num" w:pos="737"/>
        </w:tabs>
        <w:ind w:left="737" w:hanging="368"/>
      </w:pPr>
      <w:rPr>
        <w:rFonts w:hint="default"/>
        <w:position w:val="0"/>
      </w:rPr>
    </w:lvl>
    <w:lvl w:ilvl="8">
      <w:start w:val="1"/>
      <w:numFmt w:val="bullet"/>
      <w:lvlText w:val=""/>
      <w:lvlJc w:val="left"/>
      <w:pPr>
        <w:tabs>
          <w:tab w:val="num" w:pos="1106"/>
        </w:tabs>
        <w:ind w:left="1106" w:hanging="369"/>
      </w:pPr>
      <w:rPr>
        <w:rFonts w:ascii="Symbol" w:hAnsi="Symbol" w:hint="default"/>
        <w:position w:val="2"/>
        <w:sz w:val="20"/>
        <w:szCs w:val="20"/>
      </w:rPr>
    </w:lvl>
  </w:abstractNum>
  <w:abstractNum w:abstractNumId="7" w15:restartNumberingAfterBreak="0">
    <w:nsid w:val="1AC53308"/>
    <w:multiLevelType w:val="multilevel"/>
    <w:tmpl w:val="0E1456D0"/>
    <w:lvl w:ilvl="0">
      <w:start w:val="2"/>
      <w:numFmt w:val="decimal"/>
      <w:pStyle w:val="Heading1"/>
      <w:suff w:val="nothing"/>
      <w:lvlText w:val="Chapter %1"/>
      <w:lvlJc w:val="left"/>
      <w:pPr>
        <w:ind w:left="1134" w:hanging="1134"/>
      </w:pPr>
      <w:rPr>
        <w:rFonts w:hint="default"/>
        <w:color w:val="auto"/>
        <w:sz w:val="48"/>
        <w:szCs w:val="48"/>
      </w:rPr>
    </w:lvl>
    <w:lvl w:ilvl="1">
      <w:start w:val="1"/>
      <w:numFmt w:val="decimal"/>
      <w:pStyle w:val="Heading2"/>
      <w:lvlText w:val="%1.%2"/>
      <w:lvlJc w:val="left"/>
      <w:pPr>
        <w:ind w:left="1134" w:hanging="11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134" w:hanging="1134"/>
      </w:pPr>
      <w:rPr>
        <w:rFonts w:hint="default"/>
        <w:b w:val="0"/>
        <w:bCs w:val="0"/>
      </w:rPr>
    </w:lvl>
    <w:lvl w:ilvl="3">
      <w:start w:val="1"/>
      <w:numFmt w:val="decimal"/>
      <w:lvlText w:val="%1.%2.%3.%4"/>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9" w15:restartNumberingAfterBreak="0">
    <w:nsid w:val="2C976934"/>
    <w:multiLevelType w:val="multilevel"/>
    <w:tmpl w:val="C9881CB4"/>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3178730F"/>
    <w:multiLevelType w:val="multilevel"/>
    <w:tmpl w:val="AB24EEA4"/>
    <w:name w:val="WSP Appendices"/>
    <w:lvl w:ilvl="0">
      <w:start w:val="1"/>
      <w:numFmt w:val="upperLetter"/>
      <w:lvlText w:val="Appendix %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lowerRoman"/>
      <w:lvlText w:val="%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right"/>
      <w:pPr>
        <w:ind w:left="1134" w:hanging="1134"/>
      </w:pPr>
      <w:rPr>
        <w:rFonts w:hint="default"/>
      </w:rPr>
    </w:lvl>
  </w:abstractNum>
  <w:abstractNum w:abstractNumId="11" w15:restartNumberingAfterBreak="0">
    <w:nsid w:val="3AAB7112"/>
    <w:multiLevelType w:val="multilevel"/>
    <w:tmpl w:val="5262EEF0"/>
    <w:styleLink w:val="LXRANumberedList"/>
    <w:lvl w:ilvl="0">
      <w:start w:val="1"/>
      <w:numFmt w:val="decimal"/>
      <w:pStyle w:val="ListNumber"/>
      <w:lvlText w:val="%1."/>
      <w:lvlJc w:val="left"/>
      <w:pPr>
        <w:tabs>
          <w:tab w:val="num" w:pos="360"/>
        </w:tabs>
        <w:ind w:left="284" w:hanging="284"/>
      </w:pPr>
      <w:rPr>
        <w:rFonts w:hint="default"/>
      </w:rPr>
    </w:lvl>
    <w:lvl w:ilvl="1">
      <w:start w:val="1"/>
      <w:numFmt w:val="lowerLetter"/>
      <w:pStyle w:val="ListNumber2"/>
      <w:lvlText w:val="%2."/>
      <w:lvlJc w:val="left"/>
      <w:pPr>
        <w:tabs>
          <w:tab w:val="num" w:pos="2835"/>
        </w:tabs>
        <w:ind w:left="567" w:hanging="283"/>
      </w:pPr>
      <w:rPr>
        <w:rFonts w:hint="default"/>
      </w:rPr>
    </w:lvl>
    <w:lvl w:ilvl="2">
      <w:start w:val="1"/>
      <w:numFmt w:val="lowerRoman"/>
      <w:pStyle w:val="ListNumber3"/>
      <w:lvlText w:val="%3."/>
      <w:lvlJc w:val="left"/>
      <w:pPr>
        <w:ind w:left="851" w:hanging="284"/>
      </w:pPr>
      <w:rPr>
        <w:rFonts w:hint="default"/>
      </w:rPr>
    </w:lvl>
    <w:lvl w:ilvl="3">
      <w:start w:val="1"/>
      <w:numFmt w:val="none"/>
      <w:lvlText w:val="%4"/>
      <w:lvlJc w:val="left"/>
      <w:pPr>
        <w:ind w:left="1134" w:hanging="283"/>
      </w:pPr>
      <w:rPr>
        <w:rFonts w:hint="default"/>
      </w:rPr>
    </w:lvl>
    <w:lvl w:ilvl="4">
      <w:start w:val="1"/>
      <w:numFmt w:val="none"/>
      <w:lvlText w:val="%5"/>
      <w:lvlJc w:val="left"/>
      <w:pPr>
        <w:ind w:left="1418" w:hanging="284"/>
      </w:pPr>
      <w:rPr>
        <w:rFonts w:hint="default"/>
      </w:rPr>
    </w:lvl>
    <w:lvl w:ilvl="5">
      <w:start w:val="1"/>
      <w:numFmt w:val="none"/>
      <w:lvlText w:val="%6"/>
      <w:lvlJc w:val="right"/>
      <w:pPr>
        <w:ind w:left="4320" w:hanging="180"/>
      </w:pPr>
      <w:rPr>
        <w:rFonts w:hint="default"/>
      </w:rPr>
    </w:lvl>
    <w:lvl w:ilvl="6">
      <w:start w:val="1"/>
      <w:numFmt w:val="none"/>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12" w15:restartNumberingAfterBreak="0">
    <w:nsid w:val="3CB352F4"/>
    <w:multiLevelType w:val="multilevel"/>
    <w:tmpl w:val="B176A4CE"/>
    <w:styleLink w:val="LXRABullets"/>
    <w:lvl w:ilvl="0">
      <w:start w:val="1"/>
      <w:numFmt w:val="bullet"/>
      <w:pStyle w:val="ListBullet"/>
      <w:lvlText w:val="•"/>
      <w:lvlJc w:val="left"/>
      <w:pPr>
        <w:ind w:left="284" w:hanging="284"/>
      </w:pPr>
      <w:rPr>
        <w:rFonts w:ascii="Calibri" w:hAnsi="Calibri" w:hint="default"/>
      </w:rPr>
    </w:lvl>
    <w:lvl w:ilvl="1">
      <w:start w:val="1"/>
      <w:numFmt w:val="bullet"/>
      <w:pStyle w:val="ListBullet2"/>
      <w:lvlText w:val="̵"/>
      <w:lvlJc w:val="left"/>
      <w:pPr>
        <w:ind w:left="567" w:hanging="283"/>
      </w:pPr>
      <w:rPr>
        <w:rFonts w:ascii="Courier New" w:hAnsi="Courier New" w:hint="default"/>
      </w:rPr>
    </w:lvl>
    <w:lvl w:ilvl="2">
      <w:start w:val="1"/>
      <w:numFmt w:val="bullet"/>
      <w:pStyle w:val="ListBullet3"/>
      <w:lvlText w:val="›"/>
      <w:lvlJc w:val="left"/>
      <w:pPr>
        <w:ind w:left="851" w:hanging="284"/>
      </w:pPr>
      <w:rPr>
        <w:rFonts w:ascii="Calibri" w:hAnsi="Calibri" w:hint="default"/>
      </w:rPr>
    </w:lvl>
    <w:lvl w:ilvl="3">
      <w:start w:val="1"/>
      <w:numFmt w:val="bullet"/>
      <w:pStyle w:val="ListBullet4"/>
      <w:lvlText w:val="▪"/>
      <w:lvlJc w:val="left"/>
      <w:pPr>
        <w:ind w:left="1134" w:hanging="283"/>
      </w:pPr>
      <w:rPr>
        <w:rFonts w:ascii="Calibri" w:hAnsi="Calibri" w:hint="default"/>
      </w:rPr>
    </w:lvl>
    <w:lvl w:ilvl="4">
      <w:start w:val="1"/>
      <w:numFmt w:val="bullet"/>
      <w:pStyle w:val="ListBullet5"/>
      <w:lvlText w:val="▫"/>
      <w:lvlJc w:val="left"/>
      <w:pPr>
        <w:ind w:left="1418" w:hanging="284"/>
      </w:pPr>
      <w:rPr>
        <w:rFonts w:ascii="Calibri" w:hAnsi="Calibri" w:hint="default"/>
      </w:rPr>
    </w:lvl>
    <w:lvl w:ilvl="5">
      <w:start w:val="1"/>
      <w:numFmt w:val="none"/>
      <w:lvlText w:val=""/>
      <w:lvlJc w:val="left"/>
      <w:pPr>
        <w:ind w:left="4539" w:hanging="284"/>
      </w:pPr>
      <w:rPr>
        <w:rFonts w:hint="default"/>
      </w:rPr>
    </w:lvl>
    <w:lvl w:ilvl="6">
      <w:start w:val="1"/>
      <w:numFmt w:val="none"/>
      <w:lvlText w:val=""/>
      <w:lvlJc w:val="left"/>
      <w:pPr>
        <w:ind w:left="5390" w:hanging="284"/>
      </w:pPr>
      <w:rPr>
        <w:rFonts w:hint="default"/>
      </w:rPr>
    </w:lvl>
    <w:lvl w:ilvl="7">
      <w:start w:val="1"/>
      <w:numFmt w:val="none"/>
      <w:lvlText w:val=""/>
      <w:lvlJc w:val="left"/>
      <w:pPr>
        <w:ind w:left="6241" w:hanging="284"/>
      </w:pPr>
      <w:rPr>
        <w:rFonts w:hint="default"/>
      </w:rPr>
    </w:lvl>
    <w:lvl w:ilvl="8">
      <w:start w:val="1"/>
      <w:numFmt w:val="none"/>
      <w:lvlText w:val=""/>
      <w:lvlJc w:val="left"/>
      <w:pPr>
        <w:ind w:left="7092" w:hanging="284"/>
      </w:pPr>
      <w:rPr>
        <w:rFonts w:hint="default"/>
      </w:rPr>
    </w:lvl>
  </w:abstractNum>
  <w:abstractNum w:abstractNumId="13" w15:restartNumberingAfterBreak="0">
    <w:nsid w:val="48151EE0"/>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15" w15:restartNumberingAfterBreak="0">
    <w:nsid w:val="4E3F18A4"/>
    <w:multiLevelType w:val="hybridMultilevel"/>
    <w:tmpl w:val="2604A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890B29"/>
    <w:multiLevelType w:val="hybridMultilevel"/>
    <w:tmpl w:val="067CFC18"/>
    <w:name w:val="MyHeadings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741D25"/>
    <w:multiLevelType w:val="multilevel"/>
    <w:tmpl w:val="10107B4A"/>
    <w:styleLink w:val="TableFootnotes0"/>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8" w15:restartNumberingAfterBreak="0">
    <w:nsid w:val="5D820AEB"/>
    <w:multiLevelType w:val="multilevel"/>
    <w:tmpl w:val="B176A4CE"/>
    <w:numStyleLink w:val="LXRABullets"/>
  </w:abstractNum>
  <w:abstractNum w:abstractNumId="19" w15:restartNumberingAfterBreak="0">
    <w:nsid w:val="6DFC32B5"/>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EBD745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862164096">
    <w:abstractNumId w:val="1"/>
  </w:num>
  <w:num w:numId="2" w16cid:durableId="684359441">
    <w:abstractNumId w:val="0"/>
  </w:num>
  <w:num w:numId="3" w16cid:durableId="1487360962">
    <w:abstractNumId w:val="12"/>
  </w:num>
  <w:num w:numId="4" w16cid:durableId="1988775395">
    <w:abstractNumId w:val="11"/>
  </w:num>
  <w:num w:numId="5" w16cid:durableId="1279918318">
    <w:abstractNumId w:val="5"/>
    <w:lvlOverride w:ilvl="0">
      <w:lvl w:ilvl="0">
        <w:start w:val="1"/>
        <w:numFmt w:val="decimal"/>
        <w:pStyle w:val="ListNumber"/>
        <w:lvlText w:val="%1."/>
        <w:lvlJc w:val="left"/>
        <w:pPr>
          <w:tabs>
            <w:tab w:val="num" w:pos="360"/>
          </w:tabs>
          <w:ind w:left="284" w:hanging="284"/>
        </w:pPr>
        <w:rPr>
          <w:rFonts w:hint="default"/>
        </w:rPr>
      </w:lvl>
    </w:lvlOverride>
    <w:lvlOverride w:ilvl="1">
      <w:lvl w:ilvl="1">
        <w:start w:val="1"/>
        <w:numFmt w:val="lowerLetter"/>
        <w:pStyle w:val="ListNumber2"/>
        <w:lvlText w:val="%2."/>
        <w:lvlJc w:val="left"/>
        <w:pPr>
          <w:tabs>
            <w:tab w:val="num" w:pos="2835"/>
          </w:tabs>
          <w:ind w:left="567" w:hanging="283"/>
        </w:pPr>
        <w:rPr>
          <w:rFonts w:hint="default"/>
        </w:rPr>
      </w:lvl>
    </w:lvlOverride>
    <w:lvlOverride w:ilvl="2">
      <w:lvl w:ilvl="2">
        <w:start w:val="1"/>
        <w:numFmt w:val="lowerRoman"/>
        <w:pStyle w:val="ListNumber3"/>
        <w:lvlText w:val="%3."/>
        <w:lvlJc w:val="left"/>
        <w:pPr>
          <w:ind w:left="851" w:hanging="284"/>
        </w:pPr>
        <w:rPr>
          <w:rFonts w:hint="default"/>
        </w:rPr>
      </w:lvl>
    </w:lvlOverride>
    <w:lvlOverride w:ilvl="3">
      <w:lvl w:ilvl="3">
        <w:start w:val="1"/>
        <w:numFmt w:val="none"/>
        <w:lvlText w:val="%4"/>
        <w:lvlJc w:val="left"/>
        <w:pPr>
          <w:ind w:left="1134" w:hanging="283"/>
        </w:pPr>
        <w:rPr>
          <w:rFonts w:hint="default"/>
        </w:rPr>
      </w:lvl>
    </w:lvlOverride>
    <w:lvlOverride w:ilvl="4">
      <w:lvl w:ilvl="4">
        <w:start w:val="1"/>
        <w:numFmt w:val="none"/>
        <w:lvlText w:val="%5"/>
        <w:lvlJc w:val="left"/>
        <w:pPr>
          <w:ind w:left="1418" w:hanging="284"/>
        </w:pPr>
        <w:rPr>
          <w:rFonts w:hint="default"/>
        </w:rPr>
      </w:lvl>
    </w:lvlOverride>
    <w:lvlOverride w:ilvl="5">
      <w:lvl w:ilvl="5">
        <w:start w:val="1"/>
        <w:numFmt w:val="none"/>
        <w:lvlText w:val="%6"/>
        <w:lvlJc w:val="right"/>
        <w:pPr>
          <w:ind w:left="4320" w:hanging="180"/>
        </w:pPr>
        <w:rPr>
          <w:rFonts w:hint="default"/>
        </w:rPr>
      </w:lvl>
    </w:lvlOverride>
    <w:lvlOverride w:ilvl="6">
      <w:lvl w:ilvl="6">
        <w:start w:val="1"/>
        <w:numFmt w:val="none"/>
        <w:lvlText w:val="%7"/>
        <w:lvlJc w:val="left"/>
        <w:pPr>
          <w:ind w:left="5040" w:hanging="360"/>
        </w:pPr>
        <w:rPr>
          <w:rFonts w:hint="default"/>
        </w:rPr>
      </w:lvl>
    </w:lvlOverride>
    <w:lvlOverride w:ilvl="7">
      <w:lvl w:ilvl="7">
        <w:start w:val="1"/>
        <w:numFmt w:val="none"/>
        <w:lvlText w:val="%8"/>
        <w:lvlJc w:val="left"/>
        <w:pPr>
          <w:ind w:left="5760" w:hanging="360"/>
        </w:pPr>
        <w:rPr>
          <w:rFonts w:hint="default"/>
        </w:rPr>
      </w:lvl>
    </w:lvlOverride>
    <w:lvlOverride w:ilvl="8">
      <w:lvl w:ilvl="8">
        <w:start w:val="1"/>
        <w:numFmt w:val="none"/>
        <w:lvlText w:val="%9"/>
        <w:lvlJc w:val="right"/>
        <w:pPr>
          <w:ind w:left="6480" w:hanging="180"/>
        </w:pPr>
        <w:rPr>
          <w:rFonts w:hint="default"/>
        </w:rPr>
      </w:lvl>
    </w:lvlOverride>
  </w:num>
  <w:num w:numId="6" w16cid:durableId="996425093">
    <w:abstractNumId w:val="18"/>
  </w:num>
  <w:num w:numId="7" w16cid:durableId="13238586">
    <w:abstractNumId w:val="7"/>
  </w:num>
  <w:num w:numId="8" w16cid:durableId="1035889420">
    <w:abstractNumId w:val="7"/>
  </w:num>
  <w:num w:numId="9" w16cid:durableId="616569945">
    <w:abstractNumId w:val="4"/>
  </w:num>
  <w:num w:numId="10" w16cid:durableId="1088623535">
    <w:abstractNumId w:val="8"/>
  </w:num>
  <w:num w:numId="11" w16cid:durableId="1678656382">
    <w:abstractNumId w:val="3"/>
  </w:num>
  <w:num w:numId="12" w16cid:durableId="1661158584">
    <w:abstractNumId w:val="6"/>
  </w:num>
  <w:num w:numId="13" w16cid:durableId="923608350">
    <w:abstractNumId w:val="9"/>
  </w:num>
  <w:num w:numId="14" w16cid:durableId="1994989376">
    <w:abstractNumId w:val="17"/>
  </w:num>
  <w:num w:numId="15" w16cid:durableId="1397167549">
    <w:abstractNumId w:val="14"/>
  </w:num>
  <w:num w:numId="16" w16cid:durableId="233324434">
    <w:abstractNumId w:val="19"/>
  </w:num>
  <w:num w:numId="17" w16cid:durableId="1865287034">
    <w:abstractNumId w:val="20"/>
  </w:num>
  <w:num w:numId="18" w16cid:durableId="536938738">
    <w:abstractNumId w:val="13"/>
  </w:num>
  <w:num w:numId="19" w16cid:durableId="1004211356">
    <w:abstractNumId w:val="16"/>
  </w:num>
  <w:num w:numId="20" w16cid:durableId="1535077237">
    <w:abstractNumId w:val="15"/>
  </w:num>
  <w:num w:numId="21" w16cid:durableId="1844007517">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720"/>
  <w:evenAndOddHeaders/>
  <w:drawingGridHorizontalSpacing w:val="95"/>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AppendixName" w:val="Appendix"/>
  </w:docVars>
  <w:rsids>
    <w:rsidRoot w:val="00A71164"/>
    <w:rsid w:val="00003949"/>
    <w:rsid w:val="00014147"/>
    <w:rsid w:val="0002237F"/>
    <w:rsid w:val="00032E82"/>
    <w:rsid w:val="000337DA"/>
    <w:rsid w:val="00037642"/>
    <w:rsid w:val="00041CC6"/>
    <w:rsid w:val="00041E70"/>
    <w:rsid w:val="00043402"/>
    <w:rsid w:val="00044F86"/>
    <w:rsid w:val="00047205"/>
    <w:rsid w:val="00050902"/>
    <w:rsid w:val="00053373"/>
    <w:rsid w:val="00057EFC"/>
    <w:rsid w:val="0006151E"/>
    <w:rsid w:val="00063B62"/>
    <w:rsid w:val="00074A7D"/>
    <w:rsid w:val="000751CD"/>
    <w:rsid w:val="000773B9"/>
    <w:rsid w:val="00084512"/>
    <w:rsid w:val="0009234B"/>
    <w:rsid w:val="00092DC7"/>
    <w:rsid w:val="00094EB8"/>
    <w:rsid w:val="000963CD"/>
    <w:rsid w:val="000A36C5"/>
    <w:rsid w:val="000A3786"/>
    <w:rsid w:val="000A72A4"/>
    <w:rsid w:val="000A7D48"/>
    <w:rsid w:val="000B6E30"/>
    <w:rsid w:val="000C123A"/>
    <w:rsid w:val="000C2447"/>
    <w:rsid w:val="000C3BCA"/>
    <w:rsid w:val="000C4C89"/>
    <w:rsid w:val="000C66AD"/>
    <w:rsid w:val="000D1E34"/>
    <w:rsid w:val="000D74C6"/>
    <w:rsid w:val="000D7729"/>
    <w:rsid w:val="000D7ECE"/>
    <w:rsid w:val="000E1FAE"/>
    <w:rsid w:val="000E5399"/>
    <w:rsid w:val="000E54C9"/>
    <w:rsid w:val="000F4EC0"/>
    <w:rsid w:val="000F5FB5"/>
    <w:rsid w:val="000F6116"/>
    <w:rsid w:val="000F7987"/>
    <w:rsid w:val="000F7996"/>
    <w:rsid w:val="001029CF"/>
    <w:rsid w:val="00106518"/>
    <w:rsid w:val="001134D2"/>
    <w:rsid w:val="00116CB6"/>
    <w:rsid w:val="00122694"/>
    <w:rsid w:val="0012483F"/>
    <w:rsid w:val="00124E89"/>
    <w:rsid w:val="00131634"/>
    <w:rsid w:val="0013604A"/>
    <w:rsid w:val="001375EE"/>
    <w:rsid w:val="00141EFB"/>
    <w:rsid w:val="00151B93"/>
    <w:rsid w:val="00154761"/>
    <w:rsid w:val="00156875"/>
    <w:rsid w:val="001575B6"/>
    <w:rsid w:val="00161C13"/>
    <w:rsid w:val="00173082"/>
    <w:rsid w:val="0017327A"/>
    <w:rsid w:val="00173E17"/>
    <w:rsid w:val="0017694B"/>
    <w:rsid w:val="0018121D"/>
    <w:rsid w:val="00185F14"/>
    <w:rsid w:val="00196C75"/>
    <w:rsid w:val="001A579F"/>
    <w:rsid w:val="001A697F"/>
    <w:rsid w:val="001A6D68"/>
    <w:rsid w:val="001A71DB"/>
    <w:rsid w:val="001B2001"/>
    <w:rsid w:val="001B2A7D"/>
    <w:rsid w:val="001B41B5"/>
    <w:rsid w:val="001B456D"/>
    <w:rsid w:val="001B4E88"/>
    <w:rsid w:val="001C17C1"/>
    <w:rsid w:val="001D2AFC"/>
    <w:rsid w:val="001D3600"/>
    <w:rsid w:val="001D6E30"/>
    <w:rsid w:val="001E1CB0"/>
    <w:rsid w:val="001E2E84"/>
    <w:rsid w:val="001E5900"/>
    <w:rsid w:val="001E71B3"/>
    <w:rsid w:val="001F0A66"/>
    <w:rsid w:val="001F3F7A"/>
    <w:rsid w:val="001F6712"/>
    <w:rsid w:val="002073B3"/>
    <w:rsid w:val="00211012"/>
    <w:rsid w:val="002173F7"/>
    <w:rsid w:val="0022096F"/>
    <w:rsid w:val="00223B9D"/>
    <w:rsid w:val="00224794"/>
    <w:rsid w:val="00231687"/>
    <w:rsid w:val="0023434C"/>
    <w:rsid w:val="00236983"/>
    <w:rsid w:val="00240091"/>
    <w:rsid w:val="00241E92"/>
    <w:rsid w:val="002436AE"/>
    <w:rsid w:val="00243D01"/>
    <w:rsid w:val="00245A37"/>
    <w:rsid w:val="00251DC3"/>
    <w:rsid w:val="00253F72"/>
    <w:rsid w:val="00254677"/>
    <w:rsid w:val="00256AF2"/>
    <w:rsid w:val="00257986"/>
    <w:rsid w:val="00260398"/>
    <w:rsid w:val="00260E7F"/>
    <w:rsid w:val="00275E6B"/>
    <w:rsid w:val="00280154"/>
    <w:rsid w:val="00284E69"/>
    <w:rsid w:val="002900B0"/>
    <w:rsid w:val="002954C4"/>
    <w:rsid w:val="00297EB2"/>
    <w:rsid w:val="00297F0E"/>
    <w:rsid w:val="002A40A3"/>
    <w:rsid w:val="002B0C3E"/>
    <w:rsid w:val="002B0E3C"/>
    <w:rsid w:val="002B5952"/>
    <w:rsid w:val="002C2A4A"/>
    <w:rsid w:val="002D1636"/>
    <w:rsid w:val="002E031A"/>
    <w:rsid w:val="002E44C4"/>
    <w:rsid w:val="002F2DC9"/>
    <w:rsid w:val="002F4451"/>
    <w:rsid w:val="002F7BB1"/>
    <w:rsid w:val="002F7FF9"/>
    <w:rsid w:val="0030014A"/>
    <w:rsid w:val="00304D1F"/>
    <w:rsid w:val="00307CF1"/>
    <w:rsid w:val="00310DC2"/>
    <w:rsid w:val="0031547F"/>
    <w:rsid w:val="00316236"/>
    <w:rsid w:val="003176AE"/>
    <w:rsid w:val="00323D83"/>
    <w:rsid w:val="0032621A"/>
    <w:rsid w:val="00334011"/>
    <w:rsid w:val="003353D7"/>
    <w:rsid w:val="00340C7C"/>
    <w:rsid w:val="003443B9"/>
    <w:rsid w:val="00345A69"/>
    <w:rsid w:val="003468E3"/>
    <w:rsid w:val="0034724F"/>
    <w:rsid w:val="0035282F"/>
    <w:rsid w:val="003555F5"/>
    <w:rsid w:val="003559BE"/>
    <w:rsid w:val="00356089"/>
    <w:rsid w:val="0036247D"/>
    <w:rsid w:val="00362754"/>
    <w:rsid w:val="003635F6"/>
    <w:rsid w:val="00363D9B"/>
    <w:rsid w:val="00363E3A"/>
    <w:rsid w:val="00364604"/>
    <w:rsid w:val="00364984"/>
    <w:rsid w:val="00384506"/>
    <w:rsid w:val="0038521A"/>
    <w:rsid w:val="0038601C"/>
    <w:rsid w:val="00393453"/>
    <w:rsid w:val="003A1172"/>
    <w:rsid w:val="003A46A7"/>
    <w:rsid w:val="003C1035"/>
    <w:rsid w:val="003C2EF1"/>
    <w:rsid w:val="003C7BFA"/>
    <w:rsid w:val="003D46C3"/>
    <w:rsid w:val="003E0799"/>
    <w:rsid w:val="003E3E83"/>
    <w:rsid w:val="003F2F68"/>
    <w:rsid w:val="00400EA1"/>
    <w:rsid w:val="0041245A"/>
    <w:rsid w:val="00412758"/>
    <w:rsid w:val="00413CFB"/>
    <w:rsid w:val="00414564"/>
    <w:rsid w:val="004163B4"/>
    <w:rsid w:val="00417545"/>
    <w:rsid w:val="00433860"/>
    <w:rsid w:val="00437790"/>
    <w:rsid w:val="004408F8"/>
    <w:rsid w:val="00440D2A"/>
    <w:rsid w:val="0044142D"/>
    <w:rsid w:val="00441EA2"/>
    <w:rsid w:val="00443834"/>
    <w:rsid w:val="00445352"/>
    <w:rsid w:val="00450FA3"/>
    <w:rsid w:val="0045228E"/>
    <w:rsid w:val="004535F6"/>
    <w:rsid w:val="00471329"/>
    <w:rsid w:val="00473C32"/>
    <w:rsid w:val="00480336"/>
    <w:rsid w:val="004813E6"/>
    <w:rsid w:val="0048656F"/>
    <w:rsid w:val="004867BB"/>
    <w:rsid w:val="00486CF7"/>
    <w:rsid w:val="00495500"/>
    <w:rsid w:val="00497150"/>
    <w:rsid w:val="0049729A"/>
    <w:rsid w:val="00497B45"/>
    <w:rsid w:val="004A3C68"/>
    <w:rsid w:val="004A6F0A"/>
    <w:rsid w:val="004A6FC5"/>
    <w:rsid w:val="004B0674"/>
    <w:rsid w:val="004B21B9"/>
    <w:rsid w:val="004B23D9"/>
    <w:rsid w:val="004B45C0"/>
    <w:rsid w:val="004B4F12"/>
    <w:rsid w:val="004C6692"/>
    <w:rsid w:val="004C6C22"/>
    <w:rsid w:val="004C7A7E"/>
    <w:rsid w:val="004C7D60"/>
    <w:rsid w:val="004D4F46"/>
    <w:rsid w:val="004F0CDF"/>
    <w:rsid w:val="004F30BD"/>
    <w:rsid w:val="004F59B4"/>
    <w:rsid w:val="004F6997"/>
    <w:rsid w:val="004F6C44"/>
    <w:rsid w:val="00504323"/>
    <w:rsid w:val="005056CD"/>
    <w:rsid w:val="00516520"/>
    <w:rsid w:val="00525440"/>
    <w:rsid w:val="00525B8C"/>
    <w:rsid w:val="00534E9E"/>
    <w:rsid w:val="00535D7B"/>
    <w:rsid w:val="0053742F"/>
    <w:rsid w:val="0053761F"/>
    <w:rsid w:val="00545523"/>
    <w:rsid w:val="00545732"/>
    <w:rsid w:val="00546F67"/>
    <w:rsid w:val="0055374E"/>
    <w:rsid w:val="00554475"/>
    <w:rsid w:val="00555794"/>
    <w:rsid w:val="0055631C"/>
    <w:rsid w:val="00564FAD"/>
    <w:rsid w:val="0057227E"/>
    <w:rsid w:val="0057409C"/>
    <w:rsid w:val="005750A5"/>
    <w:rsid w:val="005775CE"/>
    <w:rsid w:val="00584971"/>
    <w:rsid w:val="00592694"/>
    <w:rsid w:val="005A1D43"/>
    <w:rsid w:val="005A770E"/>
    <w:rsid w:val="005B4860"/>
    <w:rsid w:val="005B4EE1"/>
    <w:rsid w:val="005C274E"/>
    <w:rsid w:val="005C4B71"/>
    <w:rsid w:val="005C4D6C"/>
    <w:rsid w:val="005C5295"/>
    <w:rsid w:val="005C54BB"/>
    <w:rsid w:val="005C68F1"/>
    <w:rsid w:val="005D0790"/>
    <w:rsid w:val="005D13ED"/>
    <w:rsid w:val="005D14B6"/>
    <w:rsid w:val="005D4811"/>
    <w:rsid w:val="005D734B"/>
    <w:rsid w:val="005F6DED"/>
    <w:rsid w:val="00607EC2"/>
    <w:rsid w:val="00610B90"/>
    <w:rsid w:val="006135B1"/>
    <w:rsid w:val="006238B5"/>
    <w:rsid w:val="00626506"/>
    <w:rsid w:val="00627F58"/>
    <w:rsid w:val="00632BD3"/>
    <w:rsid w:val="00647B85"/>
    <w:rsid w:val="00651066"/>
    <w:rsid w:val="0065433C"/>
    <w:rsid w:val="00657D28"/>
    <w:rsid w:val="006659D0"/>
    <w:rsid w:val="006666CE"/>
    <w:rsid w:val="0068224A"/>
    <w:rsid w:val="00685888"/>
    <w:rsid w:val="00686D62"/>
    <w:rsid w:val="00691110"/>
    <w:rsid w:val="00693727"/>
    <w:rsid w:val="006978AC"/>
    <w:rsid w:val="006A37D1"/>
    <w:rsid w:val="006A4757"/>
    <w:rsid w:val="006A5EE1"/>
    <w:rsid w:val="006A6312"/>
    <w:rsid w:val="006C0D63"/>
    <w:rsid w:val="006C100C"/>
    <w:rsid w:val="006C7357"/>
    <w:rsid w:val="006D761B"/>
    <w:rsid w:val="006E5348"/>
    <w:rsid w:val="006E62E1"/>
    <w:rsid w:val="006E67F6"/>
    <w:rsid w:val="006E6BED"/>
    <w:rsid w:val="006E72D2"/>
    <w:rsid w:val="006F1A1A"/>
    <w:rsid w:val="006F1DC6"/>
    <w:rsid w:val="00701977"/>
    <w:rsid w:val="00710AE2"/>
    <w:rsid w:val="0071779D"/>
    <w:rsid w:val="00720744"/>
    <w:rsid w:val="0072670F"/>
    <w:rsid w:val="00731F9A"/>
    <w:rsid w:val="00734512"/>
    <w:rsid w:val="007404F1"/>
    <w:rsid w:val="00745A8A"/>
    <w:rsid w:val="0074656C"/>
    <w:rsid w:val="0075066E"/>
    <w:rsid w:val="00754DFE"/>
    <w:rsid w:val="0076323B"/>
    <w:rsid w:val="007662FC"/>
    <w:rsid w:val="00776AB0"/>
    <w:rsid w:val="007857A4"/>
    <w:rsid w:val="007859DF"/>
    <w:rsid w:val="00785ADA"/>
    <w:rsid w:val="00786FF5"/>
    <w:rsid w:val="007907CC"/>
    <w:rsid w:val="007940EC"/>
    <w:rsid w:val="007A1A74"/>
    <w:rsid w:val="007A360D"/>
    <w:rsid w:val="007B446D"/>
    <w:rsid w:val="007B6773"/>
    <w:rsid w:val="007C1C1C"/>
    <w:rsid w:val="007C73B2"/>
    <w:rsid w:val="007C7738"/>
    <w:rsid w:val="007D0612"/>
    <w:rsid w:val="007E7CC5"/>
    <w:rsid w:val="007F3425"/>
    <w:rsid w:val="007F54D0"/>
    <w:rsid w:val="007F5572"/>
    <w:rsid w:val="00802342"/>
    <w:rsid w:val="008031B4"/>
    <w:rsid w:val="0080669C"/>
    <w:rsid w:val="00806D28"/>
    <w:rsid w:val="008150A0"/>
    <w:rsid w:val="00816521"/>
    <w:rsid w:val="00821B7B"/>
    <w:rsid w:val="00821F4C"/>
    <w:rsid w:val="00821FA1"/>
    <w:rsid w:val="008225B6"/>
    <w:rsid w:val="00823A1A"/>
    <w:rsid w:val="008249DD"/>
    <w:rsid w:val="00834C0D"/>
    <w:rsid w:val="00841B3F"/>
    <w:rsid w:val="00841CC2"/>
    <w:rsid w:val="008428BF"/>
    <w:rsid w:val="00843E6D"/>
    <w:rsid w:val="0084748C"/>
    <w:rsid w:val="00847B12"/>
    <w:rsid w:val="008530DB"/>
    <w:rsid w:val="00856647"/>
    <w:rsid w:val="008604BB"/>
    <w:rsid w:val="00860B2A"/>
    <w:rsid w:val="00861822"/>
    <w:rsid w:val="008657A0"/>
    <w:rsid w:val="00865FD2"/>
    <w:rsid w:val="00881351"/>
    <w:rsid w:val="00881655"/>
    <w:rsid w:val="00881B88"/>
    <w:rsid w:val="00882EB4"/>
    <w:rsid w:val="00883127"/>
    <w:rsid w:val="00884258"/>
    <w:rsid w:val="00892F50"/>
    <w:rsid w:val="00895AD0"/>
    <w:rsid w:val="00895F12"/>
    <w:rsid w:val="008A2BDA"/>
    <w:rsid w:val="008A50E7"/>
    <w:rsid w:val="008B0CDE"/>
    <w:rsid w:val="008B14E3"/>
    <w:rsid w:val="008B76B8"/>
    <w:rsid w:val="008B7A83"/>
    <w:rsid w:val="008B7E8D"/>
    <w:rsid w:val="008C12B0"/>
    <w:rsid w:val="008C1C8E"/>
    <w:rsid w:val="008C2D6C"/>
    <w:rsid w:val="008D1DE0"/>
    <w:rsid w:val="008D2F0D"/>
    <w:rsid w:val="008D3CD9"/>
    <w:rsid w:val="008E0490"/>
    <w:rsid w:val="008E44A3"/>
    <w:rsid w:val="008E4A63"/>
    <w:rsid w:val="008E4D0B"/>
    <w:rsid w:val="008F7422"/>
    <w:rsid w:val="008F79BC"/>
    <w:rsid w:val="009044B1"/>
    <w:rsid w:val="00905C25"/>
    <w:rsid w:val="00907185"/>
    <w:rsid w:val="00907D98"/>
    <w:rsid w:val="0091000A"/>
    <w:rsid w:val="00911263"/>
    <w:rsid w:val="00913A05"/>
    <w:rsid w:val="00922DE5"/>
    <w:rsid w:val="009255C9"/>
    <w:rsid w:val="00926448"/>
    <w:rsid w:val="0092773E"/>
    <w:rsid w:val="00932DF9"/>
    <w:rsid w:val="00943AF6"/>
    <w:rsid w:val="009500E0"/>
    <w:rsid w:val="009540DA"/>
    <w:rsid w:val="00957BD2"/>
    <w:rsid w:val="009620D7"/>
    <w:rsid w:val="0096344B"/>
    <w:rsid w:val="009643F7"/>
    <w:rsid w:val="009647B8"/>
    <w:rsid w:val="009709B1"/>
    <w:rsid w:val="0097346B"/>
    <w:rsid w:val="00973990"/>
    <w:rsid w:val="00974904"/>
    <w:rsid w:val="00976D85"/>
    <w:rsid w:val="00977F8D"/>
    <w:rsid w:val="00983E23"/>
    <w:rsid w:val="009912AF"/>
    <w:rsid w:val="00994EE1"/>
    <w:rsid w:val="00995DF6"/>
    <w:rsid w:val="00997720"/>
    <w:rsid w:val="009A70B9"/>
    <w:rsid w:val="009A7356"/>
    <w:rsid w:val="009A7D2A"/>
    <w:rsid w:val="009B43C1"/>
    <w:rsid w:val="009B7D26"/>
    <w:rsid w:val="009C03FF"/>
    <w:rsid w:val="009C086A"/>
    <w:rsid w:val="009C0A25"/>
    <w:rsid w:val="009C2F8E"/>
    <w:rsid w:val="009D04AE"/>
    <w:rsid w:val="009D10E5"/>
    <w:rsid w:val="009D7D7F"/>
    <w:rsid w:val="009E745E"/>
    <w:rsid w:val="009E7EF5"/>
    <w:rsid w:val="009F21CA"/>
    <w:rsid w:val="009F5244"/>
    <w:rsid w:val="009F7558"/>
    <w:rsid w:val="00A01B05"/>
    <w:rsid w:val="00A01CAE"/>
    <w:rsid w:val="00A04665"/>
    <w:rsid w:val="00A05CB6"/>
    <w:rsid w:val="00A1017F"/>
    <w:rsid w:val="00A10956"/>
    <w:rsid w:val="00A11370"/>
    <w:rsid w:val="00A11B54"/>
    <w:rsid w:val="00A160FE"/>
    <w:rsid w:val="00A16A8B"/>
    <w:rsid w:val="00A17DB0"/>
    <w:rsid w:val="00A2038A"/>
    <w:rsid w:val="00A2708D"/>
    <w:rsid w:val="00A3636D"/>
    <w:rsid w:val="00A375AB"/>
    <w:rsid w:val="00A43502"/>
    <w:rsid w:val="00A45B0A"/>
    <w:rsid w:val="00A47889"/>
    <w:rsid w:val="00A510B3"/>
    <w:rsid w:val="00A51A61"/>
    <w:rsid w:val="00A523B7"/>
    <w:rsid w:val="00A53858"/>
    <w:rsid w:val="00A61BF2"/>
    <w:rsid w:val="00A63D54"/>
    <w:rsid w:val="00A70C6D"/>
    <w:rsid w:val="00A71164"/>
    <w:rsid w:val="00A7335F"/>
    <w:rsid w:val="00A74701"/>
    <w:rsid w:val="00A75B52"/>
    <w:rsid w:val="00A813B5"/>
    <w:rsid w:val="00A8282B"/>
    <w:rsid w:val="00A86A6F"/>
    <w:rsid w:val="00A86DBC"/>
    <w:rsid w:val="00A96270"/>
    <w:rsid w:val="00AA187A"/>
    <w:rsid w:val="00AA77A0"/>
    <w:rsid w:val="00AA7D3E"/>
    <w:rsid w:val="00AB4EF5"/>
    <w:rsid w:val="00AC7B92"/>
    <w:rsid w:val="00AD1921"/>
    <w:rsid w:val="00AD572D"/>
    <w:rsid w:val="00AD6677"/>
    <w:rsid w:val="00AD7C6B"/>
    <w:rsid w:val="00AE3F04"/>
    <w:rsid w:val="00AF1F60"/>
    <w:rsid w:val="00AF7392"/>
    <w:rsid w:val="00AF740A"/>
    <w:rsid w:val="00B02211"/>
    <w:rsid w:val="00B06A5B"/>
    <w:rsid w:val="00B10B2C"/>
    <w:rsid w:val="00B137C9"/>
    <w:rsid w:val="00B26F42"/>
    <w:rsid w:val="00B34D46"/>
    <w:rsid w:val="00B37312"/>
    <w:rsid w:val="00B3746C"/>
    <w:rsid w:val="00B37FA9"/>
    <w:rsid w:val="00B40441"/>
    <w:rsid w:val="00B414BB"/>
    <w:rsid w:val="00B44969"/>
    <w:rsid w:val="00B45187"/>
    <w:rsid w:val="00B501A7"/>
    <w:rsid w:val="00B6039A"/>
    <w:rsid w:val="00B62492"/>
    <w:rsid w:val="00B71BBE"/>
    <w:rsid w:val="00B76487"/>
    <w:rsid w:val="00B7758C"/>
    <w:rsid w:val="00B81639"/>
    <w:rsid w:val="00B817F3"/>
    <w:rsid w:val="00B90C1F"/>
    <w:rsid w:val="00B91DE3"/>
    <w:rsid w:val="00BA4CB5"/>
    <w:rsid w:val="00BA7C47"/>
    <w:rsid w:val="00BB0720"/>
    <w:rsid w:val="00BB34CA"/>
    <w:rsid w:val="00BB46A6"/>
    <w:rsid w:val="00BB5316"/>
    <w:rsid w:val="00BB69B5"/>
    <w:rsid w:val="00BC00A4"/>
    <w:rsid w:val="00BC0ECC"/>
    <w:rsid w:val="00BC2AA5"/>
    <w:rsid w:val="00BC5732"/>
    <w:rsid w:val="00BD0E38"/>
    <w:rsid w:val="00BD1BCF"/>
    <w:rsid w:val="00BD3B9B"/>
    <w:rsid w:val="00BD5B48"/>
    <w:rsid w:val="00BE3BCF"/>
    <w:rsid w:val="00BE4430"/>
    <w:rsid w:val="00BF49FD"/>
    <w:rsid w:val="00BF4E0D"/>
    <w:rsid w:val="00C01429"/>
    <w:rsid w:val="00C023E3"/>
    <w:rsid w:val="00C03F78"/>
    <w:rsid w:val="00C1019B"/>
    <w:rsid w:val="00C10E0B"/>
    <w:rsid w:val="00C13A47"/>
    <w:rsid w:val="00C148C0"/>
    <w:rsid w:val="00C16B1F"/>
    <w:rsid w:val="00C2472F"/>
    <w:rsid w:val="00C30B71"/>
    <w:rsid w:val="00C32F84"/>
    <w:rsid w:val="00C33FCA"/>
    <w:rsid w:val="00C361A3"/>
    <w:rsid w:val="00C36470"/>
    <w:rsid w:val="00C37DEA"/>
    <w:rsid w:val="00C40871"/>
    <w:rsid w:val="00C447D6"/>
    <w:rsid w:val="00C46195"/>
    <w:rsid w:val="00C50CD7"/>
    <w:rsid w:val="00C512E2"/>
    <w:rsid w:val="00C53377"/>
    <w:rsid w:val="00C5338E"/>
    <w:rsid w:val="00C53BE2"/>
    <w:rsid w:val="00C61963"/>
    <w:rsid w:val="00C75610"/>
    <w:rsid w:val="00C76337"/>
    <w:rsid w:val="00C76D7B"/>
    <w:rsid w:val="00C849C5"/>
    <w:rsid w:val="00C87288"/>
    <w:rsid w:val="00C873AB"/>
    <w:rsid w:val="00C928FD"/>
    <w:rsid w:val="00C94DD6"/>
    <w:rsid w:val="00CA1C53"/>
    <w:rsid w:val="00CA3719"/>
    <w:rsid w:val="00CA50C8"/>
    <w:rsid w:val="00CA5A49"/>
    <w:rsid w:val="00CA5F55"/>
    <w:rsid w:val="00CB0071"/>
    <w:rsid w:val="00CB10D2"/>
    <w:rsid w:val="00CB2C41"/>
    <w:rsid w:val="00CB5B61"/>
    <w:rsid w:val="00CB63E3"/>
    <w:rsid w:val="00CC2980"/>
    <w:rsid w:val="00CD6053"/>
    <w:rsid w:val="00CD6056"/>
    <w:rsid w:val="00CE20F3"/>
    <w:rsid w:val="00D02B14"/>
    <w:rsid w:val="00D03A49"/>
    <w:rsid w:val="00D04CDF"/>
    <w:rsid w:val="00D071D0"/>
    <w:rsid w:val="00D14B99"/>
    <w:rsid w:val="00D15DE3"/>
    <w:rsid w:val="00D16D11"/>
    <w:rsid w:val="00D17ED8"/>
    <w:rsid w:val="00D204B9"/>
    <w:rsid w:val="00D21F8E"/>
    <w:rsid w:val="00D2644E"/>
    <w:rsid w:val="00D30F04"/>
    <w:rsid w:val="00D314C2"/>
    <w:rsid w:val="00D33DD2"/>
    <w:rsid w:val="00D40C33"/>
    <w:rsid w:val="00D4797E"/>
    <w:rsid w:val="00D61FC3"/>
    <w:rsid w:val="00D647C4"/>
    <w:rsid w:val="00D67BBD"/>
    <w:rsid w:val="00D70490"/>
    <w:rsid w:val="00D71BFB"/>
    <w:rsid w:val="00D73A19"/>
    <w:rsid w:val="00D75C97"/>
    <w:rsid w:val="00D77B1F"/>
    <w:rsid w:val="00D83D08"/>
    <w:rsid w:val="00D84054"/>
    <w:rsid w:val="00D86DF0"/>
    <w:rsid w:val="00D87F99"/>
    <w:rsid w:val="00DA2485"/>
    <w:rsid w:val="00DA5E95"/>
    <w:rsid w:val="00DB14F9"/>
    <w:rsid w:val="00DB4FED"/>
    <w:rsid w:val="00DB7E9B"/>
    <w:rsid w:val="00DC06F4"/>
    <w:rsid w:val="00DC10B3"/>
    <w:rsid w:val="00DC32E9"/>
    <w:rsid w:val="00DC4B7E"/>
    <w:rsid w:val="00DC53A8"/>
    <w:rsid w:val="00DD2BC6"/>
    <w:rsid w:val="00DD2E67"/>
    <w:rsid w:val="00DD56FD"/>
    <w:rsid w:val="00DE0A98"/>
    <w:rsid w:val="00DE2653"/>
    <w:rsid w:val="00DE6417"/>
    <w:rsid w:val="00DF339C"/>
    <w:rsid w:val="00DF6614"/>
    <w:rsid w:val="00E03232"/>
    <w:rsid w:val="00E03F69"/>
    <w:rsid w:val="00E06E8F"/>
    <w:rsid w:val="00E137E5"/>
    <w:rsid w:val="00E138E1"/>
    <w:rsid w:val="00E13EA9"/>
    <w:rsid w:val="00E14CE7"/>
    <w:rsid w:val="00E14FE6"/>
    <w:rsid w:val="00E173E7"/>
    <w:rsid w:val="00E240FC"/>
    <w:rsid w:val="00E26C7D"/>
    <w:rsid w:val="00E2705B"/>
    <w:rsid w:val="00E3217D"/>
    <w:rsid w:val="00E3477F"/>
    <w:rsid w:val="00E34B14"/>
    <w:rsid w:val="00E42EAD"/>
    <w:rsid w:val="00E43706"/>
    <w:rsid w:val="00E44086"/>
    <w:rsid w:val="00E44BA8"/>
    <w:rsid w:val="00E51684"/>
    <w:rsid w:val="00E54497"/>
    <w:rsid w:val="00E563C9"/>
    <w:rsid w:val="00E56E79"/>
    <w:rsid w:val="00E602EC"/>
    <w:rsid w:val="00E64111"/>
    <w:rsid w:val="00E64C1E"/>
    <w:rsid w:val="00E7007A"/>
    <w:rsid w:val="00E73C7C"/>
    <w:rsid w:val="00E81A4D"/>
    <w:rsid w:val="00E81F94"/>
    <w:rsid w:val="00E84085"/>
    <w:rsid w:val="00E90AC7"/>
    <w:rsid w:val="00EA37DA"/>
    <w:rsid w:val="00EA7306"/>
    <w:rsid w:val="00EB0B07"/>
    <w:rsid w:val="00EB10BD"/>
    <w:rsid w:val="00EC3359"/>
    <w:rsid w:val="00ED0325"/>
    <w:rsid w:val="00ED2858"/>
    <w:rsid w:val="00ED5419"/>
    <w:rsid w:val="00ED54EF"/>
    <w:rsid w:val="00EE6455"/>
    <w:rsid w:val="00EE70FC"/>
    <w:rsid w:val="00EF0FDF"/>
    <w:rsid w:val="00EF5545"/>
    <w:rsid w:val="00F01225"/>
    <w:rsid w:val="00F032B0"/>
    <w:rsid w:val="00F0574B"/>
    <w:rsid w:val="00F1220B"/>
    <w:rsid w:val="00F12341"/>
    <w:rsid w:val="00F12AE9"/>
    <w:rsid w:val="00F1395F"/>
    <w:rsid w:val="00F2122C"/>
    <w:rsid w:val="00F267E7"/>
    <w:rsid w:val="00F351B7"/>
    <w:rsid w:val="00F40133"/>
    <w:rsid w:val="00F42185"/>
    <w:rsid w:val="00F4743F"/>
    <w:rsid w:val="00F5091C"/>
    <w:rsid w:val="00F558E9"/>
    <w:rsid w:val="00F646AC"/>
    <w:rsid w:val="00F67C15"/>
    <w:rsid w:val="00F70165"/>
    <w:rsid w:val="00F71EA4"/>
    <w:rsid w:val="00F72831"/>
    <w:rsid w:val="00F73188"/>
    <w:rsid w:val="00F81912"/>
    <w:rsid w:val="00F83FAA"/>
    <w:rsid w:val="00F85D1D"/>
    <w:rsid w:val="00F86587"/>
    <w:rsid w:val="00FA2478"/>
    <w:rsid w:val="00FA45A5"/>
    <w:rsid w:val="00FA4665"/>
    <w:rsid w:val="00FA7D51"/>
    <w:rsid w:val="00FB311C"/>
    <w:rsid w:val="00FC1F4A"/>
    <w:rsid w:val="00FC557C"/>
    <w:rsid w:val="00FC5841"/>
    <w:rsid w:val="00FD58F2"/>
    <w:rsid w:val="00FD69BD"/>
    <w:rsid w:val="00FD749E"/>
    <w:rsid w:val="00FE754A"/>
    <w:rsid w:val="00FF09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BC55EC0"/>
  <w15:docId w15:val="{C719CE37-67A4-410B-B8F7-DB2F1859C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3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5"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6" w:unhideWhenUsed="1" w:qFormat="1"/>
    <w:lsdException w:name="List Bullet 3" w:semiHidden="1" w:uiPriority="6" w:unhideWhenUsed="1" w:qFormat="1"/>
    <w:lsdException w:name="List Bullet 4" w:semiHidden="1" w:unhideWhenUsed="1"/>
    <w:lsdException w:name="List Bullet 5" w:semiHidden="1" w:unhideWhenUsed="1"/>
    <w:lsdException w:name="List Number 2" w:semiHidden="1" w:uiPriority="2" w:unhideWhenUsed="1" w:qFormat="1"/>
    <w:lsdException w:name="List Number 3" w:semiHidden="1" w:uiPriority="2" w:unhideWhenUsed="1"/>
    <w:lsdException w:name="List Number 4" w:unhideWhenUsed="1"/>
    <w:lsdException w:name="List Number 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39" w:unhideWhenUsed="1"/>
    <w:lsdException w:name="Plain Text" w:semiHidden="1" w:uiPriority="3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2BD3"/>
    <w:pPr>
      <w:spacing w:before="120" w:after="120" w:line="276" w:lineRule="auto"/>
    </w:pPr>
    <w:rPr>
      <w:rFonts w:ascii="Arial" w:hAnsi="Arial"/>
      <w:sz w:val="19"/>
    </w:rPr>
  </w:style>
  <w:style w:type="paragraph" w:styleId="Heading1">
    <w:name w:val="heading 1"/>
    <w:basedOn w:val="Normal"/>
    <w:next w:val="BodyText"/>
    <w:link w:val="Heading1Char"/>
    <w:qFormat/>
    <w:rsid w:val="006135B1"/>
    <w:pPr>
      <w:keepNext/>
      <w:keepLines/>
      <w:pageBreakBefore/>
      <w:numPr>
        <w:numId w:val="8"/>
      </w:numPr>
      <w:spacing w:after="960"/>
      <w:ind w:left="0" w:firstLine="0"/>
      <w:outlineLvl w:val="0"/>
    </w:pPr>
    <w:rPr>
      <w:rFonts w:eastAsia="Times New Roman" w:cs="Times New Roman"/>
      <w:color w:val="004F9E"/>
      <w:kern w:val="32"/>
      <w:sz w:val="60"/>
      <w:szCs w:val="48"/>
      <w:lang w:eastAsia="fr-CA"/>
    </w:rPr>
  </w:style>
  <w:style w:type="paragraph" w:styleId="Heading2">
    <w:name w:val="heading 2"/>
    <w:basedOn w:val="Normal"/>
    <w:next w:val="BodyText"/>
    <w:link w:val="Heading2Char"/>
    <w:qFormat/>
    <w:rsid w:val="00E03232"/>
    <w:pPr>
      <w:keepNext/>
      <w:keepLines/>
      <w:numPr>
        <w:ilvl w:val="1"/>
        <w:numId w:val="8"/>
      </w:numPr>
      <w:pBdr>
        <w:between w:val="single" w:sz="4" w:space="9" w:color="D7D8D6" w:themeColor="accent1"/>
      </w:pBdr>
      <w:spacing w:before="240"/>
      <w:outlineLvl w:val="1"/>
    </w:pPr>
    <w:rPr>
      <w:rFonts w:eastAsia="Times New Roman" w:cs="Times New Roman"/>
      <w:color w:val="004F9E"/>
      <w:sz w:val="32"/>
      <w:szCs w:val="24"/>
      <w:lang w:eastAsia="fr-CA"/>
    </w:rPr>
  </w:style>
  <w:style w:type="paragraph" w:styleId="Heading3">
    <w:name w:val="heading 3"/>
    <w:basedOn w:val="Normal"/>
    <w:next w:val="BodyText"/>
    <w:link w:val="Heading3Char"/>
    <w:qFormat/>
    <w:rsid w:val="00E03232"/>
    <w:pPr>
      <w:keepNext/>
      <w:keepLines/>
      <w:numPr>
        <w:ilvl w:val="2"/>
        <w:numId w:val="8"/>
      </w:numPr>
      <w:spacing w:before="240"/>
      <w:outlineLvl w:val="2"/>
    </w:pPr>
    <w:rPr>
      <w:rFonts w:eastAsiaTheme="majorEastAsia" w:cs="Arial"/>
      <w:bCs/>
      <w:color w:val="004F9E"/>
      <w:sz w:val="24"/>
      <w:szCs w:val="24"/>
      <w:lang w:eastAsia="fr-CA"/>
    </w:rPr>
  </w:style>
  <w:style w:type="paragraph" w:styleId="Heading4">
    <w:name w:val="heading 4"/>
    <w:basedOn w:val="Normal"/>
    <w:next w:val="BodyText"/>
    <w:link w:val="Heading4Char"/>
    <w:qFormat/>
    <w:rsid w:val="00E03232"/>
    <w:pPr>
      <w:keepNext/>
      <w:keepLines/>
      <w:spacing w:before="200" w:after="60"/>
      <w:outlineLvl w:val="3"/>
    </w:pPr>
    <w:rPr>
      <w:rFonts w:ascii="Arial Bold" w:eastAsiaTheme="minorEastAsia" w:hAnsi="Arial Bold" w:cs="Arial"/>
      <w:b/>
      <w:bCs/>
      <w:color w:val="004F9E"/>
      <w:szCs w:val="20"/>
      <w:lang w:eastAsia="fr-CA"/>
    </w:rPr>
  </w:style>
  <w:style w:type="paragraph" w:styleId="Heading5">
    <w:name w:val="heading 5"/>
    <w:basedOn w:val="Normal"/>
    <w:next w:val="BodyText"/>
    <w:link w:val="Heading5Char"/>
    <w:qFormat/>
    <w:rsid w:val="00E03232"/>
    <w:pPr>
      <w:keepNext/>
      <w:keepLines/>
      <w:spacing w:before="200" w:after="60"/>
      <w:ind w:right="896"/>
      <w:outlineLvl w:val="4"/>
    </w:pPr>
    <w:rPr>
      <w:rFonts w:eastAsia="Times New Roman" w:cs="Times New Roman"/>
      <w:i/>
      <w:color w:val="004F9E"/>
      <w:szCs w:val="24"/>
      <w:lang w:eastAsia="fr-CA"/>
    </w:rPr>
  </w:style>
  <w:style w:type="paragraph" w:styleId="Heading6">
    <w:name w:val="heading 6"/>
    <w:basedOn w:val="Normal"/>
    <w:next w:val="Normal"/>
    <w:link w:val="Heading6Char"/>
    <w:qFormat/>
    <w:rsid w:val="009E745E"/>
    <w:pPr>
      <w:keepNext/>
      <w:keepLines/>
      <w:spacing w:before="40" w:after="0"/>
      <w:outlineLvl w:val="5"/>
    </w:pPr>
    <w:rPr>
      <w:rFonts w:asciiTheme="majorHAnsi" w:eastAsiaTheme="majorEastAsia" w:hAnsiTheme="majorHAnsi" w:cstheme="majorBidi"/>
      <w:color w:val="6A6D68" w:themeColor="accent1" w:themeShade="7F"/>
    </w:rPr>
  </w:style>
  <w:style w:type="paragraph" w:styleId="Heading7">
    <w:name w:val="heading 7"/>
    <w:basedOn w:val="Normal"/>
    <w:next w:val="Normal"/>
    <w:link w:val="Heading7Char"/>
    <w:unhideWhenUsed/>
    <w:qFormat/>
    <w:rsid w:val="0072670F"/>
    <w:pPr>
      <w:keepNext/>
      <w:keepLines/>
      <w:spacing w:before="40" w:after="0"/>
      <w:outlineLvl w:val="6"/>
    </w:pPr>
    <w:rPr>
      <w:rFonts w:asciiTheme="majorHAnsi" w:eastAsiaTheme="majorEastAsia" w:hAnsiTheme="majorHAnsi" w:cstheme="majorBidi"/>
      <w:i/>
      <w:iCs/>
      <w:color w:val="6A6D68" w:themeColor="accent1" w:themeShade="7F"/>
    </w:rPr>
  </w:style>
  <w:style w:type="paragraph" w:styleId="Heading8">
    <w:name w:val="heading 8"/>
    <w:aliases w:val="Appendix Title"/>
    <w:basedOn w:val="Normal"/>
    <w:next w:val="Normal"/>
    <w:link w:val="Heading8Char"/>
    <w:unhideWhenUsed/>
    <w:qFormat/>
    <w:rsid w:val="007267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Heading 1"/>
    <w:basedOn w:val="Normal"/>
    <w:next w:val="Normal"/>
    <w:link w:val="Heading9Char"/>
    <w:unhideWhenUsed/>
    <w:qFormat/>
    <w:rsid w:val="007267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53F72"/>
    <w:pPr>
      <w:spacing w:line="860" w:lineRule="exact"/>
      <w:ind w:left="437" w:right="-188"/>
      <w:jc w:val="right"/>
    </w:pPr>
    <w:rPr>
      <w:rFonts w:asciiTheme="majorHAnsi" w:eastAsiaTheme="majorEastAsia" w:hAnsiTheme="majorHAnsi" w:cstheme="majorBidi"/>
      <w:b/>
      <w:color w:val="FFFFFF" w:themeColor="background1"/>
      <w:kern w:val="28"/>
      <w:sz w:val="80"/>
      <w:szCs w:val="80"/>
    </w:rPr>
  </w:style>
  <w:style w:type="character" w:customStyle="1" w:styleId="TitleChar">
    <w:name w:val="Title Char"/>
    <w:basedOn w:val="DefaultParagraphFont"/>
    <w:link w:val="Title"/>
    <w:uiPriority w:val="10"/>
    <w:rsid w:val="00253F72"/>
    <w:rPr>
      <w:rFonts w:asciiTheme="majorHAnsi" w:eastAsiaTheme="majorEastAsia" w:hAnsiTheme="majorHAnsi" w:cstheme="majorBidi"/>
      <w:b/>
      <w:color w:val="FFFFFF" w:themeColor="background1"/>
      <w:kern w:val="28"/>
      <w:sz w:val="80"/>
      <w:szCs w:val="80"/>
    </w:rPr>
  </w:style>
  <w:style w:type="paragraph" w:styleId="Subtitle">
    <w:name w:val="Subtitle"/>
    <w:basedOn w:val="Title"/>
    <w:next w:val="Normal"/>
    <w:link w:val="SubtitleChar"/>
    <w:uiPriority w:val="11"/>
    <w:qFormat/>
    <w:rsid w:val="00CA3719"/>
    <w:pPr>
      <w:spacing w:line="240" w:lineRule="auto"/>
      <w:ind w:left="516"/>
    </w:pPr>
    <w:rPr>
      <w:b w:val="0"/>
      <w:caps/>
      <w:sz w:val="30"/>
      <w:szCs w:val="30"/>
    </w:rPr>
  </w:style>
  <w:style w:type="character" w:customStyle="1" w:styleId="SubtitleChar">
    <w:name w:val="Subtitle Char"/>
    <w:basedOn w:val="DefaultParagraphFont"/>
    <w:link w:val="Subtitle"/>
    <w:uiPriority w:val="11"/>
    <w:rsid w:val="00CA3719"/>
    <w:rPr>
      <w:rFonts w:asciiTheme="majorHAnsi" w:eastAsiaTheme="majorEastAsia" w:hAnsiTheme="majorHAnsi" w:cstheme="majorBidi"/>
      <w:caps/>
      <w:color w:val="FFFFFF" w:themeColor="background1"/>
      <w:kern w:val="28"/>
      <w:sz w:val="30"/>
      <w:szCs w:val="30"/>
    </w:rPr>
  </w:style>
  <w:style w:type="character" w:customStyle="1" w:styleId="Heading1Char">
    <w:name w:val="Heading 1 Char"/>
    <w:basedOn w:val="DefaultParagraphFont"/>
    <w:link w:val="Heading1"/>
    <w:rsid w:val="006135B1"/>
    <w:rPr>
      <w:rFonts w:ascii="Arial" w:eastAsia="Times New Roman" w:hAnsi="Arial" w:cs="Times New Roman"/>
      <w:color w:val="004F9E"/>
      <w:kern w:val="32"/>
      <w:sz w:val="60"/>
      <w:szCs w:val="48"/>
      <w:lang w:eastAsia="fr-CA"/>
    </w:rPr>
  </w:style>
  <w:style w:type="character" w:customStyle="1" w:styleId="Heading2Char">
    <w:name w:val="Heading 2 Char"/>
    <w:basedOn w:val="DefaultParagraphFont"/>
    <w:link w:val="Heading2"/>
    <w:rsid w:val="00E03232"/>
    <w:rPr>
      <w:rFonts w:ascii="Arial" w:eastAsia="Times New Roman" w:hAnsi="Arial" w:cs="Times New Roman"/>
      <w:color w:val="004F9E"/>
      <w:sz w:val="32"/>
      <w:szCs w:val="24"/>
      <w:lang w:eastAsia="fr-CA"/>
    </w:rPr>
  </w:style>
  <w:style w:type="character" w:customStyle="1" w:styleId="Heading3Char">
    <w:name w:val="Heading 3 Char"/>
    <w:link w:val="Heading3"/>
    <w:rsid w:val="00E03232"/>
    <w:rPr>
      <w:rFonts w:ascii="Arial" w:eastAsiaTheme="majorEastAsia" w:hAnsi="Arial" w:cs="Arial"/>
      <w:bCs/>
      <w:color w:val="004F9E"/>
      <w:sz w:val="24"/>
      <w:szCs w:val="24"/>
      <w:lang w:eastAsia="fr-CA"/>
    </w:rPr>
  </w:style>
  <w:style w:type="character" w:customStyle="1" w:styleId="Heading4Char">
    <w:name w:val="Heading 4 Char"/>
    <w:basedOn w:val="DefaultParagraphFont"/>
    <w:link w:val="Heading4"/>
    <w:rsid w:val="00E03232"/>
    <w:rPr>
      <w:rFonts w:ascii="Arial Bold" w:eastAsiaTheme="minorEastAsia" w:hAnsi="Arial Bold" w:cs="Arial"/>
      <w:b/>
      <w:bCs/>
      <w:color w:val="004F9E"/>
      <w:sz w:val="19"/>
      <w:szCs w:val="20"/>
      <w:lang w:eastAsia="fr-CA"/>
    </w:rPr>
  </w:style>
  <w:style w:type="character" w:customStyle="1" w:styleId="Heading5Char">
    <w:name w:val="Heading 5 Char"/>
    <w:basedOn w:val="DefaultParagraphFont"/>
    <w:link w:val="Heading5"/>
    <w:rsid w:val="00E03232"/>
    <w:rPr>
      <w:rFonts w:ascii="Arial" w:eastAsia="Times New Roman" w:hAnsi="Arial" w:cs="Times New Roman"/>
      <w:i/>
      <w:color w:val="004F9E"/>
      <w:sz w:val="19"/>
      <w:szCs w:val="24"/>
      <w:lang w:eastAsia="fr-CA"/>
    </w:rPr>
  </w:style>
  <w:style w:type="paragraph" w:styleId="ListParagraph">
    <w:name w:val="List Paragraph"/>
    <w:basedOn w:val="Normal"/>
    <w:uiPriority w:val="34"/>
    <w:qFormat/>
    <w:rsid w:val="00DE0A98"/>
    <w:pPr>
      <w:ind w:left="720"/>
      <w:contextualSpacing/>
    </w:pPr>
  </w:style>
  <w:style w:type="paragraph" w:styleId="ListBullet">
    <w:name w:val="List Bullet"/>
    <w:aliases w:val="lb"/>
    <w:basedOn w:val="Normal"/>
    <w:uiPriority w:val="5"/>
    <w:qFormat/>
    <w:rsid w:val="00E03232"/>
    <w:pPr>
      <w:numPr>
        <w:numId w:val="6"/>
      </w:numPr>
    </w:pPr>
  </w:style>
  <w:style w:type="paragraph" w:styleId="ListBullet2">
    <w:name w:val="List Bullet 2"/>
    <w:aliases w:val="lb2"/>
    <w:basedOn w:val="Normal"/>
    <w:uiPriority w:val="6"/>
    <w:qFormat/>
    <w:rsid w:val="00E03232"/>
    <w:pPr>
      <w:numPr>
        <w:ilvl w:val="1"/>
        <w:numId w:val="6"/>
      </w:numPr>
      <w:ind w:left="568" w:hanging="284"/>
    </w:pPr>
  </w:style>
  <w:style w:type="paragraph" w:styleId="ListBullet3">
    <w:name w:val="List Bullet 3"/>
    <w:aliases w:val="lb3"/>
    <w:basedOn w:val="Normal"/>
    <w:uiPriority w:val="6"/>
    <w:qFormat/>
    <w:rsid w:val="00E03232"/>
    <w:pPr>
      <w:numPr>
        <w:ilvl w:val="2"/>
        <w:numId w:val="6"/>
      </w:numPr>
    </w:pPr>
  </w:style>
  <w:style w:type="paragraph" w:styleId="ListBullet4">
    <w:name w:val="List Bullet 4"/>
    <w:basedOn w:val="Normal"/>
    <w:rsid w:val="00D14B99"/>
    <w:pPr>
      <w:numPr>
        <w:ilvl w:val="3"/>
        <w:numId w:val="6"/>
      </w:numPr>
      <w:spacing w:after="160"/>
      <w:contextualSpacing/>
    </w:pPr>
  </w:style>
  <w:style w:type="paragraph" w:styleId="ListBullet5">
    <w:name w:val="List Bullet 5"/>
    <w:basedOn w:val="Normal"/>
    <w:rsid w:val="00D14B99"/>
    <w:pPr>
      <w:numPr>
        <w:ilvl w:val="4"/>
        <w:numId w:val="6"/>
      </w:numPr>
      <w:spacing w:after="160"/>
      <w:contextualSpacing/>
    </w:pPr>
  </w:style>
  <w:style w:type="paragraph" w:styleId="ListContinue">
    <w:name w:val="List Continue"/>
    <w:basedOn w:val="Normal"/>
    <w:qFormat/>
    <w:rsid w:val="00DE0A98"/>
    <w:pPr>
      <w:ind w:left="283"/>
      <w:contextualSpacing/>
    </w:pPr>
  </w:style>
  <w:style w:type="paragraph" w:styleId="ListContinue2">
    <w:name w:val="List Continue 2"/>
    <w:basedOn w:val="Normal"/>
    <w:rsid w:val="00DE0A98"/>
    <w:pPr>
      <w:ind w:left="566"/>
      <w:contextualSpacing/>
    </w:pPr>
  </w:style>
  <w:style w:type="paragraph" w:styleId="ListNumber">
    <w:name w:val="List Number"/>
    <w:basedOn w:val="Normal"/>
    <w:uiPriority w:val="7"/>
    <w:qFormat/>
    <w:rsid w:val="00E03232"/>
    <w:pPr>
      <w:numPr>
        <w:numId w:val="5"/>
      </w:numPr>
      <w:tabs>
        <w:tab w:val="clear" w:pos="360"/>
        <w:tab w:val="num" w:pos="284"/>
      </w:tabs>
    </w:pPr>
    <w:rPr>
      <w:lang w:eastAsia="fr-CA"/>
    </w:rPr>
  </w:style>
  <w:style w:type="paragraph" w:styleId="ListNumber2">
    <w:name w:val="List Number 2"/>
    <w:basedOn w:val="Normal"/>
    <w:uiPriority w:val="2"/>
    <w:qFormat/>
    <w:rsid w:val="00E03232"/>
    <w:pPr>
      <w:numPr>
        <w:ilvl w:val="1"/>
        <w:numId w:val="5"/>
      </w:numPr>
      <w:ind w:left="568" w:hanging="284"/>
    </w:pPr>
  </w:style>
  <w:style w:type="paragraph" w:styleId="ListNumber3">
    <w:name w:val="List Number 3"/>
    <w:basedOn w:val="Normal"/>
    <w:uiPriority w:val="2"/>
    <w:rsid w:val="00E03232"/>
    <w:pPr>
      <w:numPr>
        <w:ilvl w:val="2"/>
        <w:numId w:val="5"/>
      </w:numPr>
    </w:pPr>
  </w:style>
  <w:style w:type="character" w:styleId="IntenseEmphasis">
    <w:name w:val="Intense Emphasis"/>
    <w:basedOn w:val="DefaultParagraphFont"/>
    <w:uiPriority w:val="21"/>
    <w:qFormat/>
    <w:rsid w:val="003C2EF1"/>
    <w:rPr>
      <w:i/>
      <w:iCs/>
      <w:color w:val="auto"/>
    </w:rPr>
  </w:style>
  <w:style w:type="character" w:styleId="Strong">
    <w:name w:val="Strong"/>
    <w:basedOn w:val="DefaultParagraphFont"/>
    <w:uiPriority w:val="22"/>
    <w:qFormat/>
    <w:rsid w:val="003C2EF1"/>
    <w:rPr>
      <w:b/>
      <w:bCs/>
    </w:rPr>
  </w:style>
  <w:style w:type="paragraph" w:styleId="IntenseQuote">
    <w:name w:val="Intense Quote"/>
    <w:basedOn w:val="Normal"/>
    <w:next w:val="Normal"/>
    <w:link w:val="IntenseQuoteChar"/>
    <w:uiPriority w:val="30"/>
    <w:qFormat/>
    <w:rsid w:val="005C4B71"/>
    <w:pPr>
      <w:pBdr>
        <w:top w:val="single" w:sz="4" w:space="10" w:color="D7D8D6" w:themeColor="accent1"/>
        <w:bottom w:val="single" w:sz="4" w:space="10" w:color="D7D8D6" w:themeColor="accent1"/>
      </w:pBdr>
      <w:spacing w:before="360" w:after="360"/>
      <w:ind w:right="864"/>
    </w:pPr>
    <w:rPr>
      <w:i/>
      <w:iCs/>
      <w:color w:val="D7D8D6" w:themeColor="accent1"/>
    </w:rPr>
  </w:style>
  <w:style w:type="character" w:customStyle="1" w:styleId="IntenseQuoteChar">
    <w:name w:val="Intense Quote Char"/>
    <w:basedOn w:val="DefaultParagraphFont"/>
    <w:link w:val="IntenseQuote"/>
    <w:uiPriority w:val="30"/>
    <w:rsid w:val="00443834"/>
    <w:rPr>
      <w:i/>
      <w:iCs/>
      <w:color w:val="D7D8D6" w:themeColor="accent1"/>
      <w:sz w:val="19"/>
    </w:rPr>
  </w:style>
  <w:style w:type="paragraph" w:styleId="NoSpacing">
    <w:name w:val="No Spacing"/>
    <w:uiPriority w:val="1"/>
    <w:qFormat/>
    <w:rsid w:val="005C4B71"/>
    <w:pPr>
      <w:spacing w:after="0" w:line="240" w:lineRule="auto"/>
    </w:pPr>
    <w:rPr>
      <w:sz w:val="19"/>
    </w:rPr>
  </w:style>
  <w:style w:type="paragraph" w:styleId="BodyText">
    <w:name w:val="Body Text"/>
    <w:basedOn w:val="Normal"/>
    <w:next w:val="Normal"/>
    <w:link w:val="BodyTextChar"/>
    <w:qFormat/>
    <w:rsid w:val="00E137E5"/>
  </w:style>
  <w:style w:type="character" w:customStyle="1" w:styleId="BodyTextChar">
    <w:name w:val="Body Text Char"/>
    <w:basedOn w:val="DefaultParagraphFont"/>
    <w:link w:val="BodyText"/>
    <w:rsid w:val="00E137E5"/>
    <w:rPr>
      <w:rFonts w:ascii="Arial" w:hAnsi="Arial"/>
      <w:sz w:val="19"/>
    </w:rPr>
  </w:style>
  <w:style w:type="paragraph" w:styleId="BodyTextFirstIndent">
    <w:name w:val="Body Text First Indent"/>
    <w:basedOn w:val="BodyText"/>
    <w:link w:val="BodyTextFirstIndentChar"/>
    <w:rsid w:val="00734512"/>
    <w:pPr>
      <w:ind w:firstLine="360"/>
    </w:pPr>
  </w:style>
  <w:style w:type="character" w:customStyle="1" w:styleId="BodyTextFirstIndentChar">
    <w:name w:val="Body Text First Indent Char"/>
    <w:basedOn w:val="BodyTextChar"/>
    <w:link w:val="BodyTextFirstIndent"/>
    <w:rsid w:val="00443834"/>
    <w:rPr>
      <w:rFonts w:ascii="Arial" w:hAnsi="Arial"/>
      <w:sz w:val="19"/>
    </w:rPr>
  </w:style>
  <w:style w:type="paragraph" w:styleId="BodyText2">
    <w:name w:val="Body Text 2"/>
    <w:basedOn w:val="Normal"/>
    <w:link w:val="BodyText2Char"/>
    <w:semiHidden/>
    <w:qFormat/>
    <w:rsid w:val="00734512"/>
    <w:pPr>
      <w:spacing w:line="480" w:lineRule="auto"/>
    </w:pPr>
  </w:style>
  <w:style w:type="character" w:customStyle="1" w:styleId="BodyText2Char">
    <w:name w:val="Body Text 2 Char"/>
    <w:basedOn w:val="DefaultParagraphFont"/>
    <w:link w:val="BodyText2"/>
    <w:semiHidden/>
    <w:rsid w:val="00443834"/>
    <w:rPr>
      <w:sz w:val="19"/>
    </w:rPr>
  </w:style>
  <w:style w:type="paragraph" w:styleId="BodyText3">
    <w:name w:val="Body Text 3"/>
    <w:basedOn w:val="Normal"/>
    <w:link w:val="BodyText3Char"/>
    <w:semiHidden/>
    <w:rsid w:val="00734512"/>
    <w:rPr>
      <w:sz w:val="16"/>
      <w:szCs w:val="16"/>
    </w:rPr>
  </w:style>
  <w:style w:type="character" w:customStyle="1" w:styleId="BodyText3Char">
    <w:name w:val="Body Text 3 Char"/>
    <w:basedOn w:val="DefaultParagraphFont"/>
    <w:link w:val="BodyText3"/>
    <w:semiHidden/>
    <w:rsid w:val="00443834"/>
    <w:rPr>
      <w:sz w:val="16"/>
      <w:szCs w:val="16"/>
    </w:rPr>
  </w:style>
  <w:style w:type="paragraph" w:styleId="NormalIndent">
    <w:name w:val="Normal Indent"/>
    <w:basedOn w:val="Normal"/>
    <w:rsid w:val="00734512"/>
    <w:pPr>
      <w:ind w:left="720"/>
    </w:pPr>
  </w:style>
  <w:style w:type="paragraph" w:styleId="Quote">
    <w:name w:val="Quote"/>
    <w:basedOn w:val="Normal"/>
    <w:next w:val="Normal"/>
    <w:link w:val="QuoteChar"/>
    <w:uiPriority w:val="3"/>
    <w:qFormat/>
    <w:rsid w:val="0065433C"/>
    <w:pPr>
      <w:spacing w:before="200" w:after="160"/>
      <w:ind w:right="864"/>
    </w:pPr>
    <w:rPr>
      <w:i/>
      <w:iCs/>
      <w:color w:val="1C2B39" w:themeColor="text2"/>
    </w:rPr>
  </w:style>
  <w:style w:type="character" w:customStyle="1" w:styleId="QuoteChar">
    <w:name w:val="Quote Char"/>
    <w:basedOn w:val="DefaultParagraphFont"/>
    <w:link w:val="Quote"/>
    <w:uiPriority w:val="3"/>
    <w:rsid w:val="0065433C"/>
    <w:rPr>
      <w:i/>
      <w:iCs/>
      <w:color w:val="1C2B39" w:themeColor="text2"/>
      <w:sz w:val="19"/>
    </w:rPr>
  </w:style>
  <w:style w:type="table" w:styleId="TableGrid">
    <w:name w:val="Table Grid"/>
    <w:basedOn w:val="TableNormal"/>
    <w:uiPriority w:val="59"/>
    <w:rsid w:val="00556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1">
    <w:name w:val="List Table 41"/>
    <w:aliases w:val="LXRA T4"/>
    <w:basedOn w:val="ListTable4-Accent11"/>
    <w:uiPriority w:val="49"/>
    <w:rsid w:val="005B4EE1"/>
    <w:tblPr>
      <w:tblBorders>
        <w:top w:val="single" w:sz="4" w:space="0" w:color="666666" w:themeColor="text1" w:themeTint="99"/>
        <w:bottom w:val="single" w:sz="4" w:space="0" w:color="666666" w:themeColor="text1" w:themeTint="99"/>
      </w:tblBorders>
    </w:tblPr>
    <w:tblStylePr w:type="firstRow">
      <w:pPr>
        <w:jc w:val="left"/>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aliases w:val="LXRA T2"/>
    <w:basedOn w:val="TableNormal"/>
    <w:uiPriority w:val="49"/>
    <w:rsid w:val="005B4EE1"/>
    <w:pPr>
      <w:spacing w:after="0" w:line="240" w:lineRule="auto"/>
    </w:pPr>
    <w:tblPr>
      <w:tblStyleRowBandSize w:val="1"/>
      <w:tblStyleColBandSize w:val="1"/>
      <w:tblBorders>
        <w:top w:val="single" w:sz="4" w:space="0" w:color="E6E7E6" w:themeColor="accent1" w:themeTint="99"/>
        <w:bottom w:val="single" w:sz="4" w:space="0" w:color="E6E7E6" w:themeColor="accent1" w:themeTint="99"/>
      </w:tblBorders>
      <w:tblCellMar>
        <w:top w:w="113" w:type="dxa"/>
      </w:tblCellMar>
    </w:tblPr>
    <w:tcPr>
      <w:vAlign w:val="center"/>
    </w:tcPr>
    <w:tblStylePr w:type="firstRow">
      <w:pPr>
        <w:jc w:val="left"/>
      </w:pPr>
      <w:rPr>
        <w:b/>
        <w:bCs/>
        <w:color w:val="FFFFFF" w:themeColor="background1"/>
      </w:rPr>
      <w:tblPr/>
      <w:trPr>
        <w:tblHeader/>
      </w:trPr>
      <w:tcPr>
        <w:tcBorders>
          <w:top w:val="single" w:sz="4" w:space="0" w:color="D7D8D6" w:themeColor="accent1"/>
          <w:left w:val="single" w:sz="4" w:space="0" w:color="D7D8D6" w:themeColor="accent1"/>
          <w:bottom w:val="single" w:sz="4" w:space="0" w:color="D7D8D6" w:themeColor="accent1"/>
          <w:right w:val="single" w:sz="4" w:space="0" w:color="D7D8D6" w:themeColor="accent1"/>
          <w:insideH w:val="nil"/>
        </w:tcBorders>
        <w:shd w:val="clear" w:color="auto" w:fill="D7D8D6" w:themeFill="accent1"/>
      </w:tcPr>
    </w:tblStylePr>
    <w:tblStylePr w:type="lastRow">
      <w:rPr>
        <w:b/>
        <w:bCs/>
      </w:rPr>
      <w:tblPr/>
      <w:tcPr>
        <w:tcBorders>
          <w:top w:val="double" w:sz="4" w:space="0" w:color="E6E7E6" w:themeColor="accent1" w:themeTint="99"/>
        </w:tcBorders>
      </w:tcPr>
    </w:tblStylePr>
    <w:tblStylePr w:type="firstCol">
      <w:rPr>
        <w:b/>
        <w:bCs/>
      </w:rPr>
    </w:tblStylePr>
    <w:tblStylePr w:type="lastCol">
      <w:rPr>
        <w:b/>
        <w:bCs/>
      </w:rPr>
    </w:tblStylePr>
    <w:tblStylePr w:type="band1Vert">
      <w:tblPr/>
      <w:tcPr>
        <w:shd w:val="clear" w:color="auto" w:fill="F6F7F6" w:themeFill="accent1" w:themeFillTint="33"/>
      </w:tcPr>
    </w:tblStylePr>
    <w:tblStylePr w:type="band1Horz">
      <w:tblPr/>
      <w:tcPr>
        <w:shd w:val="clear" w:color="auto" w:fill="F6F7F6" w:themeFill="accent1" w:themeFillTint="33"/>
      </w:tcPr>
    </w:tblStylePr>
  </w:style>
  <w:style w:type="table" w:customStyle="1" w:styleId="ListTable6Colorful1">
    <w:name w:val="List Table 6 Colorful1"/>
    <w:basedOn w:val="TableNormal"/>
    <w:uiPriority w:val="51"/>
    <w:rsid w:val="0055631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21">
    <w:name w:val="List Table 4 - Accent 21"/>
    <w:aliases w:val="LXRA T3"/>
    <w:basedOn w:val="ListTable4-Accent11"/>
    <w:uiPriority w:val="49"/>
    <w:rsid w:val="005B4EE1"/>
    <w:tblPr>
      <w:tblBorders>
        <w:top w:val="single" w:sz="4" w:space="0" w:color="FFDC6B" w:themeColor="accent2" w:themeTint="99"/>
        <w:bottom w:val="single" w:sz="4" w:space="0" w:color="FFDC6B" w:themeColor="accent2" w:themeTint="99"/>
      </w:tblBorders>
    </w:tblPr>
    <w:tblStylePr w:type="firstRow">
      <w:pPr>
        <w:jc w:val="left"/>
      </w:pPr>
      <w:rPr>
        <w:b/>
        <w:bCs/>
        <w:color w:val="FFFFFF" w:themeColor="background1"/>
      </w:rPr>
      <w:tblPr/>
      <w:trPr>
        <w:tblHeader/>
      </w:trPr>
      <w:tcPr>
        <w:tcBorders>
          <w:top w:val="single" w:sz="4" w:space="0" w:color="FFC709" w:themeColor="accent2"/>
          <w:left w:val="single" w:sz="4" w:space="0" w:color="FFC709" w:themeColor="accent2"/>
          <w:bottom w:val="single" w:sz="4" w:space="0" w:color="FFC709" w:themeColor="accent2"/>
          <w:right w:val="single" w:sz="4" w:space="0" w:color="FFC709" w:themeColor="accent2"/>
          <w:insideH w:val="nil"/>
        </w:tcBorders>
        <w:shd w:val="clear" w:color="auto" w:fill="FFC709" w:themeFill="accent2"/>
      </w:tcPr>
    </w:tblStylePr>
    <w:tblStylePr w:type="lastRow">
      <w:rPr>
        <w:b/>
        <w:bCs/>
      </w:rPr>
      <w:tblPr/>
      <w:tcPr>
        <w:tcBorders>
          <w:top w:val="double" w:sz="4" w:space="0" w:color="FFDC6B" w:themeColor="accent2" w:themeTint="99"/>
        </w:tcBorders>
      </w:tcPr>
    </w:tblStylePr>
    <w:tblStylePr w:type="firstCol">
      <w:rPr>
        <w:b/>
        <w:bCs/>
      </w:rPr>
    </w:tblStylePr>
    <w:tblStylePr w:type="lastCol">
      <w:rPr>
        <w:b/>
        <w:bCs/>
      </w:rPr>
    </w:tblStylePr>
    <w:tblStylePr w:type="band1Vert">
      <w:tblPr/>
      <w:tcPr>
        <w:shd w:val="clear" w:color="auto" w:fill="FFF3CD" w:themeFill="accent2" w:themeFillTint="33"/>
      </w:tcPr>
    </w:tblStylePr>
    <w:tblStylePr w:type="band1Horz">
      <w:tblPr/>
      <w:tcPr>
        <w:shd w:val="clear" w:color="auto" w:fill="FFF3CD" w:themeFill="accent2" w:themeFillTint="33"/>
      </w:tcPr>
    </w:tblStylePr>
  </w:style>
  <w:style w:type="table" w:customStyle="1" w:styleId="ListTable4-Accent31">
    <w:name w:val="List Table 4 - Accent 31"/>
    <w:aliases w:val="LXRA T1"/>
    <w:basedOn w:val="ListTable4-Accent11"/>
    <w:uiPriority w:val="49"/>
    <w:rsid w:val="00DA5E95"/>
    <w:tblPr>
      <w:tblBorders>
        <w:top w:val="single" w:sz="4" w:space="0" w:color="3D7B80"/>
        <w:bottom w:val="single" w:sz="4" w:space="0" w:color="3D7B80"/>
      </w:tblBorders>
      <w:tblCellMar>
        <w:bottom w:w="108"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bCs/>
        <w:color w:val="FFFFFF" w:themeColor="background1"/>
        <w:sz w:val="19"/>
      </w:rPr>
      <w:tblPr/>
      <w:trPr>
        <w:tblHeader/>
      </w:trPr>
      <w:tcPr>
        <w:tcBorders>
          <w:top w:val="nil"/>
          <w:left w:val="nil"/>
          <w:bottom w:val="nil"/>
          <w:right w:val="nil"/>
          <w:insideH w:val="nil"/>
          <w:insideV w:val="single" w:sz="4" w:space="0" w:color="FFFFFF" w:themeColor="background1"/>
        </w:tcBorders>
        <w:shd w:val="clear" w:color="auto" w:fill="3D7B80"/>
        <w:vAlign w:val="bottom"/>
      </w:tcPr>
    </w:tblStylePr>
    <w:tblStylePr w:type="lastRow">
      <w:rPr>
        <w:b/>
        <w:bCs/>
      </w:rPr>
      <w:tblPr/>
      <w:tcPr>
        <w:tcBorders>
          <w:top w:val="single" w:sz="8" w:space="0" w:color="3D7B80"/>
          <w:bottom w:val="single" w:sz="8" w:space="0" w:color="3D7B80"/>
        </w:tcBorders>
        <w:shd w:val="clear" w:color="auto" w:fill="DCEBEE"/>
      </w:tcPr>
    </w:tblStylePr>
    <w:tblStylePr w:type="firstCol">
      <w:rPr>
        <w:b/>
        <w:bCs/>
      </w:rPr>
    </w:tblStylePr>
    <w:tblStylePr w:type="lastCol">
      <w:rPr>
        <w:b/>
        <w:bCs/>
      </w:rPr>
    </w:tblStylePr>
    <w:tblStylePr w:type="band1Vert">
      <w:tblPr/>
      <w:tcPr>
        <w:shd w:val="clear" w:color="auto" w:fill="F6F7F6" w:themeFill="accent1" w:themeFillTint="33"/>
      </w:tcPr>
    </w:tblStylePr>
    <w:tblStylePr w:type="band1Horz">
      <w:tblPr/>
      <w:tcPr>
        <w:shd w:val="clear" w:color="auto" w:fill="DCEBEE"/>
      </w:tcPr>
    </w:tblStylePr>
    <w:tblStylePr w:type="band2Horz">
      <w:tblPr/>
      <w:tcPr>
        <w:shd w:val="clear" w:color="auto" w:fill="FFFFFF" w:themeFill="background1"/>
      </w:tcPr>
    </w:tblStylePr>
  </w:style>
  <w:style w:type="table" w:customStyle="1" w:styleId="ListTable4-Accent41">
    <w:name w:val="List Table 4 - Accent 41"/>
    <w:aliases w:val="LXRA T5"/>
    <w:basedOn w:val="ListTable4-Accent11"/>
    <w:uiPriority w:val="49"/>
    <w:rsid w:val="005B4EE1"/>
    <w:tblPr>
      <w:tblBorders>
        <w:top w:val="single" w:sz="4" w:space="0" w:color="AF60D2" w:themeColor="accent4" w:themeTint="99"/>
        <w:bottom w:val="single" w:sz="4" w:space="0" w:color="AF60D2" w:themeColor="accent4" w:themeTint="99"/>
      </w:tblBorders>
    </w:tblPr>
    <w:tblStylePr w:type="firstRow">
      <w:pPr>
        <w:jc w:val="left"/>
      </w:pPr>
      <w:rPr>
        <w:b/>
        <w:bCs/>
        <w:color w:val="FFFFFF" w:themeColor="background1"/>
      </w:rPr>
      <w:tblPr/>
      <w:trPr>
        <w:tblHeader/>
      </w:trPr>
      <w:tcPr>
        <w:tcBorders>
          <w:top w:val="single" w:sz="4" w:space="0" w:color="692686" w:themeColor="accent4"/>
          <w:left w:val="single" w:sz="4" w:space="0" w:color="692686" w:themeColor="accent4"/>
          <w:bottom w:val="single" w:sz="4" w:space="0" w:color="692686" w:themeColor="accent4"/>
          <w:right w:val="single" w:sz="4" w:space="0" w:color="692686" w:themeColor="accent4"/>
          <w:insideH w:val="nil"/>
        </w:tcBorders>
        <w:shd w:val="clear" w:color="auto" w:fill="692686" w:themeFill="accent4"/>
      </w:tcPr>
    </w:tblStylePr>
    <w:tblStylePr w:type="lastRow">
      <w:rPr>
        <w:b/>
        <w:bCs/>
      </w:rPr>
      <w:tblPr/>
      <w:tcPr>
        <w:tcBorders>
          <w:top w:val="double" w:sz="4" w:space="0" w:color="AF60D2" w:themeColor="accent4" w:themeTint="99"/>
        </w:tcBorders>
      </w:tcPr>
    </w:tblStylePr>
    <w:tblStylePr w:type="firstCol">
      <w:rPr>
        <w:b/>
        <w:bCs/>
      </w:rPr>
    </w:tblStylePr>
    <w:tblStylePr w:type="lastCol">
      <w:rPr>
        <w:b/>
        <w:bCs/>
      </w:rPr>
    </w:tblStylePr>
    <w:tblStylePr w:type="band1Vert">
      <w:tblPr/>
      <w:tcPr>
        <w:shd w:val="clear" w:color="auto" w:fill="E4CAF0" w:themeFill="accent4" w:themeFillTint="33"/>
      </w:tcPr>
    </w:tblStylePr>
    <w:tblStylePr w:type="band1Horz">
      <w:tblPr/>
      <w:tcPr>
        <w:shd w:val="clear" w:color="auto" w:fill="E4CAF0" w:themeFill="accent4" w:themeFillTint="33"/>
      </w:tcPr>
    </w:tblStylePr>
  </w:style>
  <w:style w:type="table" w:customStyle="1" w:styleId="ListTable4-Accent51">
    <w:name w:val="List Table 4 - Accent 51"/>
    <w:aliases w:val="LXRA T6"/>
    <w:basedOn w:val="ListTable4-Accent11"/>
    <w:uiPriority w:val="49"/>
    <w:rsid w:val="005B4EE1"/>
    <w:tblPr>
      <w:tblBorders>
        <w:top w:val="single" w:sz="4" w:space="0" w:color="63E18C" w:themeColor="accent5" w:themeTint="99"/>
        <w:bottom w:val="single" w:sz="4" w:space="0" w:color="63E18C" w:themeColor="accent5" w:themeTint="99"/>
      </w:tblBorders>
    </w:tblPr>
    <w:tblStylePr w:type="firstRow">
      <w:pPr>
        <w:jc w:val="left"/>
      </w:pPr>
      <w:rPr>
        <w:b/>
        <w:bCs/>
        <w:color w:val="FFFFFF" w:themeColor="background1"/>
      </w:rPr>
      <w:tblPr/>
      <w:trPr>
        <w:tblHeader/>
      </w:trPr>
      <w:tcPr>
        <w:tcBorders>
          <w:top w:val="single" w:sz="4" w:space="0" w:color="20AA4D" w:themeColor="accent5"/>
          <w:left w:val="single" w:sz="4" w:space="0" w:color="20AA4D" w:themeColor="accent5"/>
          <w:bottom w:val="single" w:sz="4" w:space="0" w:color="20AA4D" w:themeColor="accent5"/>
          <w:right w:val="single" w:sz="4" w:space="0" w:color="20AA4D" w:themeColor="accent5"/>
          <w:insideH w:val="nil"/>
        </w:tcBorders>
        <w:shd w:val="clear" w:color="auto" w:fill="20AA4D" w:themeFill="accent5"/>
      </w:tcPr>
    </w:tblStylePr>
    <w:tblStylePr w:type="lastRow">
      <w:rPr>
        <w:b/>
        <w:bCs/>
      </w:rPr>
      <w:tblPr/>
      <w:tcPr>
        <w:tcBorders>
          <w:top w:val="double" w:sz="4" w:space="0" w:color="63E18C" w:themeColor="accent5" w:themeTint="99"/>
        </w:tcBorders>
      </w:tcPr>
    </w:tblStylePr>
    <w:tblStylePr w:type="firstCol">
      <w:rPr>
        <w:b/>
        <w:bCs/>
      </w:rPr>
    </w:tblStylePr>
    <w:tblStylePr w:type="lastCol">
      <w:rPr>
        <w:b/>
        <w:bCs/>
      </w:rPr>
    </w:tblStylePr>
    <w:tblStylePr w:type="band1Vert">
      <w:tblPr/>
      <w:tcPr>
        <w:shd w:val="clear" w:color="auto" w:fill="CBF5D8" w:themeFill="accent5" w:themeFillTint="33"/>
      </w:tcPr>
    </w:tblStylePr>
    <w:tblStylePr w:type="band1Horz">
      <w:tblPr/>
      <w:tcPr>
        <w:shd w:val="clear" w:color="auto" w:fill="CBF5D8" w:themeFill="accent5" w:themeFillTint="33"/>
      </w:tcPr>
    </w:tblStylePr>
  </w:style>
  <w:style w:type="table" w:customStyle="1" w:styleId="ListTable4-Accent61">
    <w:name w:val="List Table 4 - Accent 61"/>
    <w:aliases w:val="LXRA T7"/>
    <w:basedOn w:val="ListTable4-Accent11"/>
    <w:uiPriority w:val="49"/>
    <w:rsid w:val="005B4EE1"/>
    <w:tblPr>
      <w:tblBorders>
        <w:top w:val="single" w:sz="4" w:space="0" w:color="3AC1FF" w:themeColor="accent6" w:themeTint="99"/>
        <w:bottom w:val="single" w:sz="4" w:space="0" w:color="3AC1FF" w:themeColor="accent6" w:themeTint="99"/>
      </w:tblBorders>
    </w:tblPr>
    <w:tblStylePr w:type="firstRow">
      <w:pPr>
        <w:jc w:val="left"/>
      </w:pPr>
      <w:rPr>
        <w:b/>
        <w:bCs/>
        <w:color w:val="FFFFFF" w:themeColor="background1"/>
      </w:rPr>
      <w:tblPr/>
      <w:trPr>
        <w:tblHeader/>
      </w:trPr>
      <w:tcPr>
        <w:tcBorders>
          <w:top w:val="single" w:sz="4" w:space="0" w:color="007DB6" w:themeColor="accent6"/>
          <w:left w:val="single" w:sz="4" w:space="0" w:color="007DB6" w:themeColor="accent6"/>
          <w:bottom w:val="single" w:sz="4" w:space="0" w:color="007DB6" w:themeColor="accent6"/>
          <w:right w:val="single" w:sz="4" w:space="0" w:color="007DB6" w:themeColor="accent6"/>
          <w:insideH w:val="nil"/>
        </w:tcBorders>
        <w:shd w:val="clear" w:color="auto" w:fill="007DB6" w:themeFill="accent6"/>
      </w:tcPr>
    </w:tblStylePr>
    <w:tblStylePr w:type="lastRow">
      <w:rPr>
        <w:b/>
        <w:bCs/>
      </w:rPr>
      <w:tblPr/>
      <w:tcPr>
        <w:tcBorders>
          <w:top w:val="double" w:sz="4" w:space="0" w:color="3AC1FF" w:themeColor="accent6" w:themeTint="99"/>
        </w:tcBorders>
      </w:tcPr>
    </w:tblStylePr>
    <w:tblStylePr w:type="firstCol">
      <w:rPr>
        <w:b/>
        <w:bCs/>
      </w:rPr>
    </w:tblStylePr>
    <w:tblStylePr w:type="lastCol">
      <w:rPr>
        <w:b/>
        <w:bCs/>
      </w:rPr>
    </w:tblStylePr>
    <w:tblStylePr w:type="band1Vert">
      <w:tblPr/>
      <w:tcPr>
        <w:shd w:val="clear" w:color="auto" w:fill="BDEAFF" w:themeFill="accent6" w:themeFillTint="33"/>
      </w:tcPr>
    </w:tblStylePr>
    <w:tblStylePr w:type="band1Horz">
      <w:tblPr/>
      <w:tcPr>
        <w:shd w:val="clear" w:color="auto" w:fill="BDEAFF" w:themeFill="accent6" w:themeFillTint="33"/>
      </w:tcPr>
    </w:tblStylePr>
  </w:style>
  <w:style w:type="paragraph" w:styleId="TOC1">
    <w:name w:val="toc 1"/>
    <w:basedOn w:val="TOC2"/>
    <w:next w:val="Normal"/>
    <w:uiPriority w:val="39"/>
    <w:unhideWhenUsed/>
    <w:rsid w:val="00E03232"/>
    <w:pPr>
      <w:spacing w:line="276" w:lineRule="auto"/>
    </w:pPr>
  </w:style>
  <w:style w:type="paragraph" w:styleId="TOC2">
    <w:name w:val="toc 2"/>
    <w:basedOn w:val="Normal"/>
    <w:next w:val="Normal"/>
    <w:uiPriority w:val="39"/>
    <w:unhideWhenUsed/>
    <w:rsid w:val="009A70B9"/>
    <w:pPr>
      <w:tabs>
        <w:tab w:val="left" w:pos="851"/>
        <w:tab w:val="right" w:pos="6776"/>
      </w:tabs>
      <w:spacing w:before="200" w:line="264" w:lineRule="auto"/>
      <w:ind w:left="851" w:right="851" w:hanging="851"/>
    </w:pPr>
    <w:rPr>
      <w:rFonts w:eastAsia="Times New Roman" w:cs="Times New Roman"/>
      <w:noProof/>
      <w:sz w:val="23"/>
      <w:szCs w:val="24"/>
      <w:lang w:eastAsia="fr-CA"/>
    </w:rPr>
  </w:style>
  <w:style w:type="paragraph" w:styleId="TOC3">
    <w:name w:val="toc 3"/>
    <w:basedOn w:val="Normal"/>
    <w:next w:val="Normal"/>
    <w:uiPriority w:val="39"/>
    <w:unhideWhenUsed/>
    <w:rsid w:val="006659D0"/>
    <w:pPr>
      <w:tabs>
        <w:tab w:val="left" w:pos="851"/>
        <w:tab w:val="right" w:pos="6776"/>
      </w:tabs>
      <w:spacing w:before="60" w:after="0"/>
      <w:ind w:left="851" w:right="851" w:hanging="851"/>
    </w:pPr>
    <w:rPr>
      <w:rFonts w:eastAsiaTheme="majorEastAsia" w:cs="Arial"/>
      <w:noProof/>
      <w:szCs w:val="20"/>
      <w:lang w:eastAsia="fr-CA"/>
    </w:rPr>
  </w:style>
  <w:style w:type="character" w:styleId="Hyperlink">
    <w:name w:val="Hyperlink"/>
    <w:basedOn w:val="DefaultParagraphFont"/>
    <w:uiPriority w:val="99"/>
    <w:unhideWhenUsed/>
    <w:rsid w:val="003F2F68"/>
    <w:rPr>
      <w:color w:val="005C97" w:themeColor="hyperlink"/>
      <w:u w:val="single"/>
    </w:rPr>
  </w:style>
  <w:style w:type="paragraph" w:styleId="Header">
    <w:name w:val="header"/>
    <w:basedOn w:val="Normal"/>
    <w:link w:val="HeaderChar"/>
    <w:uiPriority w:val="99"/>
    <w:unhideWhenUsed/>
    <w:rsid w:val="00DC10B3"/>
    <w:pPr>
      <w:tabs>
        <w:tab w:val="center" w:pos="4513"/>
        <w:tab w:val="right" w:pos="9026"/>
      </w:tabs>
      <w:spacing w:after="0"/>
    </w:pPr>
  </w:style>
  <w:style w:type="character" w:customStyle="1" w:styleId="HeaderChar">
    <w:name w:val="Header Char"/>
    <w:basedOn w:val="DefaultParagraphFont"/>
    <w:link w:val="Header"/>
    <w:uiPriority w:val="99"/>
    <w:rsid w:val="00DC10B3"/>
    <w:rPr>
      <w:sz w:val="19"/>
    </w:rPr>
  </w:style>
  <w:style w:type="paragraph" w:styleId="Footer">
    <w:name w:val="footer"/>
    <w:basedOn w:val="Normal"/>
    <w:link w:val="FooterChar"/>
    <w:uiPriority w:val="99"/>
    <w:unhideWhenUsed/>
    <w:rsid w:val="00632BD3"/>
    <w:pPr>
      <w:tabs>
        <w:tab w:val="center" w:pos="4513"/>
        <w:tab w:val="right" w:pos="9026"/>
      </w:tabs>
      <w:spacing w:before="0" w:after="0"/>
    </w:pPr>
    <w:rPr>
      <w:color w:val="004F9E"/>
      <w:sz w:val="16"/>
    </w:rPr>
  </w:style>
  <w:style w:type="character" w:customStyle="1" w:styleId="FooterChar">
    <w:name w:val="Footer Char"/>
    <w:basedOn w:val="DefaultParagraphFont"/>
    <w:link w:val="Footer"/>
    <w:uiPriority w:val="99"/>
    <w:rsid w:val="00632BD3"/>
    <w:rPr>
      <w:rFonts w:ascii="Arial" w:hAnsi="Arial"/>
      <w:color w:val="004F9E"/>
      <w:sz w:val="16"/>
    </w:rPr>
  </w:style>
  <w:style w:type="character" w:customStyle="1" w:styleId="Heading6Char">
    <w:name w:val="Heading 6 Char"/>
    <w:basedOn w:val="DefaultParagraphFont"/>
    <w:link w:val="Heading6"/>
    <w:rsid w:val="009E745E"/>
    <w:rPr>
      <w:rFonts w:asciiTheme="majorHAnsi" w:eastAsiaTheme="majorEastAsia" w:hAnsiTheme="majorHAnsi" w:cstheme="majorBidi"/>
      <w:color w:val="6A6D68" w:themeColor="accent1" w:themeShade="7F"/>
      <w:sz w:val="19"/>
    </w:rPr>
  </w:style>
  <w:style w:type="numbering" w:customStyle="1" w:styleId="LXRABullets">
    <w:name w:val="LXRA Bullets"/>
    <w:uiPriority w:val="99"/>
    <w:rsid w:val="007F3425"/>
    <w:pPr>
      <w:numPr>
        <w:numId w:val="3"/>
      </w:numPr>
    </w:pPr>
  </w:style>
  <w:style w:type="numbering" w:customStyle="1" w:styleId="LXRANumberedList">
    <w:name w:val="LXRA Numbered List"/>
    <w:uiPriority w:val="99"/>
    <w:rsid w:val="00014147"/>
    <w:pPr>
      <w:numPr>
        <w:numId w:val="4"/>
      </w:numPr>
    </w:pPr>
  </w:style>
  <w:style w:type="table" w:customStyle="1" w:styleId="LXRATable1">
    <w:name w:val="LXRA Table 1"/>
    <w:basedOn w:val="TableNormal"/>
    <w:uiPriority w:val="99"/>
    <w:rsid w:val="001029CF"/>
    <w:pPr>
      <w:spacing w:after="0" w:line="240" w:lineRule="auto"/>
    </w:pPr>
    <w:tblPr/>
  </w:style>
  <w:style w:type="paragraph" w:styleId="DocumentMap">
    <w:name w:val="Document Map"/>
    <w:basedOn w:val="Normal"/>
    <w:link w:val="DocumentMapChar"/>
    <w:uiPriority w:val="39"/>
    <w:semiHidden/>
    <w:rsid w:val="00EF0FDF"/>
    <w:pPr>
      <w:spacing w:after="0"/>
    </w:pPr>
    <w:rPr>
      <w:rFonts w:ascii="Times New Roman" w:hAnsi="Times New Roman" w:cs="Times New Roman"/>
      <w:sz w:val="24"/>
      <w:szCs w:val="24"/>
    </w:rPr>
  </w:style>
  <w:style w:type="character" w:customStyle="1" w:styleId="DocumentMapChar">
    <w:name w:val="Document Map Char"/>
    <w:basedOn w:val="DefaultParagraphFont"/>
    <w:link w:val="DocumentMap"/>
    <w:uiPriority w:val="39"/>
    <w:semiHidden/>
    <w:rsid w:val="00EF0FDF"/>
    <w:rPr>
      <w:rFonts w:ascii="Times New Roman" w:hAnsi="Times New Roman" w:cs="Times New Roman"/>
      <w:sz w:val="24"/>
      <w:szCs w:val="24"/>
    </w:rPr>
  </w:style>
  <w:style w:type="table" w:customStyle="1" w:styleId="ListTable3-Accent51">
    <w:name w:val="List Table 3 - Accent 51"/>
    <w:basedOn w:val="TableNormal"/>
    <w:uiPriority w:val="48"/>
    <w:rsid w:val="00D86DF0"/>
    <w:pPr>
      <w:spacing w:after="0" w:line="240" w:lineRule="auto"/>
    </w:pPr>
    <w:tblPr>
      <w:tblStyleRowBandSize w:val="1"/>
      <w:tblStyleColBandSize w:val="1"/>
      <w:tblBorders>
        <w:top w:val="single" w:sz="4" w:space="0" w:color="20AA4D" w:themeColor="accent5"/>
        <w:left w:val="single" w:sz="4" w:space="0" w:color="20AA4D" w:themeColor="accent5"/>
        <w:bottom w:val="single" w:sz="4" w:space="0" w:color="20AA4D" w:themeColor="accent5"/>
        <w:right w:val="single" w:sz="4" w:space="0" w:color="20AA4D" w:themeColor="accent5"/>
      </w:tblBorders>
    </w:tblPr>
    <w:tblStylePr w:type="firstRow">
      <w:rPr>
        <w:b/>
        <w:bCs/>
        <w:color w:val="FFFFFF" w:themeColor="background1"/>
      </w:rPr>
      <w:tblPr/>
      <w:tcPr>
        <w:shd w:val="clear" w:color="auto" w:fill="20AA4D" w:themeFill="accent5"/>
      </w:tcPr>
    </w:tblStylePr>
    <w:tblStylePr w:type="lastRow">
      <w:rPr>
        <w:b/>
        <w:bCs/>
      </w:rPr>
      <w:tblPr/>
      <w:tcPr>
        <w:tcBorders>
          <w:top w:val="double" w:sz="4" w:space="0" w:color="20AA4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AA4D" w:themeColor="accent5"/>
          <w:right w:val="single" w:sz="4" w:space="0" w:color="20AA4D" w:themeColor="accent5"/>
        </w:tcBorders>
      </w:tcPr>
    </w:tblStylePr>
    <w:tblStylePr w:type="band1Horz">
      <w:tblPr/>
      <w:tcPr>
        <w:tcBorders>
          <w:top w:val="single" w:sz="4" w:space="0" w:color="20AA4D" w:themeColor="accent5"/>
          <w:bottom w:val="single" w:sz="4" w:space="0" w:color="20AA4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AA4D" w:themeColor="accent5"/>
          <w:left w:val="nil"/>
        </w:tcBorders>
      </w:tcPr>
    </w:tblStylePr>
    <w:tblStylePr w:type="swCell">
      <w:tblPr/>
      <w:tcPr>
        <w:tcBorders>
          <w:top w:val="double" w:sz="4" w:space="0" w:color="20AA4D" w:themeColor="accent5"/>
          <w:right w:val="nil"/>
        </w:tcBorders>
      </w:tcPr>
    </w:tblStylePr>
  </w:style>
  <w:style w:type="paragraph" w:styleId="TOCHeading">
    <w:name w:val="TOC Heading"/>
    <w:basedOn w:val="Heading1"/>
    <w:next w:val="Normal"/>
    <w:uiPriority w:val="39"/>
    <w:unhideWhenUsed/>
    <w:qFormat/>
    <w:rsid w:val="00DF6614"/>
    <w:pPr>
      <w:numPr>
        <w:numId w:val="0"/>
      </w:numPr>
    </w:pPr>
    <w:rPr>
      <w:rFonts w:ascii="Arial Bold" w:hAnsi="Arial Bold"/>
    </w:rPr>
  </w:style>
  <w:style w:type="paragraph" w:styleId="TOC4">
    <w:name w:val="toc 4"/>
    <w:basedOn w:val="TableofFigures"/>
    <w:next w:val="Normal"/>
    <w:unhideWhenUsed/>
    <w:rsid w:val="00E13EA9"/>
  </w:style>
  <w:style w:type="paragraph" w:styleId="TOC5">
    <w:name w:val="toc 5"/>
    <w:basedOn w:val="Normal"/>
    <w:next w:val="Normal"/>
    <w:rsid w:val="00E13EA9"/>
    <w:pPr>
      <w:spacing w:after="100" w:line="288" w:lineRule="auto"/>
      <w:ind w:left="800"/>
    </w:pPr>
    <w:rPr>
      <w:rFonts w:eastAsia="Times New Roman" w:cs="Times New Roman"/>
      <w:szCs w:val="24"/>
      <w:lang w:eastAsia="fr-CA"/>
    </w:rPr>
  </w:style>
  <w:style w:type="paragraph" w:styleId="TOC6">
    <w:name w:val="toc 6"/>
    <w:basedOn w:val="Normal"/>
    <w:next w:val="Normal"/>
    <w:autoRedefine/>
    <w:unhideWhenUsed/>
    <w:rsid w:val="00E13EA9"/>
    <w:pPr>
      <w:spacing w:after="0"/>
    </w:pPr>
    <w:rPr>
      <w:sz w:val="22"/>
    </w:rPr>
  </w:style>
  <w:style w:type="paragraph" w:styleId="TOC7">
    <w:name w:val="toc 7"/>
    <w:basedOn w:val="Normal"/>
    <w:next w:val="Normal"/>
    <w:autoRedefine/>
    <w:unhideWhenUsed/>
    <w:rsid w:val="00E13EA9"/>
    <w:pPr>
      <w:spacing w:after="0"/>
    </w:pPr>
    <w:rPr>
      <w:sz w:val="22"/>
    </w:rPr>
  </w:style>
  <w:style w:type="paragraph" w:styleId="TOC8">
    <w:name w:val="toc 8"/>
    <w:basedOn w:val="Normal"/>
    <w:next w:val="Normal"/>
    <w:autoRedefine/>
    <w:unhideWhenUsed/>
    <w:rsid w:val="000D74C6"/>
    <w:pPr>
      <w:spacing w:after="0"/>
    </w:pPr>
    <w:rPr>
      <w:sz w:val="22"/>
    </w:rPr>
  </w:style>
  <w:style w:type="paragraph" w:styleId="TOC9">
    <w:name w:val="toc 9"/>
    <w:basedOn w:val="Normal"/>
    <w:next w:val="Normal"/>
    <w:autoRedefine/>
    <w:unhideWhenUsed/>
    <w:rsid w:val="000D74C6"/>
    <w:pPr>
      <w:spacing w:after="0"/>
    </w:pPr>
    <w:rPr>
      <w:sz w:val="22"/>
    </w:rPr>
  </w:style>
  <w:style w:type="table" w:customStyle="1" w:styleId="GridTable4-Accent21">
    <w:name w:val="Grid Table 4 - Accent 21"/>
    <w:basedOn w:val="TableNormal"/>
    <w:uiPriority w:val="49"/>
    <w:rsid w:val="00DB4FED"/>
    <w:pPr>
      <w:spacing w:after="0" w:line="240" w:lineRule="auto"/>
    </w:pPr>
    <w:tblPr>
      <w:tblStyleRowBandSize w:val="1"/>
      <w:tblStyleColBandSize w:val="1"/>
      <w:tblBorders>
        <w:top w:val="single" w:sz="4" w:space="0" w:color="FFDC6B" w:themeColor="accent2" w:themeTint="99"/>
        <w:left w:val="single" w:sz="4" w:space="0" w:color="FFDC6B" w:themeColor="accent2" w:themeTint="99"/>
        <w:bottom w:val="single" w:sz="4" w:space="0" w:color="FFDC6B" w:themeColor="accent2" w:themeTint="99"/>
        <w:right w:val="single" w:sz="4" w:space="0" w:color="FFDC6B" w:themeColor="accent2" w:themeTint="99"/>
        <w:insideH w:val="single" w:sz="4" w:space="0" w:color="FFDC6B" w:themeColor="accent2" w:themeTint="99"/>
        <w:insideV w:val="single" w:sz="4" w:space="0" w:color="FFDC6B" w:themeColor="accent2" w:themeTint="99"/>
      </w:tblBorders>
    </w:tblPr>
    <w:tblStylePr w:type="firstRow">
      <w:rPr>
        <w:b/>
        <w:bCs/>
        <w:color w:val="FFFFFF" w:themeColor="background1"/>
      </w:rPr>
      <w:tblPr/>
      <w:tcPr>
        <w:tcBorders>
          <w:top w:val="single" w:sz="4" w:space="0" w:color="FFC709" w:themeColor="accent2"/>
          <w:left w:val="single" w:sz="4" w:space="0" w:color="FFC709" w:themeColor="accent2"/>
          <w:bottom w:val="single" w:sz="4" w:space="0" w:color="FFC709" w:themeColor="accent2"/>
          <w:right w:val="single" w:sz="4" w:space="0" w:color="FFC709" w:themeColor="accent2"/>
          <w:insideH w:val="nil"/>
          <w:insideV w:val="nil"/>
        </w:tcBorders>
        <w:shd w:val="clear" w:color="auto" w:fill="FFC709" w:themeFill="accent2"/>
      </w:tcPr>
    </w:tblStylePr>
    <w:tblStylePr w:type="lastRow">
      <w:rPr>
        <w:b/>
        <w:bCs/>
      </w:rPr>
      <w:tblPr/>
      <w:tcPr>
        <w:tcBorders>
          <w:top w:val="double" w:sz="4" w:space="0" w:color="FFC709" w:themeColor="accent2"/>
        </w:tcBorders>
      </w:tcPr>
    </w:tblStylePr>
    <w:tblStylePr w:type="firstCol">
      <w:rPr>
        <w:b/>
        <w:bCs/>
      </w:rPr>
    </w:tblStylePr>
    <w:tblStylePr w:type="lastCol">
      <w:rPr>
        <w:b/>
        <w:bCs/>
      </w:rPr>
    </w:tblStylePr>
    <w:tblStylePr w:type="band1Vert">
      <w:tblPr/>
      <w:tcPr>
        <w:shd w:val="clear" w:color="auto" w:fill="FFF3CD" w:themeFill="accent2" w:themeFillTint="33"/>
      </w:tcPr>
    </w:tblStylePr>
    <w:tblStylePr w:type="band1Horz">
      <w:tblPr/>
      <w:tcPr>
        <w:shd w:val="clear" w:color="auto" w:fill="FFF3CD" w:themeFill="accent2" w:themeFillTint="33"/>
      </w:tcPr>
    </w:tblStylePr>
  </w:style>
  <w:style w:type="table" w:customStyle="1" w:styleId="GridTable5Dark-Accent21">
    <w:name w:val="Grid Table 5 Dark - Accent 21"/>
    <w:basedOn w:val="TableNormal"/>
    <w:uiPriority w:val="50"/>
    <w:rsid w:val="00DB4F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3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70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70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70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709" w:themeFill="accent2"/>
      </w:tcPr>
    </w:tblStylePr>
    <w:tblStylePr w:type="band1Vert">
      <w:tblPr/>
      <w:tcPr>
        <w:shd w:val="clear" w:color="auto" w:fill="FFE89C" w:themeFill="accent2" w:themeFillTint="66"/>
      </w:tcPr>
    </w:tblStylePr>
    <w:tblStylePr w:type="band1Horz">
      <w:tblPr/>
      <w:tcPr>
        <w:shd w:val="clear" w:color="auto" w:fill="FFE89C" w:themeFill="accent2" w:themeFillTint="66"/>
      </w:tcPr>
    </w:tblStylePr>
  </w:style>
  <w:style w:type="numbering" w:customStyle="1" w:styleId="JASANZNumberedList">
    <w:name w:val="JASANZ Numbered List"/>
    <w:uiPriority w:val="99"/>
    <w:rsid w:val="008031B4"/>
  </w:style>
  <w:style w:type="paragraph" w:styleId="BalloonText">
    <w:name w:val="Balloon Text"/>
    <w:basedOn w:val="Normal"/>
    <w:link w:val="BalloonTextChar"/>
    <w:semiHidden/>
    <w:unhideWhenUsed/>
    <w:rsid w:val="0044142D"/>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44142D"/>
    <w:rPr>
      <w:rFonts w:ascii="Tahoma" w:hAnsi="Tahoma" w:cs="Tahoma"/>
      <w:sz w:val="16"/>
      <w:szCs w:val="16"/>
    </w:rPr>
  </w:style>
  <w:style w:type="table" w:customStyle="1" w:styleId="LXRAT11">
    <w:name w:val="LXRA T11"/>
    <w:basedOn w:val="TableNormal"/>
    <w:uiPriority w:val="49"/>
    <w:rsid w:val="00C33FCA"/>
    <w:pPr>
      <w:spacing w:after="0" w:line="240" w:lineRule="auto"/>
    </w:pPr>
    <w:rPr>
      <w:color w:val="000000" w:themeColor="text1"/>
    </w:rPr>
    <w:tblPr>
      <w:tblStyleRowBandSize w:val="1"/>
      <w:tblStyleColBandSize w:val="1"/>
      <w:tblBorders>
        <w:top w:val="single" w:sz="4" w:space="0" w:color="auto"/>
        <w:bottom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jc w:val="left"/>
      </w:pPr>
      <w:rPr>
        <w:rFonts w:ascii="Calibri" w:hAnsi="Calibri"/>
        <w:b/>
        <w:bCs/>
        <w:color w:val="auto"/>
        <w:sz w:val="19"/>
      </w:rPr>
      <w:tblPr/>
      <w:trPr>
        <w:tblHeader/>
      </w:trPr>
      <w:tcPr>
        <w:tcBorders>
          <w:top w:val="single" w:sz="4" w:space="0" w:color="auto"/>
          <w:left w:val="nil"/>
          <w:bottom w:val="single" w:sz="4" w:space="0" w:color="auto"/>
          <w:right w:val="nil"/>
          <w:insideH w:val="nil"/>
          <w:insideV w:val="single" w:sz="4" w:space="0" w:color="auto"/>
          <w:tl2br w:val="nil"/>
          <w:tr2bl w:val="nil"/>
        </w:tcBorders>
        <w:shd w:val="clear" w:color="auto" w:fill="FFC709"/>
      </w:tcPr>
    </w:tblStylePr>
    <w:tblStylePr w:type="lastRow">
      <w:rPr>
        <w:b/>
        <w:bCs/>
        <w:color w:val="auto"/>
      </w:rPr>
      <w:tblPr/>
      <w:tcPr>
        <w:tcBorders>
          <w:top w:val="single" w:sz="8" w:space="0" w:color="auto"/>
          <w:bottom w:val="single" w:sz="8" w:space="0" w:color="auto"/>
        </w:tcBorders>
        <w:shd w:val="clear" w:color="auto" w:fill="FFF3CD"/>
      </w:tcPr>
    </w:tblStylePr>
    <w:tblStylePr w:type="firstCol">
      <w:rPr>
        <w:b w:val="0"/>
        <w:bCs/>
      </w:rPr>
    </w:tblStylePr>
    <w:tblStylePr w:type="lastCol">
      <w:rPr>
        <w:b w:val="0"/>
        <w:bCs/>
      </w:rPr>
    </w:tblStylePr>
    <w:tblStylePr w:type="band1Vert">
      <w:tblPr/>
      <w:tcPr>
        <w:shd w:val="clear" w:color="auto" w:fill="F2F2F2"/>
      </w:tcPr>
    </w:tblStylePr>
    <w:tblStylePr w:type="band1Horz">
      <w:tblPr/>
      <w:tcPr>
        <w:shd w:val="clear" w:color="auto" w:fill="FFF3CD"/>
      </w:tcPr>
    </w:tblStylePr>
    <w:tblStylePr w:type="band2Horz">
      <w:tblPr/>
      <w:tcPr>
        <w:shd w:val="clear" w:color="auto" w:fill="FFFFFF"/>
      </w:tcPr>
    </w:tblStylePr>
  </w:style>
  <w:style w:type="table" w:customStyle="1" w:styleId="Table2">
    <w:name w:val="Table 2"/>
    <w:basedOn w:val="TableNormal"/>
    <w:uiPriority w:val="99"/>
    <w:rsid w:val="003443B9"/>
    <w:pPr>
      <w:spacing w:before="90" w:after="40" w:line="288" w:lineRule="auto"/>
    </w:pPr>
    <w:rPr>
      <w:rFonts w:eastAsia="Times New Roman" w:cs="Times New Roman"/>
      <w:sz w:val="20"/>
      <w:szCs w:val="20"/>
      <w:lang w:eastAsia="en-AU"/>
    </w:rPr>
    <w:tblPr>
      <w:tblStyleColBandSize w:val="1"/>
      <w:tblBorders>
        <w:top w:val="dotted" w:sz="4" w:space="0" w:color="000000" w:themeColor="text1"/>
        <w:bottom w:val="dotted" w:sz="4" w:space="0" w:color="000000" w:themeColor="text1"/>
        <w:insideH w:val="dotted" w:sz="4" w:space="0" w:color="000000" w:themeColor="text1"/>
        <w:insideV w:val="dotted" w:sz="4" w:space="0" w:color="000000" w:themeColor="text1"/>
      </w:tblBorders>
      <w:tblCellMar>
        <w:left w:w="45" w:type="dxa"/>
        <w:right w:w="45" w:type="dxa"/>
      </w:tblCellMar>
    </w:tblPr>
    <w:tblStylePr w:type="firstRow">
      <w:rPr>
        <w:rFonts w:asciiTheme="majorHAnsi" w:hAnsiTheme="majorHAnsi"/>
        <w:caps/>
        <w:smallCaps w:val="0"/>
      </w:rPr>
      <w:tblPr/>
      <w:tcPr>
        <w:tcBorders>
          <w:top w:val="single" w:sz="4" w:space="0" w:color="000000" w:themeColor="text1"/>
          <w:left w:val="nil"/>
          <w:bottom w:val="single" w:sz="4" w:space="0" w:color="000000" w:themeColor="text1"/>
          <w:right w:val="nil"/>
          <w:insideH w:val="dotted" w:sz="4" w:space="0" w:color="000000" w:themeColor="text1"/>
          <w:insideV w:val="dotted" w:sz="4" w:space="0" w:color="000000" w:themeColor="text1"/>
          <w:tl2br w:val="nil"/>
          <w:tr2bl w:val="nil"/>
        </w:tcBorders>
        <w:shd w:val="clear" w:color="auto" w:fill="FFFFFF"/>
      </w:tcPr>
    </w:tblStylePr>
    <w:tblStylePr w:type="firstCol">
      <w:tblPr/>
      <w:tcPr>
        <w:shd w:val="clear" w:color="auto" w:fill="EEB600" w:themeFill="accent2" w:themeFillShade="E6"/>
      </w:tcPr>
    </w:tblStylePr>
    <w:tblStylePr w:type="band2Vert">
      <w:tblPr/>
      <w:tcPr>
        <w:shd w:val="clear" w:color="auto" w:fill="FCE4E9" w:themeFill="accent3" w:themeFillTint="1A"/>
      </w:tcPr>
    </w:tblStylePr>
  </w:style>
  <w:style w:type="paragraph" w:styleId="Caption">
    <w:name w:val="caption"/>
    <w:basedOn w:val="Normal"/>
    <w:next w:val="BodyText"/>
    <w:rsid w:val="00E137E5"/>
    <w:pPr>
      <w:keepNext/>
      <w:keepLines/>
      <w:tabs>
        <w:tab w:val="left" w:pos="1418"/>
      </w:tabs>
      <w:ind w:left="1418" w:hanging="1418"/>
    </w:pPr>
    <w:rPr>
      <w:b/>
      <w:bCs/>
      <w:sz w:val="18"/>
      <w:szCs w:val="20"/>
      <w:lang w:eastAsia="fr-CA"/>
    </w:rPr>
  </w:style>
  <w:style w:type="paragraph" w:customStyle="1" w:styleId="Heading1NoNumber">
    <w:name w:val="Heading 1 No Number"/>
    <w:basedOn w:val="Heading1"/>
    <w:next w:val="BodyText"/>
    <w:qFormat/>
    <w:rsid w:val="00E03232"/>
    <w:pPr>
      <w:numPr>
        <w:numId w:val="0"/>
      </w:numPr>
      <w:spacing w:after="240"/>
    </w:pPr>
    <w:rPr>
      <w:kern w:val="0"/>
      <w:sz w:val="48"/>
    </w:rPr>
  </w:style>
  <w:style w:type="paragraph" w:customStyle="1" w:styleId="Image">
    <w:name w:val="Image"/>
    <w:basedOn w:val="Normal"/>
    <w:next w:val="BodyText"/>
    <w:rsid w:val="004C6C22"/>
    <w:pPr>
      <w:keepNext/>
      <w:spacing w:before="240" w:after="0" w:line="288" w:lineRule="auto"/>
    </w:pPr>
    <w:rPr>
      <w:rFonts w:eastAsia="Times New Roman" w:cs="Times New Roman"/>
      <w:szCs w:val="20"/>
    </w:rPr>
  </w:style>
  <w:style w:type="paragraph" w:customStyle="1" w:styleId="Source">
    <w:name w:val="Source"/>
    <w:basedOn w:val="Normal"/>
    <w:next w:val="BodyText"/>
    <w:rsid w:val="00E137E5"/>
    <w:pPr>
      <w:tabs>
        <w:tab w:val="left" w:pos="851"/>
      </w:tabs>
      <w:spacing w:before="60" w:after="60" w:line="240" w:lineRule="auto"/>
      <w:ind w:left="851" w:hanging="851"/>
    </w:pPr>
    <w:rPr>
      <w:rFonts w:eastAsia="Times New Roman" w:cs="Arial"/>
      <w:i/>
      <w:sz w:val="18"/>
      <w:szCs w:val="20"/>
      <w:lang w:eastAsia="fr-CA"/>
    </w:rPr>
  </w:style>
  <w:style w:type="paragraph" w:customStyle="1" w:styleId="TableText">
    <w:name w:val="Table Text"/>
    <w:aliases w:val="xtt"/>
    <w:basedOn w:val="Normal"/>
    <w:link w:val="TableTextChar"/>
    <w:uiPriority w:val="8"/>
    <w:qFormat/>
    <w:rsid w:val="00E137E5"/>
    <w:pPr>
      <w:spacing w:before="80" w:after="80" w:line="240" w:lineRule="auto"/>
    </w:pPr>
    <w:rPr>
      <w:rFonts w:eastAsia="Times New Roman" w:cs="Arial"/>
      <w:color w:val="000000" w:themeColor="text1"/>
      <w:sz w:val="18"/>
    </w:rPr>
  </w:style>
  <w:style w:type="paragraph" w:customStyle="1" w:styleId="TableBullet1">
    <w:name w:val="Table Bullet 1"/>
    <w:basedOn w:val="ListBullet"/>
    <w:qFormat/>
    <w:rsid w:val="00E137E5"/>
    <w:pPr>
      <w:spacing w:before="80" w:after="80" w:line="240" w:lineRule="auto"/>
    </w:pPr>
    <w:rPr>
      <w:bCs/>
      <w:sz w:val="18"/>
      <w:lang w:eastAsia="fr-CA"/>
    </w:rPr>
  </w:style>
  <w:style w:type="paragraph" w:customStyle="1" w:styleId="TableBullet2">
    <w:name w:val="Table Bullet 2"/>
    <w:basedOn w:val="ListBullet2"/>
    <w:rsid w:val="00E137E5"/>
    <w:pPr>
      <w:spacing w:before="80" w:after="80" w:line="240" w:lineRule="auto"/>
    </w:pPr>
    <w:rPr>
      <w:bCs/>
      <w:color w:val="000000" w:themeColor="text1"/>
      <w:sz w:val="18"/>
    </w:rPr>
  </w:style>
  <w:style w:type="paragraph" w:customStyle="1" w:styleId="TableBullet3">
    <w:name w:val="Table Bullet 3"/>
    <w:basedOn w:val="ListBullet3"/>
    <w:rsid w:val="00E137E5"/>
    <w:pPr>
      <w:spacing w:before="80" w:after="80" w:line="240" w:lineRule="auto"/>
    </w:pPr>
    <w:rPr>
      <w:bCs/>
      <w:color w:val="000000" w:themeColor="text1"/>
      <w:sz w:val="18"/>
    </w:rPr>
  </w:style>
  <w:style w:type="paragraph" w:customStyle="1" w:styleId="TableHeading">
    <w:name w:val="Table Heading"/>
    <w:basedOn w:val="Normal"/>
    <w:uiPriority w:val="2"/>
    <w:rsid w:val="00E137E5"/>
    <w:pPr>
      <w:suppressAutoHyphens/>
      <w:spacing w:before="80" w:after="80" w:line="240" w:lineRule="auto"/>
    </w:pPr>
    <w:rPr>
      <w:rFonts w:eastAsia="Times New Roman" w:cs="Arial"/>
      <w:b/>
      <w:bCs/>
      <w:sz w:val="18"/>
      <w:szCs w:val="20"/>
    </w:rPr>
  </w:style>
  <w:style w:type="table" w:styleId="TableList1">
    <w:name w:val="Table List 1"/>
    <w:basedOn w:val="TableNormal"/>
    <w:semiHidden/>
    <w:unhideWhenUsed/>
    <w:rsid w:val="004C6C22"/>
    <w:pPr>
      <w:spacing w:after="0" w:line="288" w:lineRule="auto"/>
    </w:pPr>
    <w:rPr>
      <w:rFonts w:eastAsia="Times New Roman" w:cs="Times New Roman"/>
      <w:sz w:val="20"/>
      <w:szCs w:val="20"/>
      <w:lang w:val="fr-C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4C6C22"/>
    <w:pPr>
      <w:spacing w:after="0" w:line="288" w:lineRule="auto"/>
    </w:pPr>
    <w:rPr>
      <w:rFonts w:eastAsia="Times New Roman" w:cs="Times New Roman"/>
      <w:sz w:val="20"/>
      <w:szCs w:val="20"/>
      <w:lang w:val="fr-C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4C6C22"/>
    <w:pPr>
      <w:spacing w:after="0" w:line="288" w:lineRule="auto"/>
    </w:pPr>
    <w:rPr>
      <w:rFonts w:eastAsia="Times New Roman" w:cs="Times New Roman"/>
      <w:sz w:val="20"/>
      <w:szCs w:val="20"/>
      <w:lang w:val="fr-C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OAHeading">
    <w:name w:val="toa heading"/>
    <w:basedOn w:val="Normal"/>
    <w:next w:val="Normal"/>
    <w:unhideWhenUsed/>
    <w:rsid w:val="0006151E"/>
    <w:rPr>
      <w:rFonts w:eastAsiaTheme="majorEastAsia" w:cstheme="majorBidi"/>
      <w:bCs/>
      <w:color w:val="004F9E"/>
      <w:sz w:val="36"/>
      <w:szCs w:val="24"/>
    </w:rPr>
  </w:style>
  <w:style w:type="table" w:customStyle="1" w:styleId="Table3">
    <w:name w:val="Table 3"/>
    <w:basedOn w:val="TableNormal"/>
    <w:uiPriority w:val="99"/>
    <w:rsid w:val="003443B9"/>
    <w:pPr>
      <w:spacing w:before="90" w:after="40" w:line="288" w:lineRule="auto"/>
    </w:pPr>
    <w:rPr>
      <w:rFonts w:eastAsia="Times New Roman" w:cs="Times New Roman"/>
      <w:sz w:val="20"/>
      <w:szCs w:val="20"/>
      <w:lang w:eastAsia="en-AU"/>
    </w:rPr>
    <w:tblPr>
      <w:tblStyleColBandSize w:val="1"/>
      <w:tblBorders>
        <w:top w:val="single" w:sz="2" w:space="0" w:color="1C2B39" w:themeColor="text2"/>
        <w:left w:val="single" w:sz="2" w:space="0" w:color="1C2B39" w:themeColor="text2"/>
        <w:bottom w:val="single" w:sz="2" w:space="0" w:color="1C2B39" w:themeColor="text2"/>
        <w:right w:val="single" w:sz="2" w:space="0" w:color="1C2B39" w:themeColor="text2"/>
        <w:insideH w:val="single" w:sz="2" w:space="0" w:color="1C2B39" w:themeColor="text2"/>
        <w:insideV w:val="single" w:sz="2" w:space="0" w:color="1C2B39" w:themeColor="text2"/>
      </w:tblBorders>
      <w:tblCellMar>
        <w:left w:w="45" w:type="dxa"/>
        <w:right w:w="45" w:type="dxa"/>
      </w:tblCellMar>
    </w:tblPr>
    <w:tblStylePr w:type="firstRow">
      <w:rPr>
        <w:rFonts w:asciiTheme="majorHAnsi" w:hAnsiTheme="majorHAnsi"/>
        <w:caps/>
        <w:smallCaps w:val="0"/>
      </w:rPr>
      <w:tblPr/>
      <w:tcPr>
        <w:tcBorders>
          <w:top w:val="single" w:sz="2" w:space="0" w:color="692686" w:themeColor="accent4"/>
          <w:left w:val="single" w:sz="2" w:space="0" w:color="692686" w:themeColor="accent4"/>
          <w:bottom w:val="single" w:sz="2" w:space="0" w:color="692686" w:themeColor="accent4"/>
          <w:right w:val="single" w:sz="2" w:space="0" w:color="692686" w:themeColor="accent4"/>
          <w:insideH w:val="single" w:sz="2" w:space="0" w:color="692686" w:themeColor="accent4"/>
          <w:insideV w:val="single" w:sz="2" w:space="0" w:color="692686" w:themeColor="accent4"/>
          <w:tl2br w:val="nil"/>
          <w:tr2bl w:val="nil"/>
        </w:tcBorders>
        <w:shd w:val="clear" w:color="auto" w:fill="E4CAF0" w:themeFill="accent4" w:themeFillTint="33"/>
      </w:tcPr>
    </w:tblStylePr>
    <w:tblStylePr w:type="firstCol">
      <w:tblPr/>
      <w:tcPr>
        <w:shd w:val="clear" w:color="auto" w:fill="EEB600" w:themeFill="accent2" w:themeFillShade="E6"/>
      </w:tcPr>
    </w:tblStylePr>
    <w:tblStylePr w:type="band2Vert">
      <w:tblPr/>
      <w:tcPr>
        <w:shd w:val="clear" w:color="auto" w:fill="FCE4E9" w:themeFill="accent3" w:themeFillTint="1A"/>
      </w:tcPr>
    </w:tblStylePr>
  </w:style>
  <w:style w:type="paragraph" w:customStyle="1" w:styleId="Notes">
    <w:name w:val="Notes"/>
    <w:basedOn w:val="BodyText"/>
    <w:qFormat/>
    <w:rsid w:val="00E137E5"/>
    <w:pPr>
      <w:tabs>
        <w:tab w:val="left" w:pos="2268"/>
        <w:tab w:val="left" w:pos="4536"/>
        <w:tab w:val="left" w:pos="6804"/>
        <w:tab w:val="right" w:pos="9638"/>
      </w:tabs>
      <w:spacing w:before="60" w:after="60" w:line="240" w:lineRule="auto"/>
    </w:pPr>
    <w:rPr>
      <w:rFonts w:eastAsia="Times New Roman" w:cs="Arial"/>
      <w:sz w:val="18"/>
      <w:szCs w:val="20"/>
      <w:lang w:eastAsia="en-AU"/>
    </w:rPr>
  </w:style>
  <w:style w:type="paragraph" w:customStyle="1" w:styleId="Footnotes">
    <w:name w:val="Footnotes"/>
    <w:basedOn w:val="Normal"/>
    <w:rsid w:val="00E137E5"/>
    <w:pPr>
      <w:numPr>
        <w:ilvl w:val="1"/>
        <w:numId w:val="9"/>
      </w:numPr>
      <w:spacing w:before="60" w:after="60" w:line="240" w:lineRule="auto"/>
    </w:pPr>
    <w:rPr>
      <w:rFonts w:eastAsia="Times New Roman" w:cs="Arial"/>
      <w:sz w:val="18"/>
      <w:szCs w:val="20"/>
      <w:lang w:eastAsia="en-AU"/>
    </w:rPr>
  </w:style>
  <w:style w:type="paragraph" w:customStyle="1" w:styleId="TableHeadingAllCaps">
    <w:name w:val="Table Heading All Caps"/>
    <w:basedOn w:val="TableHeading"/>
    <w:qFormat/>
    <w:rsid w:val="003443B9"/>
    <w:rPr>
      <w:caps/>
      <w:lang w:eastAsia="en-AU"/>
    </w:rPr>
  </w:style>
  <w:style w:type="paragraph" w:styleId="TableofFigures">
    <w:name w:val="table of figures"/>
    <w:basedOn w:val="TOC3"/>
    <w:next w:val="Normal"/>
    <w:uiPriority w:val="99"/>
    <w:rsid w:val="00B76487"/>
    <w:pPr>
      <w:tabs>
        <w:tab w:val="clear" w:pos="851"/>
        <w:tab w:val="left" w:pos="1134"/>
      </w:tabs>
      <w:ind w:left="1134" w:hanging="1134"/>
    </w:pPr>
  </w:style>
  <w:style w:type="paragraph" w:customStyle="1" w:styleId="TableListNumber">
    <w:name w:val="Table List Number"/>
    <w:basedOn w:val="ListNumber"/>
    <w:qFormat/>
    <w:rsid w:val="00E137E5"/>
    <w:pPr>
      <w:spacing w:before="80" w:after="80" w:line="240" w:lineRule="auto"/>
    </w:pPr>
    <w:rPr>
      <w:bCs/>
      <w:color w:val="000000" w:themeColor="text1"/>
      <w:sz w:val="18"/>
    </w:rPr>
  </w:style>
  <w:style w:type="paragraph" w:customStyle="1" w:styleId="TableListNumber2">
    <w:name w:val="Table List Number 2"/>
    <w:basedOn w:val="ListNumber2"/>
    <w:qFormat/>
    <w:rsid w:val="00E137E5"/>
    <w:pPr>
      <w:spacing w:before="80" w:after="80" w:line="240" w:lineRule="auto"/>
    </w:pPr>
    <w:rPr>
      <w:bCs/>
      <w:color w:val="000000" w:themeColor="text1"/>
      <w:sz w:val="18"/>
    </w:rPr>
  </w:style>
  <w:style w:type="paragraph" w:customStyle="1" w:styleId="TableListNumber3">
    <w:name w:val="Table List Number 3"/>
    <w:basedOn w:val="ListNumber3"/>
    <w:qFormat/>
    <w:rsid w:val="00E137E5"/>
    <w:pPr>
      <w:spacing w:before="80" w:after="80" w:line="240" w:lineRule="auto"/>
    </w:pPr>
    <w:rPr>
      <w:bCs/>
      <w:color w:val="000000" w:themeColor="text1"/>
      <w:sz w:val="18"/>
    </w:rPr>
  </w:style>
  <w:style w:type="character" w:styleId="CommentReference">
    <w:name w:val="annotation reference"/>
    <w:basedOn w:val="DefaultParagraphFont"/>
    <w:uiPriority w:val="39"/>
    <w:semiHidden/>
    <w:unhideWhenUsed/>
    <w:rsid w:val="00D03A49"/>
    <w:rPr>
      <w:sz w:val="16"/>
      <w:szCs w:val="16"/>
    </w:rPr>
  </w:style>
  <w:style w:type="paragraph" w:styleId="CommentText">
    <w:name w:val="annotation text"/>
    <w:basedOn w:val="Normal"/>
    <w:link w:val="CommentTextChar"/>
    <w:uiPriority w:val="39"/>
    <w:unhideWhenUsed/>
    <w:rsid w:val="00D03A49"/>
    <w:rPr>
      <w:szCs w:val="20"/>
    </w:rPr>
  </w:style>
  <w:style w:type="character" w:customStyle="1" w:styleId="CommentTextChar">
    <w:name w:val="Comment Text Char"/>
    <w:basedOn w:val="DefaultParagraphFont"/>
    <w:link w:val="CommentText"/>
    <w:uiPriority w:val="39"/>
    <w:rsid w:val="00D03A49"/>
    <w:rPr>
      <w:sz w:val="20"/>
      <w:szCs w:val="20"/>
    </w:rPr>
  </w:style>
  <w:style w:type="paragraph" w:styleId="CommentSubject">
    <w:name w:val="annotation subject"/>
    <w:basedOn w:val="CommentText"/>
    <w:next w:val="CommentText"/>
    <w:link w:val="CommentSubjectChar"/>
    <w:uiPriority w:val="39"/>
    <w:semiHidden/>
    <w:unhideWhenUsed/>
    <w:rsid w:val="00D03A49"/>
    <w:rPr>
      <w:b/>
      <w:bCs/>
    </w:rPr>
  </w:style>
  <w:style w:type="character" w:customStyle="1" w:styleId="CommentSubjectChar">
    <w:name w:val="Comment Subject Char"/>
    <w:basedOn w:val="CommentTextChar"/>
    <w:link w:val="CommentSubject"/>
    <w:uiPriority w:val="39"/>
    <w:semiHidden/>
    <w:rsid w:val="00D03A49"/>
    <w:rPr>
      <w:b/>
      <w:bCs/>
      <w:sz w:val="20"/>
      <w:szCs w:val="20"/>
    </w:rPr>
  </w:style>
  <w:style w:type="paragraph" w:styleId="Revision">
    <w:name w:val="Revision"/>
    <w:hidden/>
    <w:uiPriority w:val="99"/>
    <w:semiHidden/>
    <w:rsid w:val="007940EC"/>
    <w:pPr>
      <w:spacing w:after="0" w:line="240" w:lineRule="auto"/>
    </w:pPr>
    <w:rPr>
      <w:sz w:val="19"/>
    </w:rPr>
  </w:style>
  <w:style w:type="paragraph" w:styleId="Bibliography">
    <w:name w:val="Bibliography"/>
    <w:basedOn w:val="Normal"/>
    <w:next w:val="Normal"/>
    <w:semiHidden/>
    <w:unhideWhenUsed/>
    <w:rsid w:val="0072670F"/>
  </w:style>
  <w:style w:type="paragraph" w:styleId="BlockText">
    <w:name w:val="Block Text"/>
    <w:basedOn w:val="Normal"/>
    <w:semiHidden/>
    <w:unhideWhenUsed/>
    <w:rsid w:val="0072670F"/>
    <w:pPr>
      <w:pBdr>
        <w:top w:val="single" w:sz="2" w:space="10" w:color="D7D8D6" w:themeColor="accent1"/>
        <w:left w:val="single" w:sz="2" w:space="10" w:color="D7D8D6" w:themeColor="accent1"/>
        <w:bottom w:val="single" w:sz="2" w:space="10" w:color="D7D8D6" w:themeColor="accent1"/>
        <w:right w:val="single" w:sz="2" w:space="10" w:color="D7D8D6" w:themeColor="accent1"/>
      </w:pBdr>
      <w:ind w:left="1152" w:right="1152"/>
    </w:pPr>
    <w:rPr>
      <w:rFonts w:eastAsiaTheme="minorEastAsia"/>
      <w:i/>
      <w:iCs/>
      <w:color w:val="D7D8D6" w:themeColor="accent1"/>
    </w:rPr>
  </w:style>
  <w:style w:type="paragraph" w:styleId="BodyTextIndent">
    <w:name w:val="Body Text Indent"/>
    <w:basedOn w:val="Normal"/>
    <w:link w:val="BodyTextIndentChar"/>
    <w:semiHidden/>
    <w:unhideWhenUsed/>
    <w:rsid w:val="0072670F"/>
    <w:pPr>
      <w:ind w:left="283"/>
    </w:pPr>
  </w:style>
  <w:style w:type="character" w:customStyle="1" w:styleId="BodyTextIndentChar">
    <w:name w:val="Body Text Indent Char"/>
    <w:basedOn w:val="DefaultParagraphFont"/>
    <w:link w:val="BodyTextIndent"/>
    <w:semiHidden/>
    <w:rsid w:val="0072670F"/>
    <w:rPr>
      <w:sz w:val="19"/>
    </w:rPr>
  </w:style>
  <w:style w:type="paragraph" w:styleId="BodyTextFirstIndent2">
    <w:name w:val="Body Text First Indent 2"/>
    <w:basedOn w:val="BodyTextIndent"/>
    <w:link w:val="BodyTextFirstIndent2Char"/>
    <w:semiHidden/>
    <w:unhideWhenUsed/>
    <w:rsid w:val="0072670F"/>
    <w:pPr>
      <w:spacing w:after="200"/>
      <w:ind w:left="360" w:firstLine="360"/>
    </w:pPr>
  </w:style>
  <w:style w:type="character" w:customStyle="1" w:styleId="BodyTextFirstIndent2Char">
    <w:name w:val="Body Text First Indent 2 Char"/>
    <w:basedOn w:val="BodyTextIndentChar"/>
    <w:link w:val="BodyTextFirstIndent2"/>
    <w:semiHidden/>
    <w:rsid w:val="0072670F"/>
    <w:rPr>
      <w:sz w:val="19"/>
    </w:rPr>
  </w:style>
  <w:style w:type="paragraph" w:styleId="BodyTextIndent2">
    <w:name w:val="Body Text Indent 2"/>
    <w:basedOn w:val="Normal"/>
    <w:link w:val="BodyTextIndent2Char"/>
    <w:semiHidden/>
    <w:unhideWhenUsed/>
    <w:rsid w:val="0072670F"/>
    <w:pPr>
      <w:spacing w:line="480" w:lineRule="auto"/>
      <w:ind w:left="283"/>
    </w:pPr>
  </w:style>
  <w:style w:type="character" w:customStyle="1" w:styleId="BodyTextIndent2Char">
    <w:name w:val="Body Text Indent 2 Char"/>
    <w:basedOn w:val="DefaultParagraphFont"/>
    <w:link w:val="BodyTextIndent2"/>
    <w:semiHidden/>
    <w:rsid w:val="0072670F"/>
    <w:rPr>
      <w:sz w:val="19"/>
    </w:rPr>
  </w:style>
  <w:style w:type="paragraph" w:styleId="BodyTextIndent3">
    <w:name w:val="Body Text Indent 3"/>
    <w:basedOn w:val="Normal"/>
    <w:link w:val="BodyTextIndent3Char"/>
    <w:semiHidden/>
    <w:unhideWhenUsed/>
    <w:rsid w:val="0072670F"/>
    <w:pPr>
      <w:ind w:left="283"/>
    </w:pPr>
    <w:rPr>
      <w:sz w:val="16"/>
      <w:szCs w:val="16"/>
    </w:rPr>
  </w:style>
  <w:style w:type="character" w:customStyle="1" w:styleId="BodyTextIndent3Char">
    <w:name w:val="Body Text Indent 3 Char"/>
    <w:basedOn w:val="DefaultParagraphFont"/>
    <w:link w:val="BodyTextIndent3"/>
    <w:semiHidden/>
    <w:rsid w:val="0072670F"/>
    <w:rPr>
      <w:sz w:val="16"/>
      <w:szCs w:val="16"/>
    </w:rPr>
  </w:style>
  <w:style w:type="paragraph" w:styleId="Closing">
    <w:name w:val="Closing"/>
    <w:basedOn w:val="Normal"/>
    <w:link w:val="ClosingChar"/>
    <w:semiHidden/>
    <w:unhideWhenUsed/>
    <w:rsid w:val="0072670F"/>
    <w:pPr>
      <w:spacing w:after="0"/>
      <w:ind w:left="4252"/>
    </w:pPr>
  </w:style>
  <w:style w:type="character" w:customStyle="1" w:styleId="ClosingChar">
    <w:name w:val="Closing Char"/>
    <w:basedOn w:val="DefaultParagraphFont"/>
    <w:link w:val="Closing"/>
    <w:semiHidden/>
    <w:rsid w:val="0072670F"/>
    <w:rPr>
      <w:sz w:val="19"/>
    </w:rPr>
  </w:style>
  <w:style w:type="paragraph" w:styleId="Date">
    <w:name w:val="Date"/>
    <w:basedOn w:val="Normal"/>
    <w:next w:val="Normal"/>
    <w:link w:val="DateChar"/>
    <w:unhideWhenUsed/>
    <w:rsid w:val="0072670F"/>
  </w:style>
  <w:style w:type="character" w:customStyle="1" w:styleId="DateChar">
    <w:name w:val="Date Char"/>
    <w:basedOn w:val="DefaultParagraphFont"/>
    <w:link w:val="Date"/>
    <w:rsid w:val="0072670F"/>
    <w:rPr>
      <w:sz w:val="19"/>
    </w:rPr>
  </w:style>
  <w:style w:type="paragraph" w:styleId="E-mailSignature">
    <w:name w:val="E-mail Signature"/>
    <w:basedOn w:val="Normal"/>
    <w:link w:val="E-mailSignatureChar"/>
    <w:semiHidden/>
    <w:unhideWhenUsed/>
    <w:rsid w:val="0072670F"/>
    <w:pPr>
      <w:spacing w:after="0"/>
    </w:pPr>
  </w:style>
  <w:style w:type="character" w:customStyle="1" w:styleId="E-mailSignatureChar">
    <w:name w:val="E-mail Signature Char"/>
    <w:basedOn w:val="DefaultParagraphFont"/>
    <w:link w:val="E-mailSignature"/>
    <w:semiHidden/>
    <w:rsid w:val="0072670F"/>
    <w:rPr>
      <w:sz w:val="19"/>
    </w:rPr>
  </w:style>
  <w:style w:type="paragraph" w:styleId="EndnoteText">
    <w:name w:val="endnote text"/>
    <w:basedOn w:val="Normal"/>
    <w:link w:val="EndnoteTextChar"/>
    <w:semiHidden/>
    <w:unhideWhenUsed/>
    <w:rsid w:val="0072670F"/>
    <w:pPr>
      <w:spacing w:after="0"/>
    </w:pPr>
    <w:rPr>
      <w:szCs w:val="20"/>
    </w:rPr>
  </w:style>
  <w:style w:type="character" w:customStyle="1" w:styleId="EndnoteTextChar">
    <w:name w:val="Endnote Text Char"/>
    <w:basedOn w:val="DefaultParagraphFont"/>
    <w:link w:val="EndnoteText"/>
    <w:semiHidden/>
    <w:rsid w:val="0072670F"/>
    <w:rPr>
      <w:sz w:val="20"/>
      <w:szCs w:val="20"/>
    </w:rPr>
  </w:style>
  <w:style w:type="paragraph" w:styleId="EnvelopeAddress">
    <w:name w:val="envelope address"/>
    <w:basedOn w:val="Normal"/>
    <w:semiHidden/>
    <w:unhideWhenUsed/>
    <w:rsid w:val="0072670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72670F"/>
    <w:pPr>
      <w:spacing w:after="0"/>
    </w:pPr>
    <w:rPr>
      <w:rFonts w:asciiTheme="majorHAnsi" w:eastAsiaTheme="majorEastAsia" w:hAnsiTheme="majorHAnsi" w:cstheme="majorBidi"/>
      <w:szCs w:val="20"/>
    </w:rPr>
  </w:style>
  <w:style w:type="paragraph" w:styleId="FootnoteText">
    <w:name w:val="footnote text"/>
    <w:basedOn w:val="Normal"/>
    <w:link w:val="FootnoteTextChar"/>
    <w:unhideWhenUsed/>
    <w:rsid w:val="0072670F"/>
    <w:pPr>
      <w:spacing w:after="0"/>
    </w:pPr>
    <w:rPr>
      <w:szCs w:val="20"/>
    </w:rPr>
  </w:style>
  <w:style w:type="character" w:customStyle="1" w:styleId="FootnoteTextChar">
    <w:name w:val="Footnote Text Char"/>
    <w:basedOn w:val="DefaultParagraphFont"/>
    <w:link w:val="FootnoteText"/>
    <w:rsid w:val="0072670F"/>
    <w:rPr>
      <w:sz w:val="20"/>
      <w:szCs w:val="20"/>
    </w:rPr>
  </w:style>
  <w:style w:type="character" w:customStyle="1" w:styleId="Heading7Char">
    <w:name w:val="Heading 7 Char"/>
    <w:basedOn w:val="DefaultParagraphFont"/>
    <w:link w:val="Heading7"/>
    <w:rsid w:val="0072670F"/>
    <w:rPr>
      <w:rFonts w:asciiTheme="majorHAnsi" w:eastAsiaTheme="majorEastAsia" w:hAnsiTheme="majorHAnsi" w:cstheme="majorBidi"/>
      <w:i/>
      <w:iCs/>
      <w:color w:val="6A6D68" w:themeColor="accent1" w:themeShade="7F"/>
      <w:sz w:val="19"/>
    </w:rPr>
  </w:style>
  <w:style w:type="character" w:customStyle="1" w:styleId="Heading8Char">
    <w:name w:val="Heading 8 Char"/>
    <w:aliases w:val="Appendix Title Char"/>
    <w:basedOn w:val="DefaultParagraphFont"/>
    <w:link w:val="Heading8"/>
    <w:rsid w:val="0072670F"/>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Heading 1 Char"/>
    <w:basedOn w:val="DefaultParagraphFont"/>
    <w:link w:val="Heading9"/>
    <w:rsid w:val="0072670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semiHidden/>
    <w:unhideWhenUsed/>
    <w:rsid w:val="0072670F"/>
    <w:pPr>
      <w:spacing w:after="0"/>
    </w:pPr>
    <w:rPr>
      <w:i/>
      <w:iCs/>
    </w:rPr>
  </w:style>
  <w:style w:type="character" w:customStyle="1" w:styleId="HTMLAddressChar">
    <w:name w:val="HTML Address Char"/>
    <w:basedOn w:val="DefaultParagraphFont"/>
    <w:link w:val="HTMLAddress"/>
    <w:semiHidden/>
    <w:rsid w:val="0072670F"/>
    <w:rPr>
      <w:i/>
      <w:iCs/>
      <w:sz w:val="19"/>
    </w:rPr>
  </w:style>
  <w:style w:type="paragraph" w:styleId="HTMLPreformatted">
    <w:name w:val="HTML Preformatted"/>
    <w:basedOn w:val="Normal"/>
    <w:link w:val="HTMLPreformattedChar"/>
    <w:semiHidden/>
    <w:unhideWhenUsed/>
    <w:rsid w:val="0072670F"/>
    <w:pPr>
      <w:spacing w:after="0"/>
    </w:pPr>
    <w:rPr>
      <w:rFonts w:ascii="Consolas" w:hAnsi="Consolas" w:cs="Consolas"/>
      <w:szCs w:val="20"/>
    </w:rPr>
  </w:style>
  <w:style w:type="character" w:customStyle="1" w:styleId="HTMLPreformattedChar">
    <w:name w:val="HTML Preformatted Char"/>
    <w:basedOn w:val="DefaultParagraphFont"/>
    <w:link w:val="HTMLPreformatted"/>
    <w:semiHidden/>
    <w:rsid w:val="0072670F"/>
    <w:rPr>
      <w:rFonts w:ascii="Consolas" w:hAnsi="Consolas" w:cs="Consolas"/>
      <w:sz w:val="20"/>
      <w:szCs w:val="20"/>
    </w:rPr>
  </w:style>
  <w:style w:type="paragraph" w:styleId="Index1">
    <w:name w:val="index 1"/>
    <w:basedOn w:val="Normal"/>
    <w:next w:val="Normal"/>
    <w:autoRedefine/>
    <w:semiHidden/>
    <w:unhideWhenUsed/>
    <w:rsid w:val="0072670F"/>
    <w:pPr>
      <w:spacing w:after="0"/>
      <w:ind w:left="190" w:hanging="190"/>
    </w:pPr>
  </w:style>
  <w:style w:type="paragraph" w:styleId="Index2">
    <w:name w:val="index 2"/>
    <w:basedOn w:val="Normal"/>
    <w:next w:val="Normal"/>
    <w:autoRedefine/>
    <w:semiHidden/>
    <w:unhideWhenUsed/>
    <w:rsid w:val="0072670F"/>
    <w:pPr>
      <w:spacing w:after="0"/>
      <w:ind w:left="380" w:hanging="190"/>
    </w:pPr>
  </w:style>
  <w:style w:type="paragraph" w:styleId="Index3">
    <w:name w:val="index 3"/>
    <w:basedOn w:val="Normal"/>
    <w:next w:val="Normal"/>
    <w:autoRedefine/>
    <w:semiHidden/>
    <w:unhideWhenUsed/>
    <w:rsid w:val="0072670F"/>
    <w:pPr>
      <w:spacing w:after="0"/>
      <w:ind w:left="570" w:hanging="190"/>
    </w:pPr>
  </w:style>
  <w:style w:type="paragraph" w:styleId="Index4">
    <w:name w:val="index 4"/>
    <w:basedOn w:val="Normal"/>
    <w:next w:val="Normal"/>
    <w:autoRedefine/>
    <w:semiHidden/>
    <w:unhideWhenUsed/>
    <w:rsid w:val="0072670F"/>
    <w:pPr>
      <w:spacing w:after="0"/>
      <w:ind w:left="760" w:hanging="190"/>
    </w:pPr>
  </w:style>
  <w:style w:type="paragraph" w:styleId="Index5">
    <w:name w:val="index 5"/>
    <w:basedOn w:val="Normal"/>
    <w:next w:val="Normal"/>
    <w:autoRedefine/>
    <w:semiHidden/>
    <w:unhideWhenUsed/>
    <w:rsid w:val="0072670F"/>
    <w:pPr>
      <w:spacing w:after="0"/>
      <w:ind w:left="950" w:hanging="190"/>
    </w:pPr>
  </w:style>
  <w:style w:type="paragraph" w:styleId="Index6">
    <w:name w:val="index 6"/>
    <w:basedOn w:val="Normal"/>
    <w:next w:val="Normal"/>
    <w:autoRedefine/>
    <w:semiHidden/>
    <w:unhideWhenUsed/>
    <w:rsid w:val="0072670F"/>
    <w:pPr>
      <w:spacing w:after="0"/>
      <w:ind w:left="1140" w:hanging="190"/>
    </w:pPr>
  </w:style>
  <w:style w:type="paragraph" w:styleId="Index7">
    <w:name w:val="index 7"/>
    <w:basedOn w:val="Normal"/>
    <w:next w:val="Normal"/>
    <w:autoRedefine/>
    <w:semiHidden/>
    <w:unhideWhenUsed/>
    <w:rsid w:val="0072670F"/>
    <w:pPr>
      <w:spacing w:after="0"/>
      <w:ind w:left="1330" w:hanging="190"/>
    </w:pPr>
  </w:style>
  <w:style w:type="paragraph" w:styleId="Index8">
    <w:name w:val="index 8"/>
    <w:basedOn w:val="Normal"/>
    <w:next w:val="Normal"/>
    <w:autoRedefine/>
    <w:semiHidden/>
    <w:unhideWhenUsed/>
    <w:rsid w:val="0072670F"/>
    <w:pPr>
      <w:spacing w:after="0"/>
      <w:ind w:left="1520" w:hanging="190"/>
    </w:pPr>
  </w:style>
  <w:style w:type="paragraph" w:styleId="Index9">
    <w:name w:val="index 9"/>
    <w:basedOn w:val="Normal"/>
    <w:next w:val="Normal"/>
    <w:autoRedefine/>
    <w:semiHidden/>
    <w:unhideWhenUsed/>
    <w:rsid w:val="0072670F"/>
    <w:pPr>
      <w:spacing w:after="0"/>
      <w:ind w:left="1710" w:hanging="190"/>
    </w:pPr>
  </w:style>
  <w:style w:type="paragraph" w:styleId="IndexHeading">
    <w:name w:val="index heading"/>
    <w:basedOn w:val="Normal"/>
    <w:next w:val="Index1"/>
    <w:semiHidden/>
    <w:unhideWhenUsed/>
    <w:rsid w:val="0072670F"/>
    <w:rPr>
      <w:rFonts w:asciiTheme="majorHAnsi" w:eastAsiaTheme="majorEastAsia" w:hAnsiTheme="majorHAnsi" w:cstheme="majorBidi"/>
      <w:b/>
      <w:bCs/>
    </w:rPr>
  </w:style>
  <w:style w:type="paragraph" w:styleId="List">
    <w:name w:val="List"/>
    <w:basedOn w:val="Normal"/>
    <w:semiHidden/>
    <w:unhideWhenUsed/>
    <w:rsid w:val="0072670F"/>
    <w:pPr>
      <w:ind w:left="283" w:hanging="283"/>
      <w:contextualSpacing/>
    </w:pPr>
  </w:style>
  <w:style w:type="paragraph" w:styleId="List2">
    <w:name w:val="List 2"/>
    <w:basedOn w:val="Normal"/>
    <w:semiHidden/>
    <w:unhideWhenUsed/>
    <w:rsid w:val="0072670F"/>
    <w:pPr>
      <w:ind w:left="566" w:hanging="283"/>
      <w:contextualSpacing/>
    </w:pPr>
  </w:style>
  <w:style w:type="paragraph" w:styleId="List3">
    <w:name w:val="List 3"/>
    <w:basedOn w:val="Normal"/>
    <w:semiHidden/>
    <w:unhideWhenUsed/>
    <w:rsid w:val="0072670F"/>
    <w:pPr>
      <w:ind w:left="849" w:hanging="283"/>
      <w:contextualSpacing/>
    </w:pPr>
  </w:style>
  <w:style w:type="paragraph" w:styleId="List4">
    <w:name w:val="List 4"/>
    <w:basedOn w:val="Normal"/>
    <w:unhideWhenUsed/>
    <w:rsid w:val="0072670F"/>
    <w:pPr>
      <w:ind w:left="1132" w:hanging="283"/>
      <w:contextualSpacing/>
    </w:pPr>
  </w:style>
  <w:style w:type="paragraph" w:styleId="List5">
    <w:name w:val="List 5"/>
    <w:basedOn w:val="Normal"/>
    <w:unhideWhenUsed/>
    <w:rsid w:val="0072670F"/>
    <w:pPr>
      <w:ind w:left="1415" w:hanging="283"/>
      <w:contextualSpacing/>
    </w:pPr>
  </w:style>
  <w:style w:type="paragraph" w:styleId="ListContinue3">
    <w:name w:val="List Continue 3"/>
    <w:basedOn w:val="Normal"/>
    <w:rsid w:val="0072670F"/>
    <w:pPr>
      <w:ind w:left="849"/>
      <w:contextualSpacing/>
    </w:pPr>
  </w:style>
  <w:style w:type="paragraph" w:styleId="ListContinue4">
    <w:name w:val="List Continue 4"/>
    <w:basedOn w:val="Normal"/>
    <w:rsid w:val="0072670F"/>
    <w:pPr>
      <w:ind w:left="1132"/>
      <w:contextualSpacing/>
    </w:pPr>
  </w:style>
  <w:style w:type="paragraph" w:styleId="ListContinue5">
    <w:name w:val="List Continue 5"/>
    <w:basedOn w:val="Normal"/>
    <w:rsid w:val="0072670F"/>
    <w:pPr>
      <w:ind w:left="1415"/>
      <w:contextualSpacing/>
    </w:pPr>
  </w:style>
  <w:style w:type="paragraph" w:styleId="ListNumber4">
    <w:name w:val="List Number 4"/>
    <w:basedOn w:val="Normal"/>
    <w:unhideWhenUsed/>
    <w:rsid w:val="0072670F"/>
    <w:pPr>
      <w:numPr>
        <w:numId w:val="1"/>
      </w:numPr>
      <w:contextualSpacing/>
    </w:pPr>
  </w:style>
  <w:style w:type="paragraph" w:styleId="ListNumber5">
    <w:name w:val="List Number 5"/>
    <w:basedOn w:val="Normal"/>
    <w:unhideWhenUsed/>
    <w:rsid w:val="0072670F"/>
    <w:pPr>
      <w:numPr>
        <w:numId w:val="2"/>
      </w:numPr>
      <w:contextualSpacing/>
    </w:pPr>
  </w:style>
  <w:style w:type="paragraph" w:styleId="MacroText">
    <w:name w:val="macro"/>
    <w:link w:val="MacroTextChar"/>
    <w:semiHidden/>
    <w:rsid w:val="0072670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sz w:val="20"/>
      <w:szCs w:val="20"/>
    </w:rPr>
  </w:style>
  <w:style w:type="character" w:customStyle="1" w:styleId="MacroTextChar">
    <w:name w:val="Macro Text Char"/>
    <w:basedOn w:val="DefaultParagraphFont"/>
    <w:link w:val="MacroText"/>
    <w:semiHidden/>
    <w:rsid w:val="0072670F"/>
    <w:rPr>
      <w:rFonts w:ascii="Consolas" w:hAnsi="Consolas" w:cs="Consolas"/>
      <w:sz w:val="20"/>
      <w:szCs w:val="20"/>
    </w:rPr>
  </w:style>
  <w:style w:type="paragraph" w:styleId="MessageHeader">
    <w:name w:val="Message Header"/>
    <w:basedOn w:val="Normal"/>
    <w:link w:val="MessageHeaderChar"/>
    <w:semiHidden/>
    <w:rsid w:val="0072670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72670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72670F"/>
    <w:rPr>
      <w:rFonts w:ascii="Times New Roman" w:hAnsi="Times New Roman" w:cs="Times New Roman"/>
      <w:sz w:val="24"/>
      <w:szCs w:val="24"/>
    </w:rPr>
  </w:style>
  <w:style w:type="paragraph" w:styleId="NoteHeading">
    <w:name w:val="Note Heading"/>
    <w:basedOn w:val="Normal"/>
    <w:next w:val="Normal"/>
    <w:link w:val="NoteHeadingChar"/>
    <w:unhideWhenUsed/>
    <w:rsid w:val="0072670F"/>
    <w:pPr>
      <w:spacing w:after="0"/>
    </w:pPr>
  </w:style>
  <w:style w:type="character" w:customStyle="1" w:styleId="NoteHeadingChar">
    <w:name w:val="Note Heading Char"/>
    <w:basedOn w:val="DefaultParagraphFont"/>
    <w:link w:val="NoteHeading"/>
    <w:rsid w:val="0072670F"/>
    <w:rPr>
      <w:sz w:val="19"/>
    </w:rPr>
  </w:style>
  <w:style w:type="paragraph" w:styleId="PlainText">
    <w:name w:val="Plain Text"/>
    <w:basedOn w:val="Normal"/>
    <w:link w:val="PlainTextChar"/>
    <w:uiPriority w:val="39"/>
    <w:semiHidden/>
    <w:unhideWhenUsed/>
    <w:rsid w:val="0072670F"/>
    <w:pPr>
      <w:spacing w:after="0"/>
    </w:pPr>
    <w:rPr>
      <w:rFonts w:ascii="Consolas" w:hAnsi="Consolas" w:cs="Consolas"/>
      <w:sz w:val="21"/>
      <w:szCs w:val="21"/>
    </w:rPr>
  </w:style>
  <w:style w:type="character" w:customStyle="1" w:styleId="PlainTextChar">
    <w:name w:val="Plain Text Char"/>
    <w:basedOn w:val="DefaultParagraphFont"/>
    <w:link w:val="PlainText"/>
    <w:uiPriority w:val="39"/>
    <w:semiHidden/>
    <w:rsid w:val="0072670F"/>
    <w:rPr>
      <w:rFonts w:ascii="Consolas" w:hAnsi="Consolas" w:cs="Consolas"/>
      <w:sz w:val="21"/>
      <w:szCs w:val="21"/>
    </w:rPr>
  </w:style>
  <w:style w:type="paragraph" w:styleId="Salutation">
    <w:name w:val="Salutation"/>
    <w:basedOn w:val="Normal"/>
    <w:next w:val="Normal"/>
    <w:link w:val="SalutationChar"/>
    <w:unhideWhenUsed/>
    <w:rsid w:val="0072670F"/>
  </w:style>
  <w:style w:type="character" w:customStyle="1" w:styleId="SalutationChar">
    <w:name w:val="Salutation Char"/>
    <w:basedOn w:val="DefaultParagraphFont"/>
    <w:link w:val="Salutation"/>
    <w:rsid w:val="0072670F"/>
    <w:rPr>
      <w:sz w:val="19"/>
    </w:rPr>
  </w:style>
  <w:style w:type="paragraph" w:styleId="Signature">
    <w:name w:val="Signature"/>
    <w:basedOn w:val="Normal"/>
    <w:link w:val="SignatureChar"/>
    <w:semiHidden/>
    <w:unhideWhenUsed/>
    <w:rsid w:val="0072670F"/>
    <w:pPr>
      <w:spacing w:after="0"/>
      <w:ind w:left="4252"/>
    </w:pPr>
  </w:style>
  <w:style w:type="character" w:customStyle="1" w:styleId="SignatureChar">
    <w:name w:val="Signature Char"/>
    <w:basedOn w:val="DefaultParagraphFont"/>
    <w:link w:val="Signature"/>
    <w:semiHidden/>
    <w:rsid w:val="0072670F"/>
    <w:rPr>
      <w:sz w:val="19"/>
    </w:rPr>
  </w:style>
  <w:style w:type="paragraph" w:styleId="TableofAuthorities">
    <w:name w:val="table of authorities"/>
    <w:basedOn w:val="Normal"/>
    <w:next w:val="Normal"/>
    <w:semiHidden/>
    <w:unhideWhenUsed/>
    <w:rsid w:val="0072670F"/>
    <w:pPr>
      <w:spacing w:after="0"/>
      <w:ind w:left="190" w:hanging="190"/>
    </w:pPr>
  </w:style>
  <w:style w:type="character" w:customStyle="1" w:styleId="TableTextChar">
    <w:name w:val="Table Text Char"/>
    <w:basedOn w:val="DefaultParagraphFont"/>
    <w:link w:val="TableText"/>
    <w:rsid w:val="00E137E5"/>
    <w:rPr>
      <w:rFonts w:ascii="Arial" w:eastAsia="Times New Roman" w:hAnsi="Arial" w:cs="Arial"/>
      <w:color w:val="000000" w:themeColor="text1"/>
      <w:sz w:val="18"/>
    </w:rPr>
  </w:style>
  <w:style w:type="table" w:customStyle="1" w:styleId="Table1">
    <w:name w:val="Table 1"/>
    <w:basedOn w:val="TableNormal"/>
    <w:uiPriority w:val="59"/>
    <w:rsid w:val="000F5FB5"/>
    <w:pPr>
      <w:spacing w:after="0" w:line="240" w:lineRule="auto"/>
    </w:pPr>
    <w:rPr>
      <w:rFonts w:ascii="Arial" w:hAnsi="Arial"/>
      <w:sz w:val="18"/>
    </w:rPr>
    <w:tblPr>
      <w:tblBorders>
        <w:bottom w:val="single" w:sz="4" w:space="0" w:color="A7CC96"/>
        <w:insideH w:val="single" w:sz="4" w:space="0" w:color="A7CC96"/>
      </w:tblBorders>
    </w:tblPr>
    <w:tblStylePr w:type="firstRow">
      <w:pPr>
        <w:wordWrap/>
      </w:pPr>
      <w:rPr>
        <w:rFonts w:ascii="Arial" w:hAnsi="Arial"/>
        <w:color w:val="auto"/>
        <w:sz w:val="18"/>
      </w:rPr>
      <w:tblPr/>
      <w:tcPr>
        <w:shd w:val="clear" w:color="auto" w:fill="A7CC96"/>
      </w:tcPr>
    </w:tblStylePr>
    <w:tblStylePr w:type="firstCol">
      <w:tblPr/>
      <w:tcPr>
        <w:shd w:val="clear" w:color="auto" w:fill="E6EFE1"/>
      </w:tcPr>
    </w:tblStylePr>
  </w:style>
  <w:style w:type="paragraph" w:customStyle="1" w:styleId="PullOutBoxText">
    <w:name w:val="Pull Out Box Text"/>
    <w:basedOn w:val="Normal"/>
    <w:qFormat/>
    <w:rsid w:val="00632BD3"/>
    <w:rPr>
      <w:color w:val="004F9E"/>
    </w:rPr>
  </w:style>
  <w:style w:type="paragraph" w:customStyle="1" w:styleId="PullOutBoxHeading">
    <w:name w:val="Pull Out Box Heading"/>
    <w:basedOn w:val="PullOutBoxText"/>
    <w:qFormat/>
    <w:rsid w:val="00632BD3"/>
    <w:pPr>
      <w:spacing w:before="0"/>
    </w:pPr>
    <w:rPr>
      <w:b/>
      <w:bCs/>
      <w:sz w:val="22"/>
    </w:rPr>
  </w:style>
  <w:style w:type="paragraph" w:customStyle="1" w:styleId="BodyTextBold">
    <w:name w:val="Body Text Bold"/>
    <w:basedOn w:val="BodyText"/>
    <w:rsid w:val="006135B1"/>
    <w:pPr>
      <w:tabs>
        <w:tab w:val="left" w:pos="2268"/>
        <w:tab w:val="left" w:pos="4536"/>
        <w:tab w:val="left" w:pos="6804"/>
        <w:tab w:val="right" w:pos="9638"/>
      </w:tabs>
      <w:spacing w:line="288" w:lineRule="auto"/>
    </w:pPr>
    <w:rPr>
      <w:rFonts w:asciiTheme="minorHAnsi" w:eastAsia="Times New Roman" w:hAnsiTheme="minorHAnsi" w:cs="Times New Roman"/>
      <w:b/>
      <w:sz w:val="20"/>
      <w:szCs w:val="20"/>
    </w:rPr>
  </w:style>
  <w:style w:type="numbering" w:customStyle="1" w:styleId="HangingList">
    <w:name w:val="HangingList"/>
    <w:uiPriority w:val="99"/>
    <w:rsid w:val="006135B1"/>
    <w:pPr>
      <w:numPr>
        <w:numId w:val="10"/>
      </w:numPr>
    </w:pPr>
  </w:style>
  <w:style w:type="paragraph" w:customStyle="1" w:styleId="AppendixHeading2">
    <w:name w:val="Appendix Heading 2"/>
    <w:basedOn w:val="Normal"/>
    <w:next w:val="BodyText"/>
    <w:uiPriority w:val="4"/>
    <w:rsid w:val="006135B1"/>
    <w:pPr>
      <w:keepNext/>
      <w:tabs>
        <w:tab w:val="left" w:pos="1559"/>
        <w:tab w:val="left" w:pos="1843"/>
        <w:tab w:val="left" w:pos="2126"/>
        <w:tab w:val="left" w:pos="2410"/>
        <w:tab w:val="right" w:pos="9639"/>
      </w:tabs>
      <w:spacing w:before="200" w:line="288" w:lineRule="auto"/>
      <w:ind w:left="1134" w:hanging="1134"/>
    </w:pPr>
    <w:rPr>
      <w:rFonts w:asciiTheme="majorHAnsi" w:eastAsia="Times New Roman" w:hAnsiTheme="majorHAnsi" w:cs="Times New Roman"/>
      <w:color w:val="000000" w:themeColor="text1"/>
      <w:sz w:val="24"/>
      <w:szCs w:val="20"/>
    </w:rPr>
  </w:style>
  <w:style w:type="paragraph" w:customStyle="1" w:styleId="AppendixHeading3">
    <w:name w:val="Appendix Heading 3"/>
    <w:basedOn w:val="Normal"/>
    <w:next w:val="BodyText"/>
    <w:uiPriority w:val="4"/>
    <w:rsid w:val="006135B1"/>
    <w:pPr>
      <w:keepNext/>
      <w:tabs>
        <w:tab w:val="left" w:pos="1559"/>
        <w:tab w:val="left" w:pos="1843"/>
        <w:tab w:val="left" w:pos="2126"/>
        <w:tab w:val="left" w:pos="2410"/>
        <w:tab w:val="left" w:pos="6804"/>
        <w:tab w:val="right" w:pos="9639"/>
      </w:tabs>
      <w:spacing w:before="200" w:line="288" w:lineRule="auto"/>
      <w:ind w:left="1134" w:hanging="1134"/>
    </w:pPr>
    <w:rPr>
      <w:rFonts w:asciiTheme="majorHAnsi" w:eastAsia="Times New Roman" w:hAnsiTheme="majorHAnsi" w:cs="Times New Roman"/>
      <w:b/>
      <w:color w:val="000000" w:themeColor="text1"/>
      <w:sz w:val="20"/>
      <w:szCs w:val="20"/>
    </w:rPr>
  </w:style>
  <w:style w:type="character" w:styleId="FollowedHyperlink">
    <w:name w:val="FollowedHyperlink"/>
    <w:basedOn w:val="DefaultParagraphFont"/>
    <w:rsid w:val="006135B1"/>
    <w:rPr>
      <w:color w:val="000000" w:themeColor="text1"/>
      <w:u w:val="single"/>
    </w:rPr>
  </w:style>
  <w:style w:type="numbering" w:customStyle="1" w:styleId="MyListNumbering">
    <w:name w:val="MyListNumbering"/>
    <w:uiPriority w:val="99"/>
    <w:rsid w:val="006135B1"/>
    <w:pPr>
      <w:numPr>
        <w:numId w:val="11"/>
      </w:numPr>
    </w:pPr>
  </w:style>
  <w:style w:type="character" w:styleId="PlaceholderText">
    <w:name w:val="Placeholder Text"/>
    <w:basedOn w:val="DefaultParagraphFont"/>
    <w:uiPriority w:val="99"/>
    <w:semiHidden/>
    <w:rsid w:val="006135B1"/>
    <w:rPr>
      <w:color w:val="808080"/>
    </w:rPr>
  </w:style>
  <w:style w:type="numbering" w:customStyle="1" w:styleId="TableBullets">
    <w:name w:val="TableBullets"/>
    <w:uiPriority w:val="99"/>
    <w:rsid w:val="006135B1"/>
    <w:pPr>
      <w:numPr>
        <w:numId w:val="13"/>
      </w:numPr>
    </w:pPr>
  </w:style>
  <w:style w:type="numbering" w:customStyle="1" w:styleId="TableFootnotes0">
    <w:name w:val="TableFootnotes"/>
    <w:uiPriority w:val="99"/>
    <w:rsid w:val="006135B1"/>
    <w:pPr>
      <w:numPr>
        <w:numId w:val="14"/>
      </w:numPr>
    </w:pPr>
  </w:style>
  <w:style w:type="numbering" w:customStyle="1" w:styleId="TableNumbering">
    <w:name w:val="TableNumbering"/>
    <w:uiPriority w:val="99"/>
    <w:rsid w:val="006135B1"/>
    <w:pPr>
      <w:numPr>
        <w:numId w:val="15"/>
      </w:numPr>
    </w:pPr>
  </w:style>
  <w:style w:type="paragraph" w:customStyle="1" w:styleId="TableofFiguresHeading">
    <w:name w:val="Table of Figures Heading"/>
    <w:basedOn w:val="Normal"/>
    <w:rsid w:val="006135B1"/>
    <w:pPr>
      <w:spacing w:before="240" w:after="60" w:line="288" w:lineRule="auto"/>
    </w:pPr>
    <w:rPr>
      <w:rFonts w:asciiTheme="majorHAnsi" w:eastAsia="Times New Roman" w:hAnsiTheme="majorHAnsi" w:cs="Times New Roman"/>
      <w:bCs/>
      <w:color w:val="1C2B39" w:themeColor="text2"/>
      <w:sz w:val="24"/>
    </w:rPr>
  </w:style>
  <w:style w:type="paragraph" w:customStyle="1" w:styleId="Address">
    <w:name w:val="Address"/>
    <w:basedOn w:val="Normal"/>
    <w:rsid w:val="006135B1"/>
    <w:pPr>
      <w:tabs>
        <w:tab w:val="left" w:pos="227"/>
      </w:tabs>
      <w:spacing w:line="288" w:lineRule="auto"/>
      <w:contextualSpacing/>
    </w:pPr>
    <w:rPr>
      <w:rFonts w:asciiTheme="majorHAnsi" w:eastAsia="Times New Roman" w:hAnsiTheme="majorHAnsi" w:cs="Times New Roman"/>
      <w:noProof/>
      <w:color w:val="1C2B39" w:themeColor="text2"/>
      <w:sz w:val="14"/>
      <w:szCs w:val="20"/>
    </w:rPr>
  </w:style>
  <w:style w:type="paragraph" w:customStyle="1" w:styleId="BoldHeading">
    <w:name w:val="Bold Heading"/>
    <w:basedOn w:val="Normal"/>
    <w:next w:val="BodyText"/>
    <w:rsid w:val="006135B1"/>
    <w:pPr>
      <w:spacing w:before="240" w:after="40" w:line="288" w:lineRule="auto"/>
    </w:pPr>
    <w:rPr>
      <w:rFonts w:asciiTheme="minorHAnsi" w:eastAsia="Times New Roman" w:hAnsiTheme="minorHAnsi" w:cs="Times New Roman"/>
      <w:b/>
      <w:sz w:val="20"/>
    </w:rPr>
  </w:style>
  <w:style w:type="table" w:customStyle="1" w:styleId="TablePlaceholder">
    <w:name w:val="Table Placeholder"/>
    <w:basedOn w:val="TableNormal"/>
    <w:uiPriority w:val="99"/>
    <w:rsid w:val="006135B1"/>
    <w:pPr>
      <w:spacing w:after="0" w:line="288" w:lineRule="auto"/>
    </w:pPr>
    <w:rPr>
      <w:rFonts w:eastAsia="Times New Roman" w:cs="Times New Roman"/>
      <w:sz w:val="20"/>
      <w:szCs w:val="20"/>
      <w:lang w:eastAsia="en-AU"/>
    </w:rPr>
    <w:tblPr>
      <w:tblCellMar>
        <w:left w:w="45" w:type="dxa"/>
        <w:right w:w="45" w:type="dxa"/>
      </w:tblCellMar>
    </w:tblPr>
  </w:style>
  <w:style w:type="paragraph" w:customStyle="1" w:styleId="PullOutBoxBodyText">
    <w:name w:val="Pull Out Box Body Text"/>
    <w:basedOn w:val="BodyText"/>
    <w:rsid w:val="006135B1"/>
    <w:pPr>
      <w:tabs>
        <w:tab w:val="left" w:pos="2268"/>
        <w:tab w:val="left" w:pos="4536"/>
        <w:tab w:val="left" w:pos="6804"/>
        <w:tab w:val="right" w:pos="9638"/>
      </w:tabs>
      <w:spacing w:line="288" w:lineRule="auto"/>
    </w:pPr>
    <w:rPr>
      <w:rFonts w:asciiTheme="minorHAnsi" w:eastAsiaTheme="minorEastAsia" w:hAnsiTheme="minorHAnsi"/>
      <w:sz w:val="20"/>
      <w:szCs w:val="20"/>
      <w:lang w:eastAsia="fr-CA"/>
    </w:rPr>
  </w:style>
  <w:style w:type="table" w:customStyle="1" w:styleId="PullOutBoxTable">
    <w:name w:val="Pull Out Box Table"/>
    <w:basedOn w:val="TableNormal"/>
    <w:uiPriority w:val="99"/>
    <w:rsid w:val="006135B1"/>
    <w:pPr>
      <w:spacing w:after="0" w:line="288" w:lineRule="auto"/>
    </w:pPr>
    <w:rPr>
      <w:rFonts w:eastAsia="Times New Roman" w:cs="Times New Roman"/>
      <w:sz w:val="20"/>
      <w:szCs w:val="20"/>
      <w:lang w:eastAsia="en-AU"/>
    </w:rPr>
    <w:tblPr>
      <w:tblInd w:w="284" w:type="dxa"/>
      <w:tblBorders>
        <w:top w:val="single" w:sz="4" w:space="0" w:color="FDEBD1" w:themeColor="background2" w:themeTint="33"/>
        <w:left w:val="single" w:sz="4" w:space="0" w:color="FDEBD1" w:themeColor="background2" w:themeTint="33"/>
        <w:bottom w:val="single" w:sz="4" w:space="0" w:color="FDEBD1" w:themeColor="background2" w:themeTint="33"/>
        <w:right w:val="single" w:sz="4" w:space="0" w:color="FDEBD1" w:themeColor="background2" w:themeTint="33"/>
      </w:tblBorders>
      <w:tblCellMar>
        <w:top w:w="198" w:type="dxa"/>
        <w:left w:w="284" w:type="dxa"/>
        <w:bottom w:w="198" w:type="dxa"/>
        <w:right w:w="284" w:type="dxa"/>
      </w:tblCellMar>
    </w:tblPr>
    <w:tcPr>
      <w:shd w:val="clear" w:color="auto" w:fill="F2F2F2" w:themeFill="background1" w:themeFillShade="F2"/>
    </w:tcPr>
  </w:style>
  <w:style w:type="paragraph" w:customStyle="1" w:styleId="CaptionDescriptive">
    <w:name w:val="Caption Descriptive"/>
    <w:basedOn w:val="Normal"/>
    <w:rsid w:val="006135B1"/>
    <w:pPr>
      <w:keepNext/>
      <w:spacing w:before="0" w:after="60" w:line="200" w:lineRule="atLeast"/>
    </w:pPr>
    <w:rPr>
      <w:rFonts w:asciiTheme="minorHAnsi" w:eastAsia="Times New Roman" w:hAnsiTheme="minorHAnsi" w:cs="Times New Roman"/>
      <w:i/>
      <w:sz w:val="16"/>
      <w:szCs w:val="20"/>
    </w:rPr>
  </w:style>
  <w:style w:type="paragraph" w:customStyle="1" w:styleId="AppendixHeading4">
    <w:name w:val="Appendix Heading 4"/>
    <w:basedOn w:val="Normal"/>
    <w:next w:val="BodyText"/>
    <w:uiPriority w:val="4"/>
    <w:rsid w:val="006135B1"/>
    <w:pPr>
      <w:keepNext/>
      <w:spacing w:before="240" w:line="288" w:lineRule="auto"/>
      <w:ind w:left="1134" w:hanging="1134"/>
    </w:pPr>
    <w:rPr>
      <w:rFonts w:asciiTheme="majorHAnsi" w:eastAsiaTheme="minorEastAsia" w:hAnsiTheme="majorHAnsi" w:cs="Times New Roman"/>
      <w:color w:val="1C2B39" w:themeColor="text2"/>
      <w:sz w:val="20"/>
      <w:szCs w:val="20"/>
    </w:rPr>
  </w:style>
  <w:style w:type="paragraph" w:customStyle="1" w:styleId="MinorHeadingAllCapsNon-TOC">
    <w:name w:val="Minor Heading All Caps Non-TOC"/>
    <w:basedOn w:val="BodyText"/>
    <w:next w:val="BodyText"/>
    <w:rsid w:val="006135B1"/>
    <w:pPr>
      <w:tabs>
        <w:tab w:val="left" w:pos="2268"/>
        <w:tab w:val="left" w:pos="4536"/>
        <w:tab w:val="left" w:pos="6804"/>
        <w:tab w:val="right" w:pos="9638"/>
      </w:tabs>
      <w:spacing w:after="40" w:line="240" w:lineRule="exact"/>
    </w:pPr>
    <w:rPr>
      <w:rFonts w:asciiTheme="majorHAnsi" w:eastAsia="Times New Roman" w:hAnsiTheme="majorHAnsi" w:cs="Times New Roman"/>
      <w:caps/>
      <w:color w:val="1C2B39" w:themeColor="text2"/>
      <w:sz w:val="24"/>
      <w:szCs w:val="20"/>
    </w:rPr>
  </w:style>
  <w:style w:type="character" w:styleId="Emphasis">
    <w:name w:val="Emphasis"/>
    <w:basedOn w:val="DefaultParagraphFont"/>
    <w:uiPriority w:val="20"/>
    <w:rsid w:val="006135B1"/>
    <w:rPr>
      <w:b/>
      <w:i w:val="0"/>
      <w:iCs/>
      <w:color w:val="000000" w:themeColor="text1"/>
    </w:rPr>
  </w:style>
  <w:style w:type="paragraph" w:customStyle="1" w:styleId="TOCContinued">
    <w:name w:val="TOC Continued"/>
    <w:basedOn w:val="BodyText"/>
    <w:semiHidden/>
    <w:qFormat/>
    <w:rsid w:val="006135B1"/>
    <w:pPr>
      <w:pageBreakBefore/>
      <w:tabs>
        <w:tab w:val="left" w:pos="2268"/>
        <w:tab w:val="left" w:pos="4536"/>
        <w:tab w:val="left" w:pos="6804"/>
        <w:tab w:val="right" w:pos="9638"/>
      </w:tabs>
      <w:spacing w:before="0" w:line="288" w:lineRule="auto"/>
    </w:pPr>
    <w:rPr>
      <w:rFonts w:ascii="Montserrat" w:eastAsia="Times New Roman" w:hAnsi="Montserrat" w:cs="Times New Roman"/>
      <w:color w:val="1C2B39" w:themeColor="text2"/>
      <w:sz w:val="28"/>
      <w:szCs w:val="28"/>
    </w:rPr>
  </w:style>
  <w:style w:type="paragraph" w:customStyle="1" w:styleId="CC1">
    <w:name w:val="CC1"/>
    <w:basedOn w:val="Normal"/>
    <w:next w:val="Normal"/>
    <w:semiHidden/>
    <w:rsid w:val="006135B1"/>
    <w:pPr>
      <w:tabs>
        <w:tab w:val="left" w:pos="510"/>
        <w:tab w:val="right" w:pos="9639"/>
      </w:tabs>
      <w:spacing w:before="0" w:after="0" w:line="210" w:lineRule="atLeast"/>
      <w:ind w:left="510" w:hanging="510"/>
    </w:pPr>
    <w:rPr>
      <w:rFonts w:asciiTheme="minorHAnsi" w:eastAsia="Times New Roman" w:hAnsiTheme="minorHAnsi" w:cs="Times New Roman"/>
      <w:sz w:val="18"/>
      <w:szCs w:val="20"/>
    </w:rPr>
  </w:style>
  <w:style w:type="table" w:styleId="ColorfulGrid">
    <w:name w:val="Colorful Grid"/>
    <w:basedOn w:val="TableNormal"/>
    <w:uiPriority w:val="73"/>
    <w:rsid w:val="006135B1"/>
    <w:pPr>
      <w:spacing w:after="0" w:line="288" w:lineRule="auto"/>
    </w:pPr>
    <w:rPr>
      <w:rFonts w:ascii="Arial" w:eastAsia="Times New Roman" w:hAnsi="Arial" w:cs="Times New Roman"/>
      <w:sz w:val="18"/>
      <w:szCs w:val="20"/>
      <w:lang w:val="fr-CA"/>
    </w:rPr>
    <w:tblPr>
      <w:tblStyleRowBandSize w:val="1"/>
      <w:tblStyleColBandSize w:val="1"/>
      <w:tblBorders>
        <w:left w:val="dotted" w:sz="6" w:space="0" w:color="15202A" w:themeColor="text2" w:themeShade="BF"/>
        <w:bottom w:val="single" w:sz="6" w:space="0" w:color="F99D1C" w:themeColor="background2"/>
        <w:right w:val="dotted" w:sz="6" w:space="0" w:color="15202A" w:themeColor="text2" w:themeShade="BF"/>
        <w:insideH w:val="single" w:sz="6" w:space="0" w:color="F99D1C" w:themeColor="background2"/>
        <w:insideV w:val="dotted" w:sz="6" w:space="0" w:color="15202A" w:themeColor="text2" w:themeShade="BF"/>
      </w:tblBorders>
    </w:tblPr>
    <w:tcPr>
      <w:shd w:val="clear" w:color="auto" w:fill="auto"/>
    </w:tcPr>
    <w:tblStylePr w:type="firstRow">
      <w:rPr>
        <w:b/>
        <w:bCs/>
        <w:caps w:val="0"/>
        <w:smallCaps/>
      </w:rPr>
      <w:tblPr/>
      <w:tcPr>
        <w:tcBorders>
          <w:top w:val="nil"/>
          <w:left w:val="nil"/>
          <w:bottom w:val="single" w:sz="18" w:space="0" w:color="000000" w:themeColor="text1"/>
          <w:right w:val="nil"/>
          <w:insideH w:val="single" w:sz="18" w:space="0" w:color="000000" w:themeColor="text1"/>
          <w:insideV w:val="nil"/>
          <w:tl2br w:val="nil"/>
          <w:tr2bl w:val="nil"/>
        </w:tcBorders>
        <w:shd w:val="clear" w:color="auto" w:fill="auto"/>
      </w:tcPr>
    </w:tblStylePr>
    <w:tblStylePr w:type="lastRow">
      <w:rPr>
        <w:b w:val="0"/>
        <w:bCs/>
        <w:color w:val="auto"/>
      </w:rPr>
    </w:tblStylePr>
    <w:tblStylePr w:type="firstCol">
      <w:rPr>
        <w:color w:val="auto"/>
      </w:rPr>
      <w:tblPr/>
      <w:tcPr>
        <w:shd w:val="clear" w:color="auto" w:fill="5480AB" w:themeFill="text2" w:themeFillTint="99"/>
      </w:tcPr>
    </w:tblStylePr>
    <w:tblStylePr w:type="lastCol">
      <w:rPr>
        <w:color w:val="auto"/>
      </w:rPr>
    </w:tblStylePr>
    <w:tblStylePr w:type="band1Vert">
      <w:tblPr/>
      <w:tcPr>
        <w:tcBorders>
          <w:left w:val="nil"/>
          <w:right w:val="nil"/>
          <w:insideV w:val="nil"/>
        </w:tcBorders>
        <w:shd w:val="clear" w:color="auto" w:fill="auto"/>
      </w:tcPr>
    </w:tblStylePr>
    <w:tblStylePr w:type="band2Vert">
      <w:tblPr/>
      <w:tcPr>
        <w:shd w:val="clear" w:color="auto" w:fill="C6D4E3" w:themeFill="text2" w:themeFillTint="33"/>
      </w:tcPr>
    </w:tblStylePr>
  </w:style>
  <w:style w:type="character" w:styleId="EndnoteReference">
    <w:name w:val="endnote reference"/>
    <w:basedOn w:val="DefaultParagraphFont"/>
    <w:semiHidden/>
    <w:rsid w:val="006135B1"/>
    <w:rPr>
      <w:vertAlign w:val="superscript"/>
    </w:rPr>
  </w:style>
  <w:style w:type="paragraph" w:customStyle="1" w:styleId="ExecSumHeading2">
    <w:name w:val="Exec Sum Heading 2"/>
    <w:basedOn w:val="Normal"/>
    <w:next w:val="BodyText"/>
    <w:rsid w:val="006135B1"/>
    <w:pPr>
      <w:keepNext/>
      <w:pBdr>
        <w:top w:val="single" w:sz="4" w:space="9" w:color="1C2B39" w:themeColor="text2"/>
      </w:pBdr>
      <w:tabs>
        <w:tab w:val="right" w:pos="9639"/>
      </w:tabs>
      <w:spacing w:before="200" w:line="288" w:lineRule="auto"/>
      <w:outlineLvl w:val="7"/>
    </w:pPr>
    <w:rPr>
      <w:rFonts w:asciiTheme="majorHAnsi" w:eastAsia="Times New Roman" w:hAnsiTheme="majorHAnsi" w:cs="Arial"/>
      <w:color w:val="1C2B39" w:themeColor="text2"/>
      <w:sz w:val="32"/>
      <w:szCs w:val="20"/>
    </w:rPr>
  </w:style>
  <w:style w:type="paragraph" w:customStyle="1" w:styleId="ExecSumHeading3">
    <w:name w:val="Exec Sum Heading 3"/>
    <w:basedOn w:val="ExecSumHeading2"/>
    <w:next w:val="BodyText"/>
    <w:rsid w:val="006135B1"/>
    <w:pPr>
      <w:outlineLvl w:val="8"/>
    </w:pPr>
    <w:rPr>
      <w:i/>
      <w:sz w:val="24"/>
    </w:rPr>
  </w:style>
  <w:style w:type="character" w:styleId="FootnoteReference">
    <w:name w:val="footnote reference"/>
    <w:basedOn w:val="DefaultParagraphFont"/>
    <w:semiHidden/>
    <w:unhideWhenUsed/>
    <w:rsid w:val="006135B1"/>
    <w:rPr>
      <w:vertAlign w:val="superscript"/>
    </w:rPr>
  </w:style>
  <w:style w:type="table" w:styleId="GridTable7Colorful-Accent2">
    <w:name w:val="Grid Table 7 Colorful Accent 2"/>
    <w:basedOn w:val="TableNormal"/>
    <w:uiPriority w:val="52"/>
    <w:rsid w:val="006135B1"/>
    <w:pPr>
      <w:spacing w:after="0" w:line="240" w:lineRule="auto"/>
    </w:pPr>
    <w:rPr>
      <w:rFonts w:eastAsia="Times New Roman" w:cs="Times New Roman"/>
      <w:color w:val="C59700" w:themeColor="accent2" w:themeShade="BF"/>
      <w:sz w:val="20"/>
      <w:szCs w:val="20"/>
      <w:lang w:val="fr-CA"/>
    </w:rPr>
    <w:tblPr>
      <w:tblStyleRowBandSize w:val="1"/>
      <w:tblStyleColBandSize w:val="1"/>
      <w:tblBorders>
        <w:top w:val="single" w:sz="4" w:space="0" w:color="FFDC6B" w:themeColor="accent2" w:themeTint="99"/>
        <w:left w:val="single" w:sz="4" w:space="0" w:color="FFDC6B" w:themeColor="accent2" w:themeTint="99"/>
        <w:bottom w:val="single" w:sz="4" w:space="0" w:color="FFDC6B" w:themeColor="accent2" w:themeTint="99"/>
        <w:right w:val="single" w:sz="4" w:space="0" w:color="FFDC6B" w:themeColor="accent2" w:themeTint="99"/>
        <w:insideH w:val="single" w:sz="4" w:space="0" w:color="FFDC6B" w:themeColor="accent2" w:themeTint="99"/>
        <w:insideV w:val="single" w:sz="4" w:space="0" w:color="FFDC6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CD" w:themeFill="accent2" w:themeFillTint="33"/>
      </w:tcPr>
    </w:tblStylePr>
    <w:tblStylePr w:type="band1Horz">
      <w:tblPr/>
      <w:tcPr>
        <w:shd w:val="clear" w:color="auto" w:fill="FFF3CD" w:themeFill="accent2" w:themeFillTint="33"/>
      </w:tcPr>
    </w:tblStylePr>
    <w:tblStylePr w:type="neCell">
      <w:tblPr/>
      <w:tcPr>
        <w:tcBorders>
          <w:bottom w:val="single" w:sz="4" w:space="0" w:color="FFDC6B" w:themeColor="accent2" w:themeTint="99"/>
        </w:tcBorders>
      </w:tcPr>
    </w:tblStylePr>
    <w:tblStylePr w:type="nwCell">
      <w:tblPr/>
      <w:tcPr>
        <w:tcBorders>
          <w:bottom w:val="single" w:sz="4" w:space="0" w:color="FFDC6B" w:themeColor="accent2" w:themeTint="99"/>
        </w:tcBorders>
      </w:tcPr>
    </w:tblStylePr>
    <w:tblStylePr w:type="seCell">
      <w:tblPr/>
      <w:tcPr>
        <w:tcBorders>
          <w:top w:val="single" w:sz="4" w:space="0" w:color="FFDC6B" w:themeColor="accent2" w:themeTint="99"/>
        </w:tcBorders>
      </w:tcPr>
    </w:tblStylePr>
    <w:tblStylePr w:type="swCell">
      <w:tblPr/>
      <w:tcPr>
        <w:tcBorders>
          <w:top w:val="single" w:sz="4" w:space="0" w:color="FFDC6B" w:themeColor="accent2" w:themeTint="99"/>
        </w:tcBorders>
      </w:tcPr>
    </w:tblStylePr>
  </w:style>
  <w:style w:type="paragraph" w:customStyle="1" w:styleId="Heading1NoNumberNoTOC">
    <w:name w:val="Heading 1 No Number No TOC"/>
    <w:basedOn w:val="Heading1NoNumber"/>
    <w:semiHidden/>
    <w:qFormat/>
    <w:rsid w:val="006135B1"/>
    <w:pPr>
      <w:spacing w:before="0" w:line="288" w:lineRule="auto"/>
      <w:outlineLvl w:val="9"/>
    </w:pPr>
    <w:rPr>
      <w:rFonts w:asciiTheme="majorHAnsi" w:hAnsiTheme="majorHAnsi"/>
      <w:bCs/>
      <w:color w:val="1C2B39" w:themeColor="text2"/>
      <w:sz w:val="28"/>
    </w:rPr>
  </w:style>
  <w:style w:type="table" w:styleId="LightGrid">
    <w:name w:val="Light Grid"/>
    <w:basedOn w:val="TableNormal"/>
    <w:uiPriority w:val="62"/>
    <w:rsid w:val="006135B1"/>
    <w:pPr>
      <w:spacing w:after="0" w:line="288" w:lineRule="auto"/>
    </w:pPr>
    <w:rPr>
      <w:rFonts w:eastAsia="Times New Roman" w:cs="Times New Roman"/>
      <w:sz w:val="20"/>
      <w:szCs w:val="20"/>
      <w:lang w:val="fr-CA"/>
    </w:rPr>
    <w:tblPr>
      <w:tblStyleRowBandSize w:val="1"/>
      <w:tblStyleColBandSize w:val="1"/>
      <w:tblBorders>
        <w:bottom w:val="single" w:sz="6" w:space="0" w:color="F99D1C" w:themeColor="background2"/>
        <w:insideH w:val="single" w:sz="6" w:space="0" w:color="F99D1C" w:themeColor="background2"/>
      </w:tblBorders>
    </w:tblPr>
    <w:tblStylePr w:type="firstRow">
      <w:pPr>
        <w:spacing w:before="0" w:after="0" w:line="240" w:lineRule="auto"/>
      </w:pPr>
      <w:rPr>
        <w:rFonts w:asciiTheme="majorHAnsi" w:eastAsiaTheme="majorEastAsia" w:hAnsiTheme="majorHAnsi" w:cstheme="majorBidi"/>
        <w:b/>
        <w:bCs/>
      </w:rPr>
      <w:tblPr/>
      <w:tcPr>
        <w:tcBorders>
          <w:top w:val="nil"/>
          <w:left w:val="nil"/>
          <w:bottom w:val="single" w:sz="24" w:space="0" w:color="000000" w:themeColor="text1"/>
          <w:right w:val="nil"/>
          <w:insideH w:val="nil"/>
          <w:insideV w:val="nil"/>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F99D1C" w:themeColor="background2"/>
          <w:bottom w:val="single" w:sz="6" w:space="0" w:color="F99D1C" w:themeColor="background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6" w:space="0" w:color="F99D1C" w:themeColor="background2"/>
          <w:left w:val="nil"/>
          <w:bottom w:val="single" w:sz="6" w:space="0" w:color="F99D1C" w:themeColor="background2"/>
          <w:right w:val="nil"/>
          <w:insideH w:val="single" w:sz="6" w:space="0" w:color="F99D1C" w:themeColor="background2"/>
          <w:insideV w:val="nil"/>
          <w:tl2br w:val="nil"/>
          <w:tr2bl w:val="nil"/>
        </w:tcBorders>
      </w:tcPr>
    </w:tblStylePr>
    <w:tblStylePr w:type="band1Vert">
      <w:tblPr/>
      <w:tcPr>
        <w:shd w:val="clear" w:color="auto" w:fill="C6D4E3" w:themeFill="text2" w:themeFillTint="33"/>
      </w:tcPr>
    </w:tblStylePr>
    <w:tblStylePr w:type="band1Horz">
      <w:tblPr/>
      <w:tcPr>
        <w:tcBorders>
          <w:top w:val="single" w:sz="6" w:space="0" w:color="F99D1C" w:themeColor="background2"/>
          <w:bottom w:val="nil"/>
          <w:insideH w:val="nil"/>
        </w:tcBorders>
      </w:tcPr>
    </w:tblStylePr>
    <w:tblStylePr w:type="band2Horz">
      <w:tblPr/>
      <w:tcPr>
        <w:tcBorders>
          <w:top w:val="single" w:sz="6" w:space="0" w:color="F99D1C" w:themeColor="background2"/>
          <w:left w:val="nil"/>
          <w:bottom w:val="single" w:sz="6" w:space="0" w:color="F99D1C" w:themeColor="background2"/>
          <w:right w:val="nil"/>
          <w:insideV w:val="nil"/>
        </w:tcBorders>
      </w:tcPr>
    </w:tblStylePr>
  </w:style>
  <w:style w:type="table" w:styleId="LightShading-Accent1">
    <w:name w:val="Light Shading Accent 1"/>
    <w:basedOn w:val="TableNormal"/>
    <w:uiPriority w:val="60"/>
    <w:rsid w:val="006135B1"/>
    <w:pPr>
      <w:spacing w:after="0" w:line="288" w:lineRule="auto"/>
    </w:pPr>
    <w:rPr>
      <w:rFonts w:eastAsia="Times New Roman" w:cs="Times New Roman"/>
      <w:color w:val="A0A39E" w:themeColor="accent1" w:themeShade="BF"/>
      <w:sz w:val="20"/>
      <w:szCs w:val="20"/>
      <w:lang w:val="fr-CA"/>
    </w:rPr>
    <w:tblPr>
      <w:tblStyleRowBandSize w:val="1"/>
      <w:tblStyleColBandSize w:val="1"/>
      <w:tblBorders>
        <w:top w:val="single" w:sz="8" w:space="0" w:color="D7D8D6" w:themeColor="accent1"/>
        <w:bottom w:val="single" w:sz="8" w:space="0" w:color="D7D8D6" w:themeColor="accent1"/>
      </w:tblBorders>
    </w:tblPr>
    <w:tblStylePr w:type="firstRow">
      <w:pPr>
        <w:spacing w:before="0" w:after="0" w:line="240" w:lineRule="auto"/>
      </w:pPr>
      <w:rPr>
        <w:b/>
        <w:bCs/>
      </w:rPr>
      <w:tblPr/>
      <w:tcPr>
        <w:tcBorders>
          <w:top w:val="single" w:sz="8" w:space="0" w:color="D7D8D6" w:themeColor="accent1"/>
          <w:left w:val="nil"/>
          <w:bottom w:val="single" w:sz="8" w:space="0" w:color="D7D8D6" w:themeColor="accent1"/>
          <w:right w:val="nil"/>
          <w:insideH w:val="nil"/>
          <w:insideV w:val="nil"/>
        </w:tcBorders>
      </w:tcPr>
    </w:tblStylePr>
    <w:tblStylePr w:type="lastRow">
      <w:pPr>
        <w:spacing w:before="0" w:after="0" w:line="240" w:lineRule="auto"/>
      </w:pPr>
      <w:rPr>
        <w:b/>
        <w:bCs/>
      </w:rPr>
      <w:tblPr/>
      <w:tcPr>
        <w:tcBorders>
          <w:top w:val="single" w:sz="8" w:space="0" w:color="D7D8D6" w:themeColor="accent1"/>
          <w:left w:val="nil"/>
          <w:bottom w:val="single" w:sz="8" w:space="0" w:color="D7D8D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5F4" w:themeFill="accent1" w:themeFillTint="3F"/>
      </w:tcPr>
    </w:tblStylePr>
    <w:tblStylePr w:type="band1Horz">
      <w:tblPr/>
      <w:tcPr>
        <w:tcBorders>
          <w:left w:val="nil"/>
          <w:right w:val="nil"/>
          <w:insideH w:val="nil"/>
          <w:insideV w:val="nil"/>
        </w:tcBorders>
        <w:shd w:val="clear" w:color="auto" w:fill="F4F5F4" w:themeFill="accent1" w:themeFillTint="3F"/>
      </w:tcPr>
    </w:tblStylePr>
  </w:style>
  <w:style w:type="table" w:styleId="MediumShading2">
    <w:name w:val="Medium Shading 2"/>
    <w:basedOn w:val="TableNormal"/>
    <w:uiPriority w:val="64"/>
    <w:rsid w:val="006135B1"/>
    <w:pPr>
      <w:spacing w:after="0" w:line="288" w:lineRule="auto"/>
    </w:pPr>
    <w:rPr>
      <w:rFonts w:eastAsia="Times New Roman" w:cs="Times New Roman"/>
      <w:sz w:val="20"/>
      <w:szCs w:val="20"/>
      <w:lang w:val="fr-C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inorSubheadingAllCapsNon-TOC">
    <w:name w:val="Minor Subheading All Caps Non-TOC"/>
    <w:basedOn w:val="MinorHeadingAllCapsNon-TOC"/>
    <w:rsid w:val="006135B1"/>
    <w:pPr>
      <w:spacing w:line="200" w:lineRule="exact"/>
    </w:pPr>
    <w:rPr>
      <w:sz w:val="18"/>
      <w:lang w:eastAsia="en-AU"/>
    </w:rPr>
  </w:style>
  <w:style w:type="paragraph" w:customStyle="1" w:styleId="MinorSubheadingNon-TOC">
    <w:name w:val="Minor Subheading Non-TOC"/>
    <w:basedOn w:val="MinorSubheadingAllCapsNon-TOC"/>
    <w:uiPriority w:val="99"/>
    <w:rsid w:val="006135B1"/>
    <w:rPr>
      <w:caps w:val="0"/>
    </w:rPr>
  </w:style>
  <w:style w:type="character" w:customStyle="1" w:styleId="SoftEmphasis">
    <w:name w:val="Soft Emphasis"/>
    <w:qFormat/>
    <w:rsid w:val="006135B1"/>
    <w:rPr>
      <w:rFonts w:asciiTheme="majorHAnsi" w:hAnsiTheme="majorHAnsi"/>
      <w:i/>
      <w:caps/>
      <w:smallCaps w:val="0"/>
      <w:color w:val="1C2B39" w:themeColor="text2"/>
      <w:lang w:eastAsia="en-AU"/>
    </w:rPr>
  </w:style>
  <w:style w:type="character" w:styleId="SubtleEmphasis">
    <w:name w:val="Subtle Emphasis"/>
    <w:basedOn w:val="DefaultParagraphFont"/>
    <w:uiPriority w:val="19"/>
    <w:rsid w:val="006135B1"/>
    <w:rPr>
      <w:rFonts w:asciiTheme="majorHAnsi" w:hAnsiTheme="majorHAnsi"/>
      <w:i/>
      <w:iCs/>
      <w:caps/>
      <w:smallCaps w:val="0"/>
      <w:color w:val="1C2B39" w:themeColor="text2"/>
    </w:rPr>
  </w:style>
  <w:style w:type="paragraph" w:customStyle="1" w:styleId="TableBullet4">
    <w:name w:val="Table Bullet 4"/>
    <w:basedOn w:val="TableText"/>
    <w:rsid w:val="006135B1"/>
    <w:pPr>
      <w:spacing w:before="90" w:after="40" w:line="288" w:lineRule="auto"/>
    </w:pPr>
    <w:rPr>
      <w:rFonts w:asciiTheme="minorHAnsi" w:hAnsiTheme="minorHAnsi"/>
      <w:color w:val="auto"/>
      <w:sz w:val="20"/>
    </w:rPr>
  </w:style>
  <w:style w:type="paragraph" w:customStyle="1" w:styleId="TableBullet5">
    <w:name w:val="Table Bullet 5"/>
    <w:basedOn w:val="TableText"/>
    <w:rsid w:val="006135B1"/>
    <w:pPr>
      <w:spacing w:before="90" w:after="40" w:line="288" w:lineRule="auto"/>
    </w:pPr>
    <w:rPr>
      <w:rFonts w:asciiTheme="minorHAnsi" w:hAnsiTheme="minorHAnsi"/>
      <w:color w:val="auto"/>
      <w:sz w:val="20"/>
    </w:rPr>
  </w:style>
  <w:style w:type="paragraph" w:customStyle="1" w:styleId="TableFootnotes">
    <w:name w:val="Table Footnotes"/>
    <w:basedOn w:val="Normal"/>
    <w:rsid w:val="006135B1"/>
    <w:pPr>
      <w:keepLines/>
      <w:numPr>
        <w:ilvl w:val="1"/>
        <w:numId w:val="12"/>
      </w:numPr>
      <w:tabs>
        <w:tab w:val="right" w:pos="9639"/>
      </w:tabs>
      <w:spacing w:before="60" w:after="60" w:line="288" w:lineRule="auto"/>
    </w:pPr>
    <w:rPr>
      <w:rFonts w:asciiTheme="minorHAnsi" w:eastAsia="Times New Roman" w:hAnsiTheme="minorHAnsi" w:cs="Times New Roman"/>
      <w:sz w:val="18"/>
      <w:szCs w:val="20"/>
    </w:rPr>
  </w:style>
  <w:style w:type="paragraph" w:customStyle="1" w:styleId="TableListNumber1">
    <w:name w:val="Table List Number 1"/>
    <w:basedOn w:val="TableText"/>
    <w:qFormat/>
    <w:rsid w:val="006135B1"/>
    <w:pPr>
      <w:spacing w:before="90" w:after="40" w:line="288" w:lineRule="auto"/>
    </w:pPr>
    <w:rPr>
      <w:rFonts w:asciiTheme="minorHAnsi" w:hAnsiTheme="minorHAnsi"/>
      <w:color w:val="auto"/>
      <w:sz w:val="20"/>
    </w:rPr>
  </w:style>
  <w:style w:type="paragraph" w:customStyle="1" w:styleId="TableListNumber4">
    <w:name w:val="Table List Number 4"/>
    <w:basedOn w:val="TableListNumber3"/>
    <w:qFormat/>
    <w:rsid w:val="006135B1"/>
    <w:pPr>
      <w:numPr>
        <w:ilvl w:val="0"/>
        <w:numId w:val="0"/>
      </w:numPr>
      <w:spacing w:before="90" w:after="40" w:line="288" w:lineRule="auto"/>
      <w:ind w:left="1071" w:hanging="357"/>
    </w:pPr>
    <w:rPr>
      <w:rFonts w:asciiTheme="minorHAnsi" w:eastAsia="Times New Roman" w:hAnsiTheme="minorHAnsi" w:cs="Arial"/>
      <w:bCs w:val="0"/>
      <w:color w:val="auto"/>
      <w:sz w:val="20"/>
      <w:lang w:eastAsia="en-AU"/>
    </w:rPr>
  </w:style>
  <w:style w:type="paragraph" w:customStyle="1" w:styleId="TableListNumber5">
    <w:name w:val="Table List Number 5"/>
    <w:basedOn w:val="TableListNumber4"/>
    <w:qFormat/>
    <w:rsid w:val="006135B1"/>
  </w:style>
  <w:style w:type="paragraph" w:customStyle="1" w:styleId="TableTextBold">
    <w:name w:val="Table Text Bold"/>
    <w:basedOn w:val="TableText"/>
    <w:rsid w:val="006135B1"/>
    <w:pPr>
      <w:spacing w:before="90" w:after="40" w:line="288" w:lineRule="auto"/>
    </w:pPr>
    <w:rPr>
      <w:rFonts w:asciiTheme="minorHAnsi" w:hAnsiTheme="minorHAnsi"/>
      <w:color w:val="auto"/>
      <w:sz w:val="20"/>
    </w:rPr>
  </w:style>
  <w:style w:type="paragraph" w:customStyle="1" w:styleId="TOFHeading">
    <w:name w:val="TOF Heading"/>
    <w:basedOn w:val="Heading9"/>
    <w:rsid w:val="006135B1"/>
    <w:pPr>
      <w:spacing w:before="240" w:after="60" w:line="288" w:lineRule="auto"/>
      <w:ind w:right="924"/>
      <w:outlineLvl w:val="3"/>
    </w:pPr>
    <w:rPr>
      <w:rFonts w:eastAsia="Times New Roman" w:cs="Times New Roman"/>
      <w:b/>
      <w:i w:val="0"/>
      <w:iCs w:val="0"/>
      <w:color w:val="000000" w:themeColor="text1"/>
      <w:sz w:val="24"/>
      <w:szCs w:val="40"/>
      <w:lang w:eastAsia="fr-CA"/>
    </w:rPr>
  </w:style>
  <w:style w:type="paragraph" w:customStyle="1" w:styleId="CaptionDescriptiveRight">
    <w:name w:val="Caption Descriptive Right"/>
    <w:basedOn w:val="CaptionDescriptive"/>
    <w:rsid w:val="006135B1"/>
    <w:pPr>
      <w:keepNext w:val="0"/>
      <w:jc w:val="right"/>
    </w:pPr>
  </w:style>
  <w:style w:type="numbering" w:styleId="111111">
    <w:name w:val="Outline List 2"/>
    <w:basedOn w:val="NoList"/>
    <w:semiHidden/>
    <w:unhideWhenUsed/>
    <w:rsid w:val="006135B1"/>
    <w:pPr>
      <w:numPr>
        <w:numId w:val="16"/>
      </w:numPr>
    </w:pPr>
  </w:style>
  <w:style w:type="numbering" w:styleId="1ai">
    <w:name w:val="Outline List 1"/>
    <w:basedOn w:val="NoList"/>
    <w:semiHidden/>
    <w:unhideWhenUsed/>
    <w:rsid w:val="006135B1"/>
    <w:pPr>
      <w:numPr>
        <w:numId w:val="17"/>
      </w:numPr>
    </w:pPr>
  </w:style>
  <w:style w:type="numbering" w:styleId="ArticleSection">
    <w:name w:val="Outline List 3"/>
    <w:basedOn w:val="NoList"/>
    <w:semiHidden/>
    <w:unhideWhenUsed/>
    <w:rsid w:val="006135B1"/>
    <w:pPr>
      <w:numPr>
        <w:numId w:val="18"/>
      </w:numPr>
    </w:pPr>
  </w:style>
  <w:style w:type="character" w:styleId="BookTitle">
    <w:name w:val="Book Title"/>
    <w:basedOn w:val="DefaultParagraphFont"/>
    <w:uiPriority w:val="33"/>
    <w:rsid w:val="006135B1"/>
    <w:rPr>
      <w:b/>
      <w:bCs/>
      <w:i/>
      <w:iCs/>
      <w:spacing w:val="5"/>
    </w:rPr>
  </w:style>
  <w:style w:type="table" w:styleId="ColorfulGrid-Accent1">
    <w:name w:val="Colorful Grid Accent 1"/>
    <w:basedOn w:val="TableNormal"/>
    <w:uiPriority w:val="73"/>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6F7F6" w:themeFill="accent1" w:themeFillTint="33"/>
    </w:tcPr>
    <w:tblStylePr w:type="firstRow">
      <w:rPr>
        <w:b/>
        <w:bCs/>
      </w:rPr>
      <w:tblPr/>
      <w:tcPr>
        <w:shd w:val="clear" w:color="auto" w:fill="EEEFEE" w:themeFill="accent1" w:themeFillTint="66"/>
      </w:tcPr>
    </w:tblStylePr>
    <w:tblStylePr w:type="lastRow">
      <w:rPr>
        <w:b/>
        <w:bCs/>
        <w:color w:val="000000" w:themeColor="text1"/>
      </w:rPr>
      <w:tblPr/>
      <w:tcPr>
        <w:shd w:val="clear" w:color="auto" w:fill="EEEFEE" w:themeFill="accent1" w:themeFillTint="66"/>
      </w:tcPr>
    </w:tblStylePr>
    <w:tblStylePr w:type="firstCol">
      <w:rPr>
        <w:color w:val="FFFFFF" w:themeColor="background1"/>
      </w:rPr>
      <w:tblPr/>
      <w:tcPr>
        <w:shd w:val="clear" w:color="auto" w:fill="A0A39E" w:themeFill="accent1" w:themeFillShade="BF"/>
      </w:tcPr>
    </w:tblStylePr>
    <w:tblStylePr w:type="lastCol">
      <w:rPr>
        <w:color w:val="FFFFFF" w:themeColor="background1"/>
      </w:rPr>
      <w:tblPr/>
      <w:tcPr>
        <w:shd w:val="clear" w:color="auto" w:fill="A0A39E" w:themeFill="accent1" w:themeFillShade="BF"/>
      </w:tcPr>
    </w:tblStylePr>
    <w:tblStylePr w:type="band1Vert">
      <w:tblPr/>
      <w:tcPr>
        <w:shd w:val="clear" w:color="auto" w:fill="EAEBEA" w:themeFill="accent1" w:themeFillTint="7F"/>
      </w:tcPr>
    </w:tblStylePr>
    <w:tblStylePr w:type="band1Horz">
      <w:tblPr/>
      <w:tcPr>
        <w:shd w:val="clear" w:color="auto" w:fill="EAEBEA" w:themeFill="accent1" w:themeFillTint="7F"/>
      </w:tcPr>
    </w:tblStylePr>
  </w:style>
  <w:style w:type="table" w:styleId="ColorfulGrid-Accent2">
    <w:name w:val="Colorful Grid Accent 2"/>
    <w:basedOn w:val="TableNormal"/>
    <w:uiPriority w:val="73"/>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FF3CD" w:themeFill="accent2" w:themeFillTint="33"/>
    </w:tcPr>
    <w:tblStylePr w:type="firstRow">
      <w:rPr>
        <w:b/>
        <w:bCs/>
      </w:rPr>
      <w:tblPr/>
      <w:tcPr>
        <w:shd w:val="clear" w:color="auto" w:fill="FFE89C" w:themeFill="accent2" w:themeFillTint="66"/>
      </w:tcPr>
    </w:tblStylePr>
    <w:tblStylePr w:type="lastRow">
      <w:rPr>
        <w:b/>
        <w:bCs/>
        <w:color w:val="000000" w:themeColor="text1"/>
      </w:rPr>
      <w:tblPr/>
      <w:tcPr>
        <w:shd w:val="clear" w:color="auto" w:fill="FFE89C" w:themeFill="accent2" w:themeFillTint="66"/>
      </w:tcPr>
    </w:tblStylePr>
    <w:tblStylePr w:type="firstCol">
      <w:rPr>
        <w:color w:val="FFFFFF" w:themeColor="background1"/>
      </w:rPr>
      <w:tblPr/>
      <w:tcPr>
        <w:shd w:val="clear" w:color="auto" w:fill="C59700" w:themeFill="accent2" w:themeFillShade="BF"/>
      </w:tcPr>
    </w:tblStylePr>
    <w:tblStylePr w:type="lastCol">
      <w:rPr>
        <w:color w:val="FFFFFF" w:themeColor="background1"/>
      </w:rPr>
      <w:tblPr/>
      <w:tcPr>
        <w:shd w:val="clear" w:color="auto" w:fill="C59700" w:themeFill="accent2" w:themeFillShade="BF"/>
      </w:tcPr>
    </w:tblStylePr>
    <w:tblStylePr w:type="band1Vert">
      <w:tblPr/>
      <w:tcPr>
        <w:shd w:val="clear" w:color="auto" w:fill="FFE284" w:themeFill="accent2" w:themeFillTint="7F"/>
      </w:tcPr>
    </w:tblStylePr>
    <w:tblStylePr w:type="band1Horz">
      <w:tblPr/>
      <w:tcPr>
        <w:shd w:val="clear" w:color="auto" w:fill="FFE284" w:themeFill="accent2" w:themeFillTint="7F"/>
      </w:tcPr>
    </w:tblStylePr>
  </w:style>
  <w:style w:type="table" w:styleId="ColorfulGrid-Accent3">
    <w:name w:val="Colorful Grid Accent 3"/>
    <w:basedOn w:val="TableNormal"/>
    <w:uiPriority w:val="73"/>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9CBD6" w:themeFill="accent3" w:themeFillTint="33"/>
    </w:tcPr>
    <w:tblStylePr w:type="firstRow">
      <w:rPr>
        <w:b/>
        <w:bCs/>
      </w:rPr>
      <w:tblPr/>
      <w:tcPr>
        <w:shd w:val="clear" w:color="auto" w:fill="F498AD" w:themeFill="accent3" w:themeFillTint="66"/>
      </w:tcPr>
    </w:tblStylePr>
    <w:tblStylePr w:type="lastRow">
      <w:rPr>
        <w:b/>
        <w:bCs/>
        <w:color w:val="000000" w:themeColor="text1"/>
      </w:rPr>
      <w:tblPr/>
      <w:tcPr>
        <w:shd w:val="clear" w:color="auto" w:fill="F498AD" w:themeFill="accent3" w:themeFillTint="66"/>
      </w:tcPr>
    </w:tblStylePr>
    <w:tblStylePr w:type="firstCol">
      <w:rPr>
        <w:color w:val="FFFFFF" w:themeColor="background1"/>
      </w:rPr>
      <w:tblPr/>
      <w:tcPr>
        <w:shd w:val="clear" w:color="auto" w:fill="99102F" w:themeFill="accent3" w:themeFillShade="BF"/>
      </w:tcPr>
    </w:tblStylePr>
    <w:tblStylePr w:type="lastCol">
      <w:rPr>
        <w:color w:val="FFFFFF" w:themeColor="background1"/>
      </w:rPr>
      <w:tblPr/>
      <w:tcPr>
        <w:shd w:val="clear" w:color="auto" w:fill="99102F" w:themeFill="accent3" w:themeFillShade="BF"/>
      </w:tcPr>
    </w:tblStylePr>
    <w:tblStylePr w:type="band1Vert">
      <w:tblPr/>
      <w:tcPr>
        <w:shd w:val="clear" w:color="auto" w:fill="F17F99" w:themeFill="accent3" w:themeFillTint="7F"/>
      </w:tcPr>
    </w:tblStylePr>
    <w:tblStylePr w:type="band1Horz">
      <w:tblPr/>
      <w:tcPr>
        <w:shd w:val="clear" w:color="auto" w:fill="F17F99" w:themeFill="accent3" w:themeFillTint="7F"/>
      </w:tcPr>
    </w:tblStylePr>
  </w:style>
  <w:style w:type="table" w:styleId="ColorfulGrid-Accent4">
    <w:name w:val="Colorful Grid Accent 4"/>
    <w:basedOn w:val="TableNormal"/>
    <w:uiPriority w:val="73"/>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E4CAF0" w:themeFill="accent4" w:themeFillTint="33"/>
    </w:tcPr>
    <w:tblStylePr w:type="firstRow">
      <w:rPr>
        <w:b/>
        <w:bCs/>
      </w:rPr>
      <w:tblPr/>
      <w:tcPr>
        <w:shd w:val="clear" w:color="auto" w:fill="CA95E1" w:themeFill="accent4" w:themeFillTint="66"/>
      </w:tcPr>
    </w:tblStylePr>
    <w:tblStylePr w:type="lastRow">
      <w:rPr>
        <w:b/>
        <w:bCs/>
        <w:color w:val="000000" w:themeColor="text1"/>
      </w:rPr>
      <w:tblPr/>
      <w:tcPr>
        <w:shd w:val="clear" w:color="auto" w:fill="CA95E1" w:themeFill="accent4" w:themeFillTint="66"/>
      </w:tcPr>
    </w:tblStylePr>
    <w:tblStylePr w:type="firstCol">
      <w:rPr>
        <w:color w:val="FFFFFF" w:themeColor="background1"/>
      </w:rPr>
      <w:tblPr/>
      <w:tcPr>
        <w:shd w:val="clear" w:color="auto" w:fill="4E1C64" w:themeFill="accent4" w:themeFillShade="BF"/>
      </w:tcPr>
    </w:tblStylePr>
    <w:tblStylePr w:type="lastCol">
      <w:rPr>
        <w:color w:val="FFFFFF" w:themeColor="background1"/>
      </w:rPr>
      <w:tblPr/>
      <w:tcPr>
        <w:shd w:val="clear" w:color="auto" w:fill="4E1C64" w:themeFill="accent4" w:themeFillShade="BF"/>
      </w:tcPr>
    </w:tblStylePr>
    <w:tblStylePr w:type="band1Vert">
      <w:tblPr/>
      <w:tcPr>
        <w:shd w:val="clear" w:color="auto" w:fill="BC7BD9" w:themeFill="accent4" w:themeFillTint="7F"/>
      </w:tcPr>
    </w:tblStylePr>
    <w:tblStylePr w:type="band1Horz">
      <w:tblPr/>
      <w:tcPr>
        <w:shd w:val="clear" w:color="auto" w:fill="BC7BD9" w:themeFill="accent4" w:themeFillTint="7F"/>
      </w:tcPr>
    </w:tblStylePr>
  </w:style>
  <w:style w:type="table" w:styleId="ColorfulGrid-Accent5">
    <w:name w:val="Colorful Grid Accent 5"/>
    <w:basedOn w:val="TableNormal"/>
    <w:uiPriority w:val="73"/>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BF5D8" w:themeFill="accent5" w:themeFillTint="33"/>
    </w:tcPr>
    <w:tblStylePr w:type="firstRow">
      <w:rPr>
        <w:b/>
        <w:bCs/>
      </w:rPr>
      <w:tblPr/>
      <w:tcPr>
        <w:shd w:val="clear" w:color="auto" w:fill="97EBB2" w:themeFill="accent5" w:themeFillTint="66"/>
      </w:tcPr>
    </w:tblStylePr>
    <w:tblStylePr w:type="lastRow">
      <w:rPr>
        <w:b/>
        <w:bCs/>
        <w:color w:val="000000" w:themeColor="text1"/>
      </w:rPr>
      <w:tblPr/>
      <w:tcPr>
        <w:shd w:val="clear" w:color="auto" w:fill="97EBB2" w:themeFill="accent5" w:themeFillTint="66"/>
      </w:tcPr>
    </w:tblStylePr>
    <w:tblStylePr w:type="firstCol">
      <w:rPr>
        <w:color w:val="FFFFFF" w:themeColor="background1"/>
      </w:rPr>
      <w:tblPr/>
      <w:tcPr>
        <w:shd w:val="clear" w:color="auto" w:fill="187F39" w:themeFill="accent5" w:themeFillShade="BF"/>
      </w:tcPr>
    </w:tblStylePr>
    <w:tblStylePr w:type="lastCol">
      <w:rPr>
        <w:color w:val="FFFFFF" w:themeColor="background1"/>
      </w:rPr>
      <w:tblPr/>
      <w:tcPr>
        <w:shd w:val="clear" w:color="auto" w:fill="187F39" w:themeFill="accent5" w:themeFillShade="BF"/>
      </w:tcPr>
    </w:tblStylePr>
    <w:tblStylePr w:type="band1Vert">
      <w:tblPr/>
      <w:tcPr>
        <w:shd w:val="clear" w:color="auto" w:fill="7DE69F" w:themeFill="accent5" w:themeFillTint="7F"/>
      </w:tcPr>
    </w:tblStylePr>
    <w:tblStylePr w:type="band1Horz">
      <w:tblPr/>
      <w:tcPr>
        <w:shd w:val="clear" w:color="auto" w:fill="7DE69F" w:themeFill="accent5" w:themeFillTint="7F"/>
      </w:tcPr>
    </w:tblStylePr>
  </w:style>
  <w:style w:type="table" w:styleId="ColorfulGrid-Accent6">
    <w:name w:val="Colorful Grid Accent 6"/>
    <w:basedOn w:val="TableNormal"/>
    <w:uiPriority w:val="73"/>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BDEAFF" w:themeFill="accent6" w:themeFillTint="33"/>
    </w:tcPr>
    <w:tblStylePr w:type="firstRow">
      <w:rPr>
        <w:b/>
        <w:bCs/>
      </w:rPr>
      <w:tblPr/>
      <w:tcPr>
        <w:shd w:val="clear" w:color="auto" w:fill="7BD5FF" w:themeFill="accent6" w:themeFillTint="66"/>
      </w:tcPr>
    </w:tblStylePr>
    <w:tblStylePr w:type="lastRow">
      <w:rPr>
        <w:b/>
        <w:bCs/>
        <w:color w:val="000000" w:themeColor="text1"/>
      </w:rPr>
      <w:tblPr/>
      <w:tcPr>
        <w:shd w:val="clear" w:color="auto" w:fill="7BD5FF" w:themeFill="accent6" w:themeFillTint="66"/>
      </w:tcPr>
    </w:tblStylePr>
    <w:tblStylePr w:type="firstCol">
      <w:rPr>
        <w:color w:val="FFFFFF" w:themeColor="background1"/>
      </w:rPr>
      <w:tblPr/>
      <w:tcPr>
        <w:shd w:val="clear" w:color="auto" w:fill="005D88" w:themeFill="accent6" w:themeFillShade="BF"/>
      </w:tcPr>
    </w:tblStylePr>
    <w:tblStylePr w:type="lastCol">
      <w:rPr>
        <w:color w:val="FFFFFF" w:themeColor="background1"/>
      </w:rPr>
      <w:tblPr/>
      <w:tcPr>
        <w:shd w:val="clear" w:color="auto" w:fill="005D88" w:themeFill="accent6" w:themeFillShade="BF"/>
      </w:tcPr>
    </w:tblStylePr>
    <w:tblStylePr w:type="band1Vert">
      <w:tblPr/>
      <w:tcPr>
        <w:shd w:val="clear" w:color="auto" w:fill="5BCBFF" w:themeFill="accent6" w:themeFillTint="7F"/>
      </w:tcPr>
    </w:tblStylePr>
    <w:tblStylePr w:type="band1Horz">
      <w:tblPr/>
      <w:tcPr>
        <w:shd w:val="clear" w:color="auto" w:fill="5BCBFF" w:themeFill="accent6" w:themeFillTint="7F"/>
      </w:tcPr>
    </w:tblStylePr>
  </w:style>
  <w:style w:type="table" w:styleId="ColorfulList">
    <w:name w:val="Colorful List"/>
    <w:basedOn w:val="TableNormal"/>
    <w:uiPriority w:val="72"/>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3A200" w:themeFill="accent2" w:themeFillShade="CC"/>
      </w:tcPr>
    </w:tblStylePr>
    <w:tblStylePr w:type="lastRow">
      <w:rPr>
        <w:b/>
        <w:bCs/>
        <w:color w:val="D3A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Pr>
    <w:tcPr>
      <w:shd w:val="clear" w:color="auto" w:fill="FAFBFA" w:themeFill="accent1" w:themeFillTint="19"/>
    </w:tcPr>
    <w:tblStylePr w:type="firstRow">
      <w:rPr>
        <w:b/>
        <w:bCs/>
        <w:color w:val="FFFFFF" w:themeColor="background1"/>
      </w:rPr>
      <w:tblPr/>
      <w:tcPr>
        <w:tcBorders>
          <w:bottom w:val="single" w:sz="12" w:space="0" w:color="FFFFFF" w:themeColor="background1"/>
        </w:tcBorders>
        <w:shd w:val="clear" w:color="auto" w:fill="D3A200" w:themeFill="accent2" w:themeFillShade="CC"/>
      </w:tcPr>
    </w:tblStylePr>
    <w:tblStylePr w:type="lastRow">
      <w:rPr>
        <w:b/>
        <w:bCs/>
        <w:color w:val="D3A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5F4" w:themeFill="accent1" w:themeFillTint="3F"/>
      </w:tcPr>
    </w:tblStylePr>
    <w:tblStylePr w:type="band1Horz">
      <w:tblPr/>
      <w:tcPr>
        <w:shd w:val="clear" w:color="auto" w:fill="F6F7F6" w:themeFill="accent1" w:themeFillTint="33"/>
      </w:tcPr>
    </w:tblStylePr>
  </w:style>
  <w:style w:type="table" w:styleId="ColorfulList-Accent2">
    <w:name w:val="Colorful List Accent 2"/>
    <w:basedOn w:val="TableNormal"/>
    <w:uiPriority w:val="72"/>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Pr>
    <w:tcPr>
      <w:shd w:val="clear" w:color="auto" w:fill="FFF9E6" w:themeFill="accent2" w:themeFillTint="19"/>
    </w:tcPr>
    <w:tblStylePr w:type="firstRow">
      <w:rPr>
        <w:b/>
        <w:bCs/>
        <w:color w:val="FFFFFF" w:themeColor="background1"/>
      </w:rPr>
      <w:tblPr/>
      <w:tcPr>
        <w:tcBorders>
          <w:bottom w:val="single" w:sz="12" w:space="0" w:color="FFFFFF" w:themeColor="background1"/>
        </w:tcBorders>
        <w:shd w:val="clear" w:color="auto" w:fill="D3A200" w:themeFill="accent2" w:themeFillShade="CC"/>
      </w:tcPr>
    </w:tblStylePr>
    <w:tblStylePr w:type="lastRow">
      <w:rPr>
        <w:b/>
        <w:bCs/>
        <w:color w:val="D3A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0C2" w:themeFill="accent2" w:themeFillTint="3F"/>
      </w:tcPr>
    </w:tblStylePr>
    <w:tblStylePr w:type="band1Horz">
      <w:tblPr/>
      <w:tcPr>
        <w:shd w:val="clear" w:color="auto" w:fill="FFF3CD" w:themeFill="accent2" w:themeFillTint="33"/>
      </w:tcPr>
    </w:tblStylePr>
  </w:style>
  <w:style w:type="table" w:styleId="ColorfulList-Accent3">
    <w:name w:val="Colorful List Accent 3"/>
    <w:basedOn w:val="TableNormal"/>
    <w:uiPriority w:val="72"/>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Pr>
    <w:tcPr>
      <w:shd w:val="clear" w:color="auto" w:fill="FCE5EA" w:themeFill="accent3" w:themeFillTint="19"/>
    </w:tcPr>
    <w:tblStylePr w:type="firstRow">
      <w:rPr>
        <w:b/>
        <w:bCs/>
        <w:color w:val="FFFFFF" w:themeColor="background1"/>
      </w:rPr>
      <w:tblPr/>
      <w:tcPr>
        <w:tcBorders>
          <w:bottom w:val="single" w:sz="12" w:space="0" w:color="FFFFFF" w:themeColor="background1"/>
        </w:tcBorders>
        <w:shd w:val="clear" w:color="auto" w:fill="531E6A" w:themeFill="accent4" w:themeFillShade="CC"/>
      </w:tcPr>
    </w:tblStylePr>
    <w:tblStylePr w:type="lastRow">
      <w:rPr>
        <w:b/>
        <w:bCs/>
        <w:color w:val="531E6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BFCC" w:themeFill="accent3" w:themeFillTint="3F"/>
      </w:tcPr>
    </w:tblStylePr>
    <w:tblStylePr w:type="band1Horz">
      <w:tblPr/>
      <w:tcPr>
        <w:shd w:val="clear" w:color="auto" w:fill="F9CBD6" w:themeFill="accent3" w:themeFillTint="33"/>
      </w:tcPr>
    </w:tblStylePr>
  </w:style>
  <w:style w:type="table" w:styleId="ColorfulList-Accent4">
    <w:name w:val="Colorful List Accent 4"/>
    <w:basedOn w:val="TableNormal"/>
    <w:uiPriority w:val="72"/>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Pr>
    <w:tcPr>
      <w:shd w:val="clear" w:color="auto" w:fill="F1E5F7" w:themeFill="accent4" w:themeFillTint="19"/>
    </w:tcPr>
    <w:tblStylePr w:type="firstRow">
      <w:rPr>
        <w:b/>
        <w:bCs/>
        <w:color w:val="FFFFFF" w:themeColor="background1"/>
      </w:rPr>
      <w:tblPr/>
      <w:tcPr>
        <w:tcBorders>
          <w:bottom w:val="single" w:sz="12" w:space="0" w:color="FFFFFF" w:themeColor="background1"/>
        </w:tcBorders>
        <w:shd w:val="clear" w:color="auto" w:fill="A31132" w:themeFill="accent3" w:themeFillShade="CC"/>
      </w:tcPr>
    </w:tblStylePr>
    <w:tblStylePr w:type="lastRow">
      <w:rPr>
        <w:b/>
        <w:bCs/>
        <w:color w:val="A3113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BDEC" w:themeFill="accent4" w:themeFillTint="3F"/>
      </w:tcPr>
    </w:tblStylePr>
    <w:tblStylePr w:type="band1Horz">
      <w:tblPr/>
      <w:tcPr>
        <w:shd w:val="clear" w:color="auto" w:fill="E4CAF0" w:themeFill="accent4" w:themeFillTint="33"/>
      </w:tcPr>
    </w:tblStylePr>
  </w:style>
  <w:style w:type="table" w:styleId="ColorfulList-Accent5">
    <w:name w:val="Colorful List Accent 5"/>
    <w:basedOn w:val="TableNormal"/>
    <w:uiPriority w:val="72"/>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Pr>
    <w:tcPr>
      <w:shd w:val="clear" w:color="auto" w:fill="E5FAEC" w:themeFill="accent5" w:themeFillTint="19"/>
    </w:tcPr>
    <w:tblStylePr w:type="firstRow">
      <w:rPr>
        <w:b/>
        <w:bCs/>
        <w:color w:val="FFFFFF" w:themeColor="background1"/>
      </w:rPr>
      <w:tblPr/>
      <w:tcPr>
        <w:tcBorders>
          <w:bottom w:val="single" w:sz="12" w:space="0" w:color="FFFFFF" w:themeColor="background1"/>
        </w:tcBorders>
        <w:shd w:val="clear" w:color="auto" w:fill="006391" w:themeFill="accent6" w:themeFillShade="CC"/>
      </w:tcPr>
    </w:tblStylePr>
    <w:tblStylePr w:type="lastRow">
      <w:rPr>
        <w:b/>
        <w:bCs/>
        <w:color w:val="00639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F3CF" w:themeFill="accent5" w:themeFillTint="3F"/>
      </w:tcPr>
    </w:tblStylePr>
    <w:tblStylePr w:type="band1Horz">
      <w:tblPr/>
      <w:tcPr>
        <w:shd w:val="clear" w:color="auto" w:fill="CBF5D8" w:themeFill="accent5" w:themeFillTint="33"/>
      </w:tcPr>
    </w:tblStylePr>
  </w:style>
  <w:style w:type="table" w:styleId="ColorfulList-Accent6">
    <w:name w:val="Colorful List Accent 6"/>
    <w:basedOn w:val="TableNormal"/>
    <w:uiPriority w:val="72"/>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Pr>
    <w:tcPr>
      <w:shd w:val="clear" w:color="auto" w:fill="DEF4FF" w:themeFill="accent6" w:themeFillTint="19"/>
    </w:tcPr>
    <w:tblStylePr w:type="firstRow">
      <w:rPr>
        <w:b/>
        <w:bCs/>
        <w:color w:val="FFFFFF" w:themeColor="background1"/>
      </w:rPr>
      <w:tblPr/>
      <w:tcPr>
        <w:tcBorders>
          <w:bottom w:val="single" w:sz="12" w:space="0" w:color="FFFFFF" w:themeColor="background1"/>
        </w:tcBorders>
        <w:shd w:val="clear" w:color="auto" w:fill="19873D" w:themeFill="accent5" w:themeFillShade="CC"/>
      </w:tcPr>
    </w:tblStylePr>
    <w:tblStylePr w:type="lastRow">
      <w:rPr>
        <w:b/>
        <w:bCs/>
        <w:color w:val="1987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E5FF" w:themeFill="accent6" w:themeFillTint="3F"/>
      </w:tcPr>
    </w:tblStylePr>
    <w:tblStylePr w:type="band1Horz">
      <w:tblPr/>
      <w:tcPr>
        <w:shd w:val="clear" w:color="auto" w:fill="BDEAFF" w:themeFill="accent6" w:themeFillTint="33"/>
      </w:tcPr>
    </w:tblStylePr>
  </w:style>
  <w:style w:type="table" w:styleId="ColorfulShading">
    <w:name w:val="Colorful Shading"/>
    <w:basedOn w:val="TableNormal"/>
    <w:uiPriority w:val="71"/>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24" w:space="0" w:color="FFC70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C70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24" w:space="0" w:color="FFC709" w:themeColor="accent2"/>
        <w:left w:val="single" w:sz="4" w:space="0" w:color="D7D8D6" w:themeColor="accent1"/>
        <w:bottom w:val="single" w:sz="4" w:space="0" w:color="D7D8D6" w:themeColor="accent1"/>
        <w:right w:val="single" w:sz="4" w:space="0" w:color="D7D8D6" w:themeColor="accent1"/>
        <w:insideH w:val="single" w:sz="4" w:space="0" w:color="FFFFFF" w:themeColor="background1"/>
        <w:insideV w:val="single" w:sz="4" w:space="0" w:color="FFFFFF" w:themeColor="background1"/>
      </w:tblBorders>
    </w:tblPr>
    <w:tcPr>
      <w:shd w:val="clear" w:color="auto" w:fill="FAFBFA" w:themeFill="accent1" w:themeFillTint="19"/>
    </w:tcPr>
    <w:tblStylePr w:type="firstRow">
      <w:rPr>
        <w:b/>
        <w:bCs/>
      </w:rPr>
      <w:tblPr/>
      <w:tcPr>
        <w:tcBorders>
          <w:top w:val="nil"/>
          <w:left w:val="nil"/>
          <w:bottom w:val="single" w:sz="24" w:space="0" w:color="FFC70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0847D" w:themeFill="accent1" w:themeFillShade="99"/>
      </w:tcPr>
    </w:tblStylePr>
    <w:tblStylePr w:type="firstCol">
      <w:rPr>
        <w:color w:val="FFFFFF" w:themeColor="background1"/>
      </w:rPr>
      <w:tblPr/>
      <w:tcPr>
        <w:tcBorders>
          <w:top w:val="nil"/>
          <w:left w:val="nil"/>
          <w:bottom w:val="nil"/>
          <w:right w:val="nil"/>
          <w:insideH w:val="single" w:sz="4" w:space="0" w:color="80847D" w:themeColor="accent1" w:themeShade="99"/>
          <w:insideV w:val="nil"/>
        </w:tcBorders>
        <w:shd w:val="clear" w:color="auto" w:fill="80847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0847D" w:themeFill="accent1" w:themeFillShade="99"/>
      </w:tcPr>
    </w:tblStylePr>
    <w:tblStylePr w:type="band1Vert">
      <w:tblPr/>
      <w:tcPr>
        <w:shd w:val="clear" w:color="auto" w:fill="EEEFEE" w:themeFill="accent1" w:themeFillTint="66"/>
      </w:tcPr>
    </w:tblStylePr>
    <w:tblStylePr w:type="band1Horz">
      <w:tblPr/>
      <w:tcPr>
        <w:shd w:val="clear" w:color="auto" w:fill="EAEB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24" w:space="0" w:color="FFC709" w:themeColor="accent2"/>
        <w:left w:val="single" w:sz="4" w:space="0" w:color="FFC709" w:themeColor="accent2"/>
        <w:bottom w:val="single" w:sz="4" w:space="0" w:color="FFC709" w:themeColor="accent2"/>
        <w:right w:val="single" w:sz="4" w:space="0" w:color="FFC709" w:themeColor="accent2"/>
        <w:insideH w:val="single" w:sz="4" w:space="0" w:color="FFFFFF" w:themeColor="background1"/>
        <w:insideV w:val="single" w:sz="4" w:space="0" w:color="FFFFFF" w:themeColor="background1"/>
      </w:tblBorders>
    </w:tblPr>
    <w:tcPr>
      <w:shd w:val="clear" w:color="auto" w:fill="FFF9E6" w:themeFill="accent2" w:themeFillTint="19"/>
    </w:tcPr>
    <w:tblStylePr w:type="firstRow">
      <w:rPr>
        <w:b/>
        <w:bCs/>
      </w:rPr>
      <w:tblPr/>
      <w:tcPr>
        <w:tcBorders>
          <w:top w:val="nil"/>
          <w:left w:val="nil"/>
          <w:bottom w:val="single" w:sz="24" w:space="0" w:color="FFC70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E7900" w:themeFill="accent2" w:themeFillShade="99"/>
      </w:tcPr>
    </w:tblStylePr>
    <w:tblStylePr w:type="firstCol">
      <w:rPr>
        <w:color w:val="FFFFFF" w:themeColor="background1"/>
      </w:rPr>
      <w:tblPr/>
      <w:tcPr>
        <w:tcBorders>
          <w:top w:val="nil"/>
          <w:left w:val="nil"/>
          <w:bottom w:val="nil"/>
          <w:right w:val="nil"/>
          <w:insideH w:val="single" w:sz="4" w:space="0" w:color="9E7900" w:themeColor="accent2" w:themeShade="99"/>
          <w:insideV w:val="nil"/>
        </w:tcBorders>
        <w:shd w:val="clear" w:color="auto" w:fill="9E79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E7900" w:themeFill="accent2" w:themeFillShade="99"/>
      </w:tcPr>
    </w:tblStylePr>
    <w:tblStylePr w:type="band1Vert">
      <w:tblPr/>
      <w:tcPr>
        <w:shd w:val="clear" w:color="auto" w:fill="FFE89C" w:themeFill="accent2" w:themeFillTint="66"/>
      </w:tcPr>
    </w:tblStylePr>
    <w:tblStylePr w:type="band1Horz">
      <w:tblPr/>
      <w:tcPr>
        <w:shd w:val="clear" w:color="auto" w:fill="FFE28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24" w:space="0" w:color="692686" w:themeColor="accent4"/>
        <w:left w:val="single" w:sz="4" w:space="0" w:color="CD163F" w:themeColor="accent3"/>
        <w:bottom w:val="single" w:sz="4" w:space="0" w:color="CD163F" w:themeColor="accent3"/>
        <w:right w:val="single" w:sz="4" w:space="0" w:color="CD163F" w:themeColor="accent3"/>
        <w:insideH w:val="single" w:sz="4" w:space="0" w:color="FFFFFF" w:themeColor="background1"/>
        <w:insideV w:val="single" w:sz="4" w:space="0" w:color="FFFFFF" w:themeColor="background1"/>
      </w:tblBorders>
    </w:tblPr>
    <w:tcPr>
      <w:shd w:val="clear" w:color="auto" w:fill="FCE5EA" w:themeFill="accent3" w:themeFillTint="19"/>
    </w:tcPr>
    <w:tblStylePr w:type="firstRow">
      <w:rPr>
        <w:b/>
        <w:bCs/>
      </w:rPr>
      <w:tblPr/>
      <w:tcPr>
        <w:tcBorders>
          <w:top w:val="nil"/>
          <w:left w:val="nil"/>
          <w:bottom w:val="single" w:sz="24" w:space="0" w:color="69268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0D25" w:themeFill="accent3" w:themeFillShade="99"/>
      </w:tcPr>
    </w:tblStylePr>
    <w:tblStylePr w:type="firstCol">
      <w:rPr>
        <w:color w:val="FFFFFF" w:themeColor="background1"/>
      </w:rPr>
      <w:tblPr/>
      <w:tcPr>
        <w:tcBorders>
          <w:top w:val="nil"/>
          <w:left w:val="nil"/>
          <w:bottom w:val="nil"/>
          <w:right w:val="nil"/>
          <w:insideH w:val="single" w:sz="4" w:space="0" w:color="7A0D25" w:themeColor="accent3" w:themeShade="99"/>
          <w:insideV w:val="nil"/>
        </w:tcBorders>
        <w:shd w:val="clear" w:color="auto" w:fill="7A0D2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A0D25" w:themeFill="accent3" w:themeFillShade="99"/>
      </w:tcPr>
    </w:tblStylePr>
    <w:tblStylePr w:type="band1Vert">
      <w:tblPr/>
      <w:tcPr>
        <w:shd w:val="clear" w:color="auto" w:fill="F498AD" w:themeFill="accent3" w:themeFillTint="66"/>
      </w:tcPr>
    </w:tblStylePr>
    <w:tblStylePr w:type="band1Horz">
      <w:tblPr/>
      <w:tcPr>
        <w:shd w:val="clear" w:color="auto" w:fill="F17F99" w:themeFill="accent3" w:themeFillTint="7F"/>
      </w:tcPr>
    </w:tblStylePr>
  </w:style>
  <w:style w:type="table" w:styleId="ColorfulShading-Accent4">
    <w:name w:val="Colorful Shading Accent 4"/>
    <w:basedOn w:val="TableNormal"/>
    <w:uiPriority w:val="71"/>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24" w:space="0" w:color="CD163F" w:themeColor="accent3"/>
        <w:left w:val="single" w:sz="4" w:space="0" w:color="692686" w:themeColor="accent4"/>
        <w:bottom w:val="single" w:sz="4" w:space="0" w:color="692686" w:themeColor="accent4"/>
        <w:right w:val="single" w:sz="4" w:space="0" w:color="692686" w:themeColor="accent4"/>
        <w:insideH w:val="single" w:sz="4" w:space="0" w:color="FFFFFF" w:themeColor="background1"/>
        <w:insideV w:val="single" w:sz="4" w:space="0" w:color="FFFFFF" w:themeColor="background1"/>
      </w:tblBorders>
    </w:tblPr>
    <w:tcPr>
      <w:shd w:val="clear" w:color="auto" w:fill="F1E5F7" w:themeFill="accent4" w:themeFillTint="19"/>
    </w:tcPr>
    <w:tblStylePr w:type="firstRow">
      <w:rPr>
        <w:b/>
        <w:bCs/>
      </w:rPr>
      <w:tblPr/>
      <w:tcPr>
        <w:tcBorders>
          <w:top w:val="nil"/>
          <w:left w:val="nil"/>
          <w:bottom w:val="single" w:sz="24" w:space="0" w:color="CD163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1650" w:themeFill="accent4" w:themeFillShade="99"/>
      </w:tcPr>
    </w:tblStylePr>
    <w:tblStylePr w:type="firstCol">
      <w:rPr>
        <w:color w:val="FFFFFF" w:themeColor="background1"/>
      </w:rPr>
      <w:tblPr/>
      <w:tcPr>
        <w:tcBorders>
          <w:top w:val="nil"/>
          <w:left w:val="nil"/>
          <w:bottom w:val="nil"/>
          <w:right w:val="nil"/>
          <w:insideH w:val="single" w:sz="4" w:space="0" w:color="3E1650" w:themeColor="accent4" w:themeShade="99"/>
          <w:insideV w:val="nil"/>
        </w:tcBorders>
        <w:shd w:val="clear" w:color="auto" w:fill="3E165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E1650" w:themeFill="accent4" w:themeFillShade="99"/>
      </w:tcPr>
    </w:tblStylePr>
    <w:tblStylePr w:type="band1Vert">
      <w:tblPr/>
      <w:tcPr>
        <w:shd w:val="clear" w:color="auto" w:fill="CA95E1" w:themeFill="accent4" w:themeFillTint="66"/>
      </w:tcPr>
    </w:tblStylePr>
    <w:tblStylePr w:type="band1Horz">
      <w:tblPr/>
      <w:tcPr>
        <w:shd w:val="clear" w:color="auto" w:fill="BC7BD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24" w:space="0" w:color="007DB6" w:themeColor="accent6"/>
        <w:left w:val="single" w:sz="4" w:space="0" w:color="20AA4D" w:themeColor="accent5"/>
        <w:bottom w:val="single" w:sz="4" w:space="0" w:color="20AA4D" w:themeColor="accent5"/>
        <w:right w:val="single" w:sz="4" w:space="0" w:color="20AA4D" w:themeColor="accent5"/>
        <w:insideH w:val="single" w:sz="4" w:space="0" w:color="FFFFFF" w:themeColor="background1"/>
        <w:insideV w:val="single" w:sz="4" w:space="0" w:color="FFFFFF" w:themeColor="background1"/>
      </w:tblBorders>
    </w:tblPr>
    <w:tcPr>
      <w:shd w:val="clear" w:color="auto" w:fill="E5FAEC" w:themeFill="accent5" w:themeFillTint="19"/>
    </w:tcPr>
    <w:tblStylePr w:type="firstRow">
      <w:rPr>
        <w:b/>
        <w:bCs/>
      </w:rPr>
      <w:tblPr/>
      <w:tcPr>
        <w:tcBorders>
          <w:top w:val="nil"/>
          <w:left w:val="nil"/>
          <w:bottom w:val="single" w:sz="24" w:space="0" w:color="007DB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652E" w:themeFill="accent5" w:themeFillShade="99"/>
      </w:tcPr>
    </w:tblStylePr>
    <w:tblStylePr w:type="firstCol">
      <w:rPr>
        <w:color w:val="FFFFFF" w:themeColor="background1"/>
      </w:rPr>
      <w:tblPr/>
      <w:tcPr>
        <w:tcBorders>
          <w:top w:val="nil"/>
          <w:left w:val="nil"/>
          <w:bottom w:val="nil"/>
          <w:right w:val="nil"/>
          <w:insideH w:val="single" w:sz="4" w:space="0" w:color="13652E" w:themeColor="accent5" w:themeShade="99"/>
          <w:insideV w:val="nil"/>
        </w:tcBorders>
        <w:shd w:val="clear" w:color="auto" w:fill="1365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3652E" w:themeFill="accent5" w:themeFillShade="99"/>
      </w:tcPr>
    </w:tblStylePr>
    <w:tblStylePr w:type="band1Vert">
      <w:tblPr/>
      <w:tcPr>
        <w:shd w:val="clear" w:color="auto" w:fill="97EBB2" w:themeFill="accent5" w:themeFillTint="66"/>
      </w:tcPr>
    </w:tblStylePr>
    <w:tblStylePr w:type="band1Horz">
      <w:tblPr/>
      <w:tcPr>
        <w:shd w:val="clear" w:color="auto" w:fill="7DE6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24" w:space="0" w:color="20AA4D" w:themeColor="accent5"/>
        <w:left w:val="single" w:sz="4" w:space="0" w:color="007DB6" w:themeColor="accent6"/>
        <w:bottom w:val="single" w:sz="4" w:space="0" w:color="007DB6" w:themeColor="accent6"/>
        <w:right w:val="single" w:sz="4" w:space="0" w:color="007DB6" w:themeColor="accent6"/>
        <w:insideH w:val="single" w:sz="4" w:space="0" w:color="FFFFFF" w:themeColor="background1"/>
        <w:insideV w:val="single" w:sz="4" w:space="0" w:color="FFFFFF" w:themeColor="background1"/>
      </w:tblBorders>
    </w:tblPr>
    <w:tcPr>
      <w:shd w:val="clear" w:color="auto" w:fill="DEF4FF" w:themeFill="accent6" w:themeFillTint="19"/>
    </w:tcPr>
    <w:tblStylePr w:type="firstRow">
      <w:rPr>
        <w:b/>
        <w:bCs/>
      </w:rPr>
      <w:tblPr/>
      <w:tcPr>
        <w:tcBorders>
          <w:top w:val="nil"/>
          <w:left w:val="nil"/>
          <w:bottom w:val="single" w:sz="24" w:space="0" w:color="20AA4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A6D" w:themeFill="accent6" w:themeFillShade="99"/>
      </w:tcPr>
    </w:tblStylePr>
    <w:tblStylePr w:type="firstCol">
      <w:rPr>
        <w:color w:val="FFFFFF" w:themeColor="background1"/>
      </w:rPr>
      <w:tblPr/>
      <w:tcPr>
        <w:tcBorders>
          <w:top w:val="nil"/>
          <w:left w:val="nil"/>
          <w:bottom w:val="nil"/>
          <w:right w:val="nil"/>
          <w:insideH w:val="single" w:sz="4" w:space="0" w:color="004A6D" w:themeColor="accent6" w:themeShade="99"/>
          <w:insideV w:val="nil"/>
        </w:tcBorders>
        <w:shd w:val="clear" w:color="auto" w:fill="004A6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4A6D" w:themeFill="accent6" w:themeFillShade="99"/>
      </w:tcPr>
    </w:tblStylePr>
    <w:tblStylePr w:type="band1Vert">
      <w:tblPr/>
      <w:tcPr>
        <w:shd w:val="clear" w:color="auto" w:fill="7BD5FF" w:themeFill="accent6" w:themeFillTint="66"/>
      </w:tcPr>
    </w:tblStylePr>
    <w:tblStylePr w:type="band1Horz">
      <w:tblPr/>
      <w:tcPr>
        <w:shd w:val="clear" w:color="auto" w:fill="5BCBF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6135B1"/>
    <w:pPr>
      <w:spacing w:after="0" w:line="240" w:lineRule="auto"/>
    </w:pPr>
    <w:rPr>
      <w:rFonts w:eastAsia="Times New Roman" w:cs="Times New Roman"/>
      <w:color w:val="FFFFFF" w:themeColor="background1"/>
      <w:sz w:val="20"/>
      <w:szCs w:val="20"/>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135B1"/>
    <w:pPr>
      <w:spacing w:after="0" w:line="240" w:lineRule="auto"/>
    </w:pPr>
    <w:rPr>
      <w:rFonts w:eastAsia="Times New Roman" w:cs="Times New Roman"/>
      <w:color w:val="FFFFFF" w:themeColor="background1"/>
      <w:sz w:val="20"/>
      <w:szCs w:val="20"/>
      <w:lang w:eastAsia="en-AU"/>
    </w:rPr>
    <w:tblPr>
      <w:tblStyleRowBandSize w:val="1"/>
      <w:tblStyleColBandSize w:val="1"/>
    </w:tblPr>
    <w:tcPr>
      <w:shd w:val="clear" w:color="auto" w:fill="D7D8D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A6D6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0A39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0A39E" w:themeFill="accent1" w:themeFillShade="BF"/>
      </w:tcPr>
    </w:tblStylePr>
    <w:tblStylePr w:type="band1Vert">
      <w:tblPr/>
      <w:tcPr>
        <w:tcBorders>
          <w:top w:val="nil"/>
          <w:left w:val="nil"/>
          <w:bottom w:val="nil"/>
          <w:right w:val="nil"/>
          <w:insideH w:val="nil"/>
          <w:insideV w:val="nil"/>
        </w:tcBorders>
        <w:shd w:val="clear" w:color="auto" w:fill="A0A39E" w:themeFill="accent1" w:themeFillShade="BF"/>
      </w:tcPr>
    </w:tblStylePr>
    <w:tblStylePr w:type="band1Horz">
      <w:tblPr/>
      <w:tcPr>
        <w:tcBorders>
          <w:top w:val="nil"/>
          <w:left w:val="nil"/>
          <w:bottom w:val="nil"/>
          <w:right w:val="nil"/>
          <w:insideH w:val="nil"/>
          <w:insideV w:val="nil"/>
        </w:tcBorders>
        <w:shd w:val="clear" w:color="auto" w:fill="A0A39E" w:themeFill="accent1" w:themeFillShade="BF"/>
      </w:tcPr>
    </w:tblStylePr>
  </w:style>
  <w:style w:type="table" w:styleId="DarkList-Accent2">
    <w:name w:val="Dark List Accent 2"/>
    <w:basedOn w:val="TableNormal"/>
    <w:uiPriority w:val="70"/>
    <w:semiHidden/>
    <w:unhideWhenUsed/>
    <w:rsid w:val="006135B1"/>
    <w:pPr>
      <w:spacing w:after="0" w:line="240" w:lineRule="auto"/>
    </w:pPr>
    <w:rPr>
      <w:rFonts w:eastAsia="Times New Roman" w:cs="Times New Roman"/>
      <w:color w:val="FFFFFF" w:themeColor="background1"/>
      <w:sz w:val="20"/>
      <w:szCs w:val="20"/>
      <w:lang w:eastAsia="en-AU"/>
    </w:rPr>
    <w:tblPr>
      <w:tblStyleRowBandSize w:val="1"/>
      <w:tblStyleColBandSize w:val="1"/>
    </w:tblPr>
    <w:tcPr>
      <w:shd w:val="clear" w:color="auto" w:fill="FFC70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364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597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59700" w:themeFill="accent2" w:themeFillShade="BF"/>
      </w:tcPr>
    </w:tblStylePr>
    <w:tblStylePr w:type="band1Vert">
      <w:tblPr/>
      <w:tcPr>
        <w:tcBorders>
          <w:top w:val="nil"/>
          <w:left w:val="nil"/>
          <w:bottom w:val="nil"/>
          <w:right w:val="nil"/>
          <w:insideH w:val="nil"/>
          <w:insideV w:val="nil"/>
        </w:tcBorders>
        <w:shd w:val="clear" w:color="auto" w:fill="C59700" w:themeFill="accent2" w:themeFillShade="BF"/>
      </w:tcPr>
    </w:tblStylePr>
    <w:tblStylePr w:type="band1Horz">
      <w:tblPr/>
      <w:tcPr>
        <w:tcBorders>
          <w:top w:val="nil"/>
          <w:left w:val="nil"/>
          <w:bottom w:val="nil"/>
          <w:right w:val="nil"/>
          <w:insideH w:val="nil"/>
          <w:insideV w:val="nil"/>
        </w:tcBorders>
        <w:shd w:val="clear" w:color="auto" w:fill="C59700" w:themeFill="accent2" w:themeFillShade="BF"/>
      </w:tcPr>
    </w:tblStylePr>
  </w:style>
  <w:style w:type="table" w:styleId="DarkList-Accent3">
    <w:name w:val="Dark List Accent 3"/>
    <w:basedOn w:val="TableNormal"/>
    <w:uiPriority w:val="70"/>
    <w:semiHidden/>
    <w:unhideWhenUsed/>
    <w:rsid w:val="006135B1"/>
    <w:pPr>
      <w:spacing w:after="0" w:line="240" w:lineRule="auto"/>
    </w:pPr>
    <w:rPr>
      <w:rFonts w:eastAsia="Times New Roman" w:cs="Times New Roman"/>
      <w:color w:val="FFFFFF" w:themeColor="background1"/>
      <w:sz w:val="20"/>
      <w:szCs w:val="20"/>
      <w:lang w:eastAsia="en-AU"/>
    </w:rPr>
    <w:tblPr>
      <w:tblStyleRowBandSize w:val="1"/>
      <w:tblStyleColBandSize w:val="1"/>
    </w:tblPr>
    <w:tcPr>
      <w:shd w:val="clear" w:color="auto" w:fill="CD163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0B1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9102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9102F" w:themeFill="accent3" w:themeFillShade="BF"/>
      </w:tcPr>
    </w:tblStylePr>
    <w:tblStylePr w:type="band1Vert">
      <w:tblPr/>
      <w:tcPr>
        <w:tcBorders>
          <w:top w:val="nil"/>
          <w:left w:val="nil"/>
          <w:bottom w:val="nil"/>
          <w:right w:val="nil"/>
          <w:insideH w:val="nil"/>
          <w:insideV w:val="nil"/>
        </w:tcBorders>
        <w:shd w:val="clear" w:color="auto" w:fill="99102F" w:themeFill="accent3" w:themeFillShade="BF"/>
      </w:tcPr>
    </w:tblStylePr>
    <w:tblStylePr w:type="band1Horz">
      <w:tblPr/>
      <w:tcPr>
        <w:tcBorders>
          <w:top w:val="nil"/>
          <w:left w:val="nil"/>
          <w:bottom w:val="nil"/>
          <w:right w:val="nil"/>
          <w:insideH w:val="nil"/>
          <w:insideV w:val="nil"/>
        </w:tcBorders>
        <w:shd w:val="clear" w:color="auto" w:fill="99102F" w:themeFill="accent3" w:themeFillShade="BF"/>
      </w:tcPr>
    </w:tblStylePr>
  </w:style>
  <w:style w:type="table" w:styleId="DarkList-Accent4">
    <w:name w:val="Dark List Accent 4"/>
    <w:basedOn w:val="TableNormal"/>
    <w:uiPriority w:val="70"/>
    <w:semiHidden/>
    <w:unhideWhenUsed/>
    <w:rsid w:val="006135B1"/>
    <w:pPr>
      <w:spacing w:after="0" w:line="240" w:lineRule="auto"/>
    </w:pPr>
    <w:rPr>
      <w:rFonts w:eastAsia="Times New Roman" w:cs="Times New Roman"/>
      <w:color w:val="FFFFFF" w:themeColor="background1"/>
      <w:sz w:val="20"/>
      <w:szCs w:val="20"/>
      <w:lang w:eastAsia="en-AU"/>
    </w:rPr>
    <w:tblPr>
      <w:tblStyleRowBandSize w:val="1"/>
      <w:tblStyleColBandSize w:val="1"/>
    </w:tblPr>
    <w:tcPr>
      <w:shd w:val="clear" w:color="auto" w:fill="69268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134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E1C6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E1C64" w:themeFill="accent4" w:themeFillShade="BF"/>
      </w:tcPr>
    </w:tblStylePr>
    <w:tblStylePr w:type="band1Vert">
      <w:tblPr/>
      <w:tcPr>
        <w:tcBorders>
          <w:top w:val="nil"/>
          <w:left w:val="nil"/>
          <w:bottom w:val="nil"/>
          <w:right w:val="nil"/>
          <w:insideH w:val="nil"/>
          <w:insideV w:val="nil"/>
        </w:tcBorders>
        <w:shd w:val="clear" w:color="auto" w:fill="4E1C64" w:themeFill="accent4" w:themeFillShade="BF"/>
      </w:tcPr>
    </w:tblStylePr>
    <w:tblStylePr w:type="band1Horz">
      <w:tblPr/>
      <w:tcPr>
        <w:tcBorders>
          <w:top w:val="nil"/>
          <w:left w:val="nil"/>
          <w:bottom w:val="nil"/>
          <w:right w:val="nil"/>
          <w:insideH w:val="nil"/>
          <w:insideV w:val="nil"/>
        </w:tcBorders>
        <w:shd w:val="clear" w:color="auto" w:fill="4E1C64" w:themeFill="accent4" w:themeFillShade="BF"/>
      </w:tcPr>
    </w:tblStylePr>
  </w:style>
  <w:style w:type="table" w:styleId="DarkList-Accent5">
    <w:name w:val="Dark List Accent 5"/>
    <w:basedOn w:val="TableNormal"/>
    <w:uiPriority w:val="70"/>
    <w:semiHidden/>
    <w:unhideWhenUsed/>
    <w:rsid w:val="006135B1"/>
    <w:pPr>
      <w:spacing w:after="0" w:line="240" w:lineRule="auto"/>
    </w:pPr>
    <w:rPr>
      <w:rFonts w:eastAsia="Times New Roman" w:cs="Times New Roman"/>
      <w:color w:val="FFFFFF" w:themeColor="background1"/>
      <w:sz w:val="20"/>
      <w:szCs w:val="20"/>
      <w:lang w:eastAsia="en-AU"/>
    </w:rPr>
    <w:tblPr>
      <w:tblStyleRowBandSize w:val="1"/>
      <w:tblStyleColBandSize w:val="1"/>
    </w:tblPr>
    <w:tcPr>
      <w:shd w:val="clear" w:color="auto" w:fill="20AA4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87F3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87F39" w:themeFill="accent5" w:themeFillShade="BF"/>
      </w:tcPr>
    </w:tblStylePr>
    <w:tblStylePr w:type="band1Vert">
      <w:tblPr/>
      <w:tcPr>
        <w:tcBorders>
          <w:top w:val="nil"/>
          <w:left w:val="nil"/>
          <w:bottom w:val="nil"/>
          <w:right w:val="nil"/>
          <w:insideH w:val="nil"/>
          <w:insideV w:val="nil"/>
        </w:tcBorders>
        <w:shd w:val="clear" w:color="auto" w:fill="187F39" w:themeFill="accent5" w:themeFillShade="BF"/>
      </w:tcPr>
    </w:tblStylePr>
    <w:tblStylePr w:type="band1Horz">
      <w:tblPr/>
      <w:tcPr>
        <w:tcBorders>
          <w:top w:val="nil"/>
          <w:left w:val="nil"/>
          <w:bottom w:val="nil"/>
          <w:right w:val="nil"/>
          <w:insideH w:val="nil"/>
          <w:insideV w:val="nil"/>
        </w:tcBorders>
        <w:shd w:val="clear" w:color="auto" w:fill="187F39" w:themeFill="accent5" w:themeFillShade="BF"/>
      </w:tcPr>
    </w:tblStylePr>
  </w:style>
  <w:style w:type="table" w:styleId="DarkList-Accent6">
    <w:name w:val="Dark List Accent 6"/>
    <w:basedOn w:val="TableNormal"/>
    <w:uiPriority w:val="70"/>
    <w:semiHidden/>
    <w:unhideWhenUsed/>
    <w:rsid w:val="006135B1"/>
    <w:pPr>
      <w:spacing w:after="0" w:line="240" w:lineRule="auto"/>
    </w:pPr>
    <w:rPr>
      <w:rFonts w:eastAsia="Times New Roman" w:cs="Times New Roman"/>
      <w:color w:val="FFFFFF" w:themeColor="background1"/>
      <w:sz w:val="20"/>
      <w:szCs w:val="20"/>
      <w:lang w:eastAsia="en-AU"/>
    </w:rPr>
    <w:tblPr>
      <w:tblStyleRowBandSize w:val="1"/>
      <w:tblStyleColBandSize w:val="1"/>
    </w:tblPr>
    <w:tcPr>
      <w:shd w:val="clear" w:color="auto" w:fill="007DB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D5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5D8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5D88" w:themeFill="accent6" w:themeFillShade="BF"/>
      </w:tcPr>
    </w:tblStylePr>
    <w:tblStylePr w:type="band1Vert">
      <w:tblPr/>
      <w:tcPr>
        <w:tcBorders>
          <w:top w:val="nil"/>
          <w:left w:val="nil"/>
          <w:bottom w:val="nil"/>
          <w:right w:val="nil"/>
          <w:insideH w:val="nil"/>
          <w:insideV w:val="nil"/>
        </w:tcBorders>
        <w:shd w:val="clear" w:color="auto" w:fill="005D88" w:themeFill="accent6" w:themeFillShade="BF"/>
      </w:tcPr>
    </w:tblStylePr>
    <w:tblStylePr w:type="band1Horz">
      <w:tblPr/>
      <w:tcPr>
        <w:tcBorders>
          <w:top w:val="nil"/>
          <w:left w:val="nil"/>
          <w:bottom w:val="nil"/>
          <w:right w:val="nil"/>
          <w:insideH w:val="nil"/>
          <w:insideV w:val="nil"/>
        </w:tcBorders>
        <w:shd w:val="clear" w:color="auto" w:fill="005D88" w:themeFill="accent6" w:themeFillShade="BF"/>
      </w:tcPr>
    </w:tblStylePr>
  </w:style>
  <w:style w:type="table" w:styleId="GridTable1Light">
    <w:name w:val="Grid Table 1 Light"/>
    <w:basedOn w:val="TableNormal"/>
    <w:uiPriority w:val="46"/>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EEEFEE" w:themeColor="accent1" w:themeTint="66"/>
        <w:left w:val="single" w:sz="4" w:space="0" w:color="EEEFEE" w:themeColor="accent1" w:themeTint="66"/>
        <w:bottom w:val="single" w:sz="4" w:space="0" w:color="EEEFEE" w:themeColor="accent1" w:themeTint="66"/>
        <w:right w:val="single" w:sz="4" w:space="0" w:color="EEEFEE" w:themeColor="accent1" w:themeTint="66"/>
        <w:insideH w:val="single" w:sz="4" w:space="0" w:color="EEEFEE" w:themeColor="accent1" w:themeTint="66"/>
        <w:insideV w:val="single" w:sz="4" w:space="0" w:color="EEEFEE" w:themeColor="accent1" w:themeTint="66"/>
      </w:tblBorders>
    </w:tblPr>
    <w:tblStylePr w:type="firstRow">
      <w:rPr>
        <w:b/>
        <w:bCs/>
      </w:rPr>
      <w:tblPr/>
      <w:tcPr>
        <w:tcBorders>
          <w:bottom w:val="single" w:sz="12" w:space="0" w:color="E6E7E6" w:themeColor="accent1" w:themeTint="99"/>
        </w:tcBorders>
      </w:tcPr>
    </w:tblStylePr>
    <w:tblStylePr w:type="lastRow">
      <w:rPr>
        <w:b/>
        <w:bCs/>
      </w:rPr>
      <w:tblPr/>
      <w:tcPr>
        <w:tcBorders>
          <w:top w:val="double" w:sz="2" w:space="0" w:color="E6E7E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FFE89C" w:themeColor="accent2" w:themeTint="66"/>
        <w:left w:val="single" w:sz="4" w:space="0" w:color="FFE89C" w:themeColor="accent2" w:themeTint="66"/>
        <w:bottom w:val="single" w:sz="4" w:space="0" w:color="FFE89C" w:themeColor="accent2" w:themeTint="66"/>
        <w:right w:val="single" w:sz="4" w:space="0" w:color="FFE89C" w:themeColor="accent2" w:themeTint="66"/>
        <w:insideH w:val="single" w:sz="4" w:space="0" w:color="FFE89C" w:themeColor="accent2" w:themeTint="66"/>
        <w:insideV w:val="single" w:sz="4" w:space="0" w:color="FFE89C" w:themeColor="accent2" w:themeTint="66"/>
      </w:tblBorders>
    </w:tblPr>
    <w:tblStylePr w:type="firstRow">
      <w:rPr>
        <w:b/>
        <w:bCs/>
      </w:rPr>
      <w:tblPr/>
      <w:tcPr>
        <w:tcBorders>
          <w:bottom w:val="single" w:sz="12" w:space="0" w:color="FFDC6B" w:themeColor="accent2" w:themeTint="99"/>
        </w:tcBorders>
      </w:tcPr>
    </w:tblStylePr>
    <w:tblStylePr w:type="lastRow">
      <w:rPr>
        <w:b/>
        <w:bCs/>
      </w:rPr>
      <w:tblPr/>
      <w:tcPr>
        <w:tcBorders>
          <w:top w:val="double" w:sz="2" w:space="0" w:color="FFDC6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F498AD" w:themeColor="accent3" w:themeTint="66"/>
        <w:left w:val="single" w:sz="4" w:space="0" w:color="F498AD" w:themeColor="accent3" w:themeTint="66"/>
        <w:bottom w:val="single" w:sz="4" w:space="0" w:color="F498AD" w:themeColor="accent3" w:themeTint="66"/>
        <w:right w:val="single" w:sz="4" w:space="0" w:color="F498AD" w:themeColor="accent3" w:themeTint="66"/>
        <w:insideH w:val="single" w:sz="4" w:space="0" w:color="F498AD" w:themeColor="accent3" w:themeTint="66"/>
        <w:insideV w:val="single" w:sz="4" w:space="0" w:color="F498AD" w:themeColor="accent3" w:themeTint="66"/>
      </w:tblBorders>
    </w:tblPr>
    <w:tblStylePr w:type="firstRow">
      <w:rPr>
        <w:b/>
        <w:bCs/>
      </w:rPr>
      <w:tblPr/>
      <w:tcPr>
        <w:tcBorders>
          <w:bottom w:val="single" w:sz="12" w:space="0" w:color="EE6584" w:themeColor="accent3" w:themeTint="99"/>
        </w:tcBorders>
      </w:tcPr>
    </w:tblStylePr>
    <w:tblStylePr w:type="lastRow">
      <w:rPr>
        <w:b/>
        <w:bCs/>
      </w:rPr>
      <w:tblPr/>
      <w:tcPr>
        <w:tcBorders>
          <w:top w:val="double" w:sz="2" w:space="0" w:color="EE658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CA95E1" w:themeColor="accent4" w:themeTint="66"/>
        <w:left w:val="single" w:sz="4" w:space="0" w:color="CA95E1" w:themeColor="accent4" w:themeTint="66"/>
        <w:bottom w:val="single" w:sz="4" w:space="0" w:color="CA95E1" w:themeColor="accent4" w:themeTint="66"/>
        <w:right w:val="single" w:sz="4" w:space="0" w:color="CA95E1" w:themeColor="accent4" w:themeTint="66"/>
        <w:insideH w:val="single" w:sz="4" w:space="0" w:color="CA95E1" w:themeColor="accent4" w:themeTint="66"/>
        <w:insideV w:val="single" w:sz="4" w:space="0" w:color="CA95E1" w:themeColor="accent4" w:themeTint="66"/>
      </w:tblBorders>
    </w:tblPr>
    <w:tblStylePr w:type="firstRow">
      <w:rPr>
        <w:b/>
        <w:bCs/>
      </w:rPr>
      <w:tblPr/>
      <w:tcPr>
        <w:tcBorders>
          <w:bottom w:val="single" w:sz="12" w:space="0" w:color="AF60D2" w:themeColor="accent4" w:themeTint="99"/>
        </w:tcBorders>
      </w:tcPr>
    </w:tblStylePr>
    <w:tblStylePr w:type="lastRow">
      <w:rPr>
        <w:b/>
        <w:bCs/>
      </w:rPr>
      <w:tblPr/>
      <w:tcPr>
        <w:tcBorders>
          <w:top w:val="double" w:sz="2" w:space="0" w:color="AF60D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97EBB2" w:themeColor="accent5" w:themeTint="66"/>
        <w:left w:val="single" w:sz="4" w:space="0" w:color="97EBB2" w:themeColor="accent5" w:themeTint="66"/>
        <w:bottom w:val="single" w:sz="4" w:space="0" w:color="97EBB2" w:themeColor="accent5" w:themeTint="66"/>
        <w:right w:val="single" w:sz="4" w:space="0" w:color="97EBB2" w:themeColor="accent5" w:themeTint="66"/>
        <w:insideH w:val="single" w:sz="4" w:space="0" w:color="97EBB2" w:themeColor="accent5" w:themeTint="66"/>
        <w:insideV w:val="single" w:sz="4" w:space="0" w:color="97EBB2" w:themeColor="accent5" w:themeTint="66"/>
      </w:tblBorders>
    </w:tblPr>
    <w:tblStylePr w:type="firstRow">
      <w:rPr>
        <w:b/>
        <w:bCs/>
      </w:rPr>
      <w:tblPr/>
      <w:tcPr>
        <w:tcBorders>
          <w:bottom w:val="single" w:sz="12" w:space="0" w:color="63E18C" w:themeColor="accent5" w:themeTint="99"/>
        </w:tcBorders>
      </w:tcPr>
    </w:tblStylePr>
    <w:tblStylePr w:type="lastRow">
      <w:rPr>
        <w:b/>
        <w:bCs/>
      </w:rPr>
      <w:tblPr/>
      <w:tcPr>
        <w:tcBorders>
          <w:top w:val="double" w:sz="2" w:space="0" w:color="63E18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7BD5FF" w:themeColor="accent6" w:themeTint="66"/>
        <w:left w:val="single" w:sz="4" w:space="0" w:color="7BD5FF" w:themeColor="accent6" w:themeTint="66"/>
        <w:bottom w:val="single" w:sz="4" w:space="0" w:color="7BD5FF" w:themeColor="accent6" w:themeTint="66"/>
        <w:right w:val="single" w:sz="4" w:space="0" w:color="7BD5FF" w:themeColor="accent6" w:themeTint="66"/>
        <w:insideH w:val="single" w:sz="4" w:space="0" w:color="7BD5FF" w:themeColor="accent6" w:themeTint="66"/>
        <w:insideV w:val="single" w:sz="4" w:space="0" w:color="7BD5FF" w:themeColor="accent6" w:themeTint="66"/>
      </w:tblBorders>
    </w:tblPr>
    <w:tblStylePr w:type="firstRow">
      <w:rPr>
        <w:b/>
        <w:bCs/>
      </w:rPr>
      <w:tblPr/>
      <w:tcPr>
        <w:tcBorders>
          <w:bottom w:val="single" w:sz="12" w:space="0" w:color="3AC1FF" w:themeColor="accent6" w:themeTint="99"/>
        </w:tcBorders>
      </w:tcPr>
    </w:tblStylePr>
    <w:tblStylePr w:type="lastRow">
      <w:rPr>
        <w:b/>
        <w:bCs/>
      </w:rPr>
      <w:tblPr/>
      <w:tcPr>
        <w:tcBorders>
          <w:top w:val="double" w:sz="2" w:space="0" w:color="3AC1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135B1"/>
    <w:pPr>
      <w:spacing w:after="0" w:line="240" w:lineRule="auto"/>
    </w:pPr>
    <w:rPr>
      <w:rFonts w:eastAsia="Times New Roman" w:cs="Times New Roman"/>
      <w:sz w:val="20"/>
      <w:szCs w:val="20"/>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135B1"/>
    <w:pPr>
      <w:spacing w:after="0" w:line="240" w:lineRule="auto"/>
    </w:pPr>
    <w:rPr>
      <w:rFonts w:eastAsia="Times New Roman" w:cs="Times New Roman"/>
      <w:sz w:val="20"/>
      <w:szCs w:val="20"/>
      <w:lang w:eastAsia="en-AU"/>
    </w:rPr>
    <w:tblPr>
      <w:tblStyleRowBandSize w:val="1"/>
      <w:tblStyleColBandSize w:val="1"/>
      <w:tblBorders>
        <w:top w:val="single" w:sz="2" w:space="0" w:color="E6E7E6" w:themeColor="accent1" w:themeTint="99"/>
        <w:bottom w:val="single" w:sz="2" w:space="0" w:color="E6E7E6" w:themeColor="accent1" w:themeTint="99"/>
        <w:insideH w:val="single" w:sz="2" w:space="0" w:color="E6E7E6" w:themeColor="accent1" w:themeTint="99"/>
        <w:insideV w:val="single" w:sz="2" w:space="0" w:color="E6E7E6" w:themeColor="accent1" w:themeTint="99"/>
      </w:tblBorders>
    </w:tblPr>
    <w:tblStylePr w:type="firstRow">
      <w:rPr>
        <w:b/>
        <w:bCs/>
      </w:rPr>
      <w:tblPr/>
      <w:tcPr>
        <w:tcBorders>
          <w:top w:val="nil"/>
          <w:bottom w:val="single" w:sz="12" w:space="0" w:color="E6E7E6" w:themeColor="accent1" w:themeTint="99"/>
          <w:insideH w:val="nil"/>
          <w:insideV w:val="nil"/>
        </w:tcBorders>
        <w:shd w:val="clear" w:color="auto" w:fill="FFFFFF" w:themeFill="background1"/>
      </w:tcPr>
    </w:tblStylePr>
    <w:tblStylePr w:type="lastRow">
      <w:rPr>
        <w:b/>
        <w:bCs/>
      </w:rPr>
      <w:tblPr/>
      <w:tcPr>
        <w:tcBorders>
          <w:top w:val="double" w:sz="2" w:space="0" w:color="E6E7E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7F6" w:themeFill="accent1" w:themeFillTint="33"/>
      </w:tcPr>
    </w:tblStylePr>
    <w:tblStylePr w:type="band1Horz">
      <w:tblPr/>
      <w:tcPr>
        <w:shd w:val="clear" w:color="auto" w:fill="F6F7F6" w:themeFill="accent1" w:themeFillTint="33"/>
      </w:tcPr>
    </w:tblStylePr>
  </w:style>
  <w:style w:type="table" w:styleId="GridTable2-Accent2">
    <w:name w:val="Grid Table 2 Accent 2"/>
    <w:basedOn w:val="TableNormal"/>
    <w:uiPriority w:val="47"/>
    <w:rsid w:val="006135B1"/>
    <w:pPr>
      <w:spacing w:after="0" w:line="240" w:lineRule="auto"/>
    </w:pPr>
    <w:rPr>
      <w:rFonts w:eastAsia="Times New Roman" w:cs="Times New Roman"/>
      <w:sz w:val="20"/>
      <w:szCs w:val="20"/>
      <w:lang w:eastAsia="en-AU"/>
    </w:rPr>
    <w:tblPr>
      <w:tblStyleRowBandSize w:val="1"/>
      <w:tblStyleColBandSize w:val="1"/>
      <w:tblBorders>
        <w:top w:val="single" w:sz="2" w:space="0" w:color="FFDC6B" w:themeColor="accent2" w:themeTint="99"/>
        <w:bottom w:val="single" w:sz="2" w:space="0" w:color="FFDC6B" w:themeColor="accent2" w:themeTint="99"/>
        <w:insideH w:val="single" w:sz="2" w:space="0" w:color="FFDC6B" w:themeColor="accent2" w:themeTint="99"/>
        <w:insideV w:val="single" w:sz="2" w:space="0" w:color="FFDC6B" w:themeColor="accent2" w:themeTint="99"/>
      </w:tblBorders>
    </w:tblPr>
    <w:tblStylePr w:type="firstRow">
      <w:rPr>
        <w:b/>
        <w:bCs/>
      </w:rPr>
      <w:tblPr/>
      <w:tcPr>
        <w:tcBorders>
          <w:top w:val="nil"/>
          <w:bottom w:val="single" w:sz="12" w:space="0" w:color="FFDC6B" w:themeColor="accent2" w:themeTint="99"/>
          <w:insideH w:val="nil"/>
          <w:insideV w:val="nil"/>
        </w:tcBorders>
        <w:shd w:val="clear" w:color="auto" w:fill="FFFFFF" w:themeFill="background1"/>
      </w:tcPr>
    </w:tblStylePr>
    <w:tblStylePr w:type="lastRow">
      <w:rPr>
        <w:b/>
        <w:bCs/>
      </w:rPr>
      <w:tblPr/>
      <w:tcPr>
        <w:tcBorders>
          <w:top w:val="double" w:sz="2" w:space="0" w:color="FFDC6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3CD" w:themeFill="accent2" w:themeFillTint="33"/>
      </w:tcPr>
    </w:tblStylePr>
    <w:tblStylePr w:type="band1Horz">
      <w:tblPr/>
      <w:tcPr>
        <w:shd w:val="clear" w:color="auto" w:fill="FFF3CD" w:themeFill="accent2" w:themeFillTint="33"/>
      </w:tcPr>
    </w:tblStylePr>
  </w:style>
  <w:style w:type="table" w:styleId="GridTable2-Accent3">
    <w:name w:val="Grid Table 2 Accent 3"/>
    <w:basedOn w:val="TableNormal"/>
    <w:uiPriority w:val="47"/>
    <w:rsid w:val="006135B1"/>
    <w:pPr>
      <w:spacing w:after="0" w:line="240" w:lineRule="auto"/>
    </w:pPr>
    <w:rPr>
      <w:rFonts w:eastAsia="Times New Roman" w:cs="Times New Roman"/>
      <w:sz w:val="20"/>
      <w:szCs w:val="20"/>
      <w:lang w:eastAsia="en-AU"/>
    </w:rPr>
    <w:tblPr>
      <w:tblStyleRowBandSize w:val="1"/>
      <w:tblStyleColBandSize w:val="1"/>
      <w:tblBorders>
        <w:top w:val="single" w:sz="2" w:space="0" w:color="EE6584" w:themeColor="accent3" w:themeTint="99"/>
        <w:bottom w:val="single" w:sz="2" w:space="0" w:color="EE6584" w:themeColor="accent3" w:themeTint="99"/>
        <w:insideH w:val="single" w:sz="2" w:space="0" w:color="EE6584" w:themeColor="accent3" w:themeTint="99"/>
        <w:insideV w:val="single" w:sz="2" w:space="0" w:color="EE6584" w:themeColor="accent3" w:themeTint="99"/>
      </w:tblBorders>
    </w:tblPr>
    <w:tblStylePr w:type="firstRow">
      <w:rPr>
        <w:b/>
        <w:bCs/>
      </w:rPr>
      <w:tblPr/>
      <w:tcPr>
        <w:tcBorders>
          <w:top w:val="nil"/>
          <w:bottom w:val="single" w:sz="12" w:space="0" w:color="EE6584" w:themeColor="accent3" w:themeTint="99"/>
          <w:insideH w:val="nil"/>
          <w:insideV w:val="nil"/>
        </w:tcBorders>
        <w:shd w:val="clear" w:color="auto" w:fill="FFFFFF" w:themeFill="background1"/>
      </w:tcPr>
    </w:tblStylePr>
    <w:tblStylePr w:type="lastRow">
      <w:rPr>
        <w:b/>
        <w:bCs/>
      </w:rPr>
      <w:tblPr/>
      <w:tcPr>
        <w:tcBorders>
          <w:top w:val="double" w:sz="2" w:space="0" w:color="EE658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BD6" w:themeFill="accent3" w:themeFillTint="33"/>
      </w:tcPr>
    </w:tblStylePr>
    <w:tblStylePr w:type="band1Horz">
      <w:tblPr/>
      <w:tcPr>
        <w:shd w:val="clear" w:color="auto" w:fill="F9CBD6" w:themeFill="accent3" w:themeFillTint="33"/>
      </w:tcPr>
    </w:tblStylePr>
  </w:style>
  <w:style w:type="table" w:styleId="GridTable2-Accent4">
    <w:name w:val="Grid Table 2 Accent 4"/>
    <w:basedOn w:val="TableNormal"/>
    <w:uiPriority w:val="47"/>
    <w:rsid w:val="006135B1"/>
    <w:pPr>
      <w:spacing w:after="0" w:line="240" w:lineRule="auto"/>
    </w:pPr>
    <w:rPr>
      <w:rFonts w:eastAsia="Times New Roman" w:cs="Times New Roman"/>
      <w:sz w:val="20"/>
      <w:szCs w:val="20"/>
      <w:lang w:eastAsia="en-AU"/>
    </w:rPr>
    <w:tblPr>
      <w:tblStyleRowBandSize w:val="1"/>
      <w:tblStyleColBandSize w:val="1"/>
      <w:tblBorders>
        <w:top w:val="single" w:sz="2" w:space="0" w:color="AF60D2" w:themeColor="accent4" w:themeTint="99"/>
        <w:bottom w:val="single" w:sz="2" w:space="0" w:color="AF60D2" w:themeColor="accent4" w:themeTint="99"/>
        <w:insideH w:val="single" w:sz="2" w:space="0" w:color="AF60D2" w:themeColor="accent4" w:themeTint="99"/>
        <w:insideV w:val="single" w:sz="2" w:space="0" w:color="AF60D2" w:themeColor="accent4" w:themeTint="99"/>
      </w:tblBorders>
    </w:tblPr>
    <w:tblStylePr w:type="firstRow">
      <w:rPr>
        <w:b/>
        <w:bCs/>
      </w:rPr>
      <w:tblPr/>
      <w:tcPr>
        <w:tcBorders>
          <w:top w:val="nil"/>
          <w:bottom w:val="single" w:sz="12" w:space="0" w:color="AF60D2" w:themeColor="accent4" w:themeTint="99"/>
          <w:insideH w:val="nil"/>
          <w:insideV w:val="nil"/>
        </w:tcBorders>
        <w:shd w:val="clear" w:color="auto" w:fill="FFFFFF" w:themeFill="background1"/>
      </w:tcPr>
    </w:tblStylePr>
    <w:tblStylePr w:type="lastRow">
      <w:rPr>
        <w:b/>
        <w:bCs/>
      </w:rPr>
      <w:tblPr/>
      <w:tcPr>
        <w:tcBorders>
          <w:top w:val="double" w:sz="2" w:space="0" w:color="AF60D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CAF0" w:themeFill="accent4" w:themeFillTint="33"/>
      </w:tcPr>
    </w:tblStylePr>
    <w:tblStylePr w:type="band1Horz">
      <w:tblPr/>
      <w:tcPr>
        <w:shd w:val="clear" w:color="auto" w:fill="E4CAF0" w:themeFill="accent4" w:themeFillTint="33"/>
      </w:tcPr>
    </w:tblStylePr>
  </w:style>
  <w:style w:type="table" w:styleId="GridTable2-Accent5">
    <w:name w:val="Grid Table 2 Accent 5"/>
    <w:basedOn w:val="TableNormal"/>
    <w:uiPriority w:val="47"/>
    <w:rsid w:val="006135B1"/>
    <w:pPr>
      <w:spacing w:after="0" w:line="240" w:lineRule="auto"/>
    </w:pPr>
    <w:rPr>
      <w:rFonts w:eastAsia="Times New Roman" w:cs="Times New Roman"/>
      <w:sz w:val="20"/>
      <w:szCs w:val="20"/>
      <w:lang w:eastAsia="en-AU"/>
    </w:rPr>
    <w:tblPr>
      <w:tblStyleRowBandSize w:val="1"/>
      <w:tblStyleColBandSize w:val="1"/>
      <w:tblBorders>
        <w:top w:val="single" w:sz="2" w:space="0" w:color="63E18C" w:themeColor="accent5" w:themeTint="99"/>
        <w:bottom w:val="single" w:sz="2" w:space="0" w:color="63E18C" w:themeColor="accent5" w:themeTint="99"/>
        <w:insideH w:val="single" w:sz="2" w:space="0" w:color="63E18C" w:themeColor="accent5" w:themeTint="99"/>
        <w:insideV w:val="single" w:sz="2" w:space="0" w:color="63E18C" w:themeColor="accent5" w:themeTint="99"/>
      </w:tblBorders>
    </w:tblPr>
    <w:tblStylePr w:type="firstRow">
      <w:rPr>
        <w:b/>
        <w:bCs/>
      </w:rPr>
      <w:tblPr/>
      <w:tcPr>
        <w:tcBorders>
          <w:top w:val="nil"/>
          <w:bottom w:val="single" w:sz="12" w:space="0" w:color="63E18C" w:themeColor="accent5" w:themeTint="99"/>
          <w:insideH w:val="nil"/>
          <w:insideV w:val="nil"/>
        </w:tcBorders>
        <w:shd w:val="clear" w:color="auto" w:fill="FFFFFF" w:themeFill="background1"/>
      </w:tcPr>
    </w:tblStylePr>
    <w:tblStylePr w:type="lastRow">
      <w:rPr>
        <w:b/>
        <w:bCs/>
      </w:rPr>
      <w:tblPr/>
      <w:tcPr>
        <w:tcBorders>
          <w:top w:val="double" w:sz="2" w:space="0" w:color="63E18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F5D8" w:themeFill="accent5" w:themeFillTint="33"/>
      </w:tcPr>
    </w:tblStylePr>
    <w:tblStylePr w:type="band1Horz">
      <w:tblPr/>
      <w:tcPr>
        <w:shd w:val="clear" w:color="auto" w:fill="CBF5D8" w:themeFill="accent5" w:themeFillTint="33"/>
      </w:tcPr>
    </w:tblStylePr>
  </w:style>
  <w:style w:type="table" w:styleId="GridTable2-Accent6">
    <w:name w:val="Grid Table 2 Accent 6"/>
    <w:basedOn w:val="TableNormal"/>
    <w:uiPriority w:val="47"/>
    <w:rsid w:val="006135B1"/>
    <w:pPr>
      <w:spacing w:after="0" w:line="240" w:lineRule="auto"/>
    </w:pPr>
    <w:rPr>
      <w:rFonts w:eastAsia="Times New Roman" w:cs="Times New Roman"/>
      <w:sz w:val="20"/>
      <w:szCs w:val="20"/>
      <w:lang w:eastAsia="en-AU"/>
    </w:rPr>
    <w:tblPr>
      <w:tblStyleRowBandSize w:val="1"/>
      <w:tblStyleColBandSize w:val="1"/>
      <w:tblBorders>
        <w:top w:val="single" w:sz="2" w:space="0" w:color="3AC1FF" w:themeColor="accent6" w:themeTint="99"/>
        <w:bottom w:val="single" w:sz="2" w:space="0" w:color="3AC1FF" w:themeColor="accent6" w:themeTint="99"/>
        <w:insideH w:val="single" w:sz="2" w:space="0" w:color="3AC1FF" w:themeColor="accent6" w:themeTint="99"/>
        <w:insideV w:val="single" w:sz="2" w:space="0" w:color="3AC1FF" w:themeColor="accent6" w:themeTint="99"/>
      </w:tblBorders>
    </w:tblPr>
    <w:tblStylePr w:type="firstRow">
      <w:rPr>
        <w:b/>
        <w:bCs/>
      </w:rPr>
      <w:tblPr/>
      <w:tcPr>
        <w:tcBorders>
          <w:top w:val="nil"/>
          <w:bottom w:val="single" w:sz="12" w:space="0" w:color="3AC1FF" w:themeColor="accent6" w:themeTint="99"/>
          <w:insideH w:val="nil"/>
          <w:insideV w:val="nil"/>
        </w:tcBorders>
        <w:shd w:val="clear" w:color="auto" w:fill="FFFFFF" w:themeFill="background1"/>
      </w:tcPr>
    </w:tblStylePr>
    <w:tblStylePr w:type="lastRow">
      <w:rPr>
        <w:b/>
        <w:bCs/>
      </w:rPr>
      <w:tblPr/>
      <w:tcPr>
        <w:tcBorders>
          <w:top w:val="double" w:sz="2" w:space="0" w:color="3AC1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EAFF" w:themeFill="accent6" w:themeFillTint="33"/>
      </w:tcPr>
    </w:tblStylePr>
    <w:tblStylePr w:type="band1Horz">
      <w:tblPr/>
      <w:tcPr>
        <w:shd w:val="clear" w:color="auto" w:fill="BDEAFF" w:themeFill="accent6" w:themeFillTint="33"/>
      </w:tcPr>
    </w:tblStylePr>
  </w:style>
  <w:style w:type="table" w:styleId="GridTable3">
    <w:name w:val="Grid Table 3"/>
    <w:basedOn w:val="TableNormal"/>
    <w:uiPriority w:val="48"/>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E6E7E6" w:themeColor="accent1" w:themeTint="99"/>
        <w:left w:val="single" w:sz="4" w:space="0" w:color="E6E7E6" w:themeColor="accent1" w:themeTint="99"/>
        <w:bottom w:val="single" w:sz="4" w:space="0" w:color="E6E7E6" w:themeColor="accent1" w:themeTint="99"/>
        <w:right w:val="single" w:sz="4" w:space="0" w:color="E6E7E6" w:themeColor="accent1" w:themeTint="99"/>
        <w:insideH w:val="single" w:sz="4" w:space="0" w:color="E6E7E6" w:themeColor="accent1" w:themeTint="99"/>
        <w:insideV w:val="single" w:sz="4" w:space="0" w:color="E6E7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7F6" w:themeFill="accent1" w:themeFillTint="33"/>
      </w:tcPr>
    </w:tblStylePr>
    <w:tblStylePr w:type="band1Horz">
      <w:tblPr/>
      <w:tcPr>
        <w:shd w:val="clear" w:color="auto" w:fill="F6F7F6" w:themeFill="accent1" w:themeFillTint="33"/>
      </w:tcPr>
    </w:tblStylePr>
    <w:tblStylePr w:type="neCell">
      <w:tblPr/>
      <w:tcPr>
        <w:tcBorders>
          <w:bottom w:val="single" w:sz="4" w:space="0" w:color="E6E7E6" w:themeColor="accent1" w:themeTint="99"/>
        </w:tcBorders>
      </w:tcPr>
    </w:tblStylePr>
    <w:tblStylePr w:type="nwCell">
      <w:tblPr/>
      <w:tcPr>
        <w:tcBorders>
          <w:bottom w:val="single" w:sz="4" w:space="0" w:color="E6E7E6" w:themeColor="accent1" w:themeTint="99"/>
        </w:tcBorders>
      </w:tcPr>
    </w:tblStylePr>
    <w:tblStylePr w:type="seCell">
      <w:tblPr/>
      <w:tcPr>
        <w:tcBorders>
          <w:top w:val="single" w:sz="4" w:space="0" w:color="E6E7E6" w:themeColor="accent1" w:themeTint="99"/>
        </w:tcBorders>
      </w:tcPr>
    </w:tblStylePr>
    <w:tblStylePr w:type="swCell">
      <w:tblPr/>
      <w:tcPr>
        <w:tcBorders>
          <w:top w:val="single" w:sz="4" w:space="0" w:color="E6E7E6" w:themeColor="accent1" w:themeTint="99"/>
        </w:tcBorders>
      </w:tcPr>
    </w:tblStylePr>
  </w:style>
  <w:style w:type="table" w:styleId="GridTable3-Accent2">
    <w:name w:val="Grid Table 3 Accent 2"/>
    <w:basedOn w:val="TableNormal"/>
    <w:uiPriority w:val="48"/>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FFDC6B" w:themeColor="accent2" w:themeTint="99"/>
        <w:left w:val="single" w:sz="4" w:space="0" w:color="FFDC6B" w:themeColor="accent2" w:themeTint="99"/>
        <w:bottom w:val="single" w:sz="4" w:space="0" w:color="FFDC6B" w:themeColor="accent2" w:themeTint="99"/>
        <w:right w:val="single" w:sz="4" w:space="0" w:color="FFDC6B" w:themeColor="accent2" w:themeTint="99"/>
        <w:insideH w:val="single" w:sz="4" w:space="0" w:color="FFDC6B" w:themeColor="accent2" w:themeTint="99"/>
        <w:insideV w:val="single" w:sz="4" w:space="0" w:color="FFDC6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CD" w:themeFill="accent2" w:themeFillTint="33"/>
      </w:tcPr>
    </w:tblStylePr>
    <w:tblStylePr w:type="band1Horz">
      <w:tblPr/>
      <w:tcPr>
        <w:shd w:val="clear" w:color="auto" w:fill="FFF3CD" w:themeFill="accent2" w:themeFillTint="33"/>
      </w:tcPr>
    </w:tblStylePr>
    <w:tblStylePr w:type="neCell">
      <w:tblPr/>
      <w:tcPr>
        <w:tcBorders>
          <w:bottom w:val="single" w:sz="4" w:space="0" w:color="FFDC6B" w:themeColor="accent2" w:themeTint="99"/>
        </w:tcBorders>
      </w:tcPr>
    </w:tblStylePr>
    <w:tblStylePr w:type="nwCell">
      <w:tblPr/>
      <w:tcPr>
        <w:tcBorders>
          <w:bottom w:val="single" w:sz="4" w:space="0" w:color="FFDC6B" w:themeColor="accent2" w:themeTint="99"/>
        </w:tcBorders>
      </w:tcPr>
    </w:tblStylePr>
    <w:tblStylePr w:type="seCell">
      <w:tblPr/>
      <w:tcPr>
        <w:tcBorders>
          <w:top w:val="single" w:sz="4" w:space="0" w:color="FFDC6B" w:themeColor="accent2" w:themeTint="99"/>
        </w:tcBorders>
      </w:tcPr>
    </w:tblStylePr>
    <w:tblStylePr w:type="swCell">
      <w:tblPr/>
      <w:tcPr>
        <w:tcBorders>
          <w:top w:val="single" w:sz="4" w:space="0" w:color="FFDC6B" w:themeColor="accent2" w:themeTint="99"/>
        </w:tcBorders>
      </w:tcPr>
    </w:tblStylePr>
  </w:style>
  <w:style w:type="table" w:styleId="GridTable3-Accent3">
    <w:name w:val="Grid Table 3 Accent 3"/>
    <w:basedOn w:val="TableNormal"/>
    <w:uiPriority w:val="48"/>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EE6584" w:themeColor="accent3" w:themeTint="99"/>
        <w:left w:val="single" w:sz="4" w:space="0" w:color="EE6584" w:themeColor="accent3" w:themeTint="99"/>
        <w:bottom w:val="single" w:sz="4" w:space="0" w:color="EE6584" w:themeColor="accent3" w:themeTint="99"/>
        <w:right w:val="single" w:sz="4" w:space="0" w:color="EE6584" w:themeColor="accent3" w:themeTint="99"/>
        <w:insideH w:val="single" w:sz="4" w:space="0" w:color="EE6584" w:themeColor="accent3" w:themeTint="99"/>
        <w:insideV w:val="single" w:sz="4" w:space="0" w:color="EE658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BD6" w:themeFill="accent3" w:themeFillTint="33"/>
      </w:tcPr>
    </w:tblStylePr>
    <w:tblStylePr w:type="band1Horz">
      <w:tblPr/>
      <w:tcPr>
        <w:shd w:val="clear" w:color="auto" w:fill="F9CBD6" w:themeFill="accent3" w:themeFillTint="33"/>
      </w:tcPr>
    </w:tblStylePr>
    <w:tblStylePr w:type="neCell">
      <w:tblPr/>
      <w:tcPr>
        <w:tcBorders>
          <w:bottom w:val="single" w:sz="4" w:space="0" w:color="EE6584" w:themeColor="accent3" w:themeTint="99"/>
        </w:tcBorders>
      </w:tcPr>
    </w:tblStylePr>
    <w:tblStylePr w:type="nwCell">
      <w:tblPr/>
      <w:tcPr>
        <w:tcBorders>
          <w:bottom w:val="single" w:sz="4" w:space="0" w:color="EE6584" w:themeColor="accent3" w:themeTint="99"/>
        </w:tcBorders>
      </w:tcPr>
    </w:tblStylePr>
    <w:tblStylePr w:type="seCell">
      <w:tblPr/>
      <w:tcPr>
        <w:tcBorders>
          <w:top w:val="single" w:sz="4" w:space="0" w:color="EE6584" w:themeColor="accent3" w:themeTint="99"/>
        </w:tcBorders>
      </w:tcPr>
    </w:tblStylePr>
    <w:tblStylePr w:type="swCell">
      <w:tblPr/>
      <w:tcPr>
        <w:tcBorders>
          <w:top w:val="single" w:sz="4" w:space="0" w:color="EE6584" w:themeColor="accent3" w:themeTint="99"/>
        </w:tcBorders>
      </w:tcPr>
    </w:tblStylePr>
  </w:style>
  <w:style w:type="table" w:styleId="GridTable3-Accent4">
    <w:name w:val="Grid Table 3 Accent 4"/>
    <w:basedOn w:val="TableNormal"/>
    <w:uiPriority w:val="48"/>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AF60D2" w:themeColor="accent4" w:themeTint="99"/>
        <w:left w:val="single" w:sz="4" w:space="0" w:color="AF60D2" w:themeColor="accent4" w:themeTint="99"/>
        <w:bottom w:val="single" w:sz="4" w:space="0" w:color="AF60D2" w:themeColor="accent4" w:themeTint="99"/>
        <w:right w:val="single" w:sz="4" w:space="0" w:color="AF60D2" w:themeColor="accent4" w:themeTint="99"/>
        <w:insideH w:val="single" w:sz="4" w:space="0" w:color="AF60D2" w:themeColor="accent4" w:themeTint="99"/>
        <w:insideV w:val="single" w:sz="4" w:space="0" w:color="AF60D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CAF0" w:themeFill="accent4" w:themeFillTint="33"/>
      </w:tcPr>
    </w:tblStylePr>
    <w:tblStylePr w:type="band1Horz">
      <w:tblPr/>
      <w:tcPr>
        <w:shd w:val="clear" w:color="auto" w:fill="E4CAF0" w:themeFill="accent4" w:themeFillTint="33"/>
      </w:tcPr>
    </w:tblStylePr>
    <w:tblStylePr w:type="neCell">
      <w:tblPr/>
      <w:tcPr>
        <w:tcBorders>
          <w:bottom w:val="single" w:sz="4" w:space="0" w:color="AF60D2" w:themeColor="accent4" w:themeTint="99"/>
        </w:tcBorders>
      </w:tcPr>
    </w:tblStylePr>
    <w:tblStylePr w:type="nwCell">
      <w:tblPr/>
      <w:tcPr>
        <w:tcBorders>
          <w:bottom w:val="single" w:sz="4" w:space="0" w:color="AF60D2" w:themeColor="accent4" w:themeTint="99"/>
        </w:tcBorders>
      </w:tcPr>
    </w:tblStylePr>
    <w:tblStylePr w:type="seCell">
      <w:tblPr/>
      <w:tcPr>
        <w:tcBorders>
          <w:top w:val="single" w:sz="4" w:space="0" w:color="AF60D2" w:themeColor="accent4" w:themeTint="99"/>
        </w:tcBorders>
      </w:tcPr>
    </w:tblStylePr>
    <w:tblStylePr w:type="swCell">
      <w:tblPr/>
      <w:tcPr>
        <w:tcBorders>
          <w:top w:val="single" w:sz="4" w:space="0" w:color="AF60D2" w:themeColor="accent4" w:themeTint="99"/>
        </w:tcBorders>
      </w:tcPr>
    </w:tblStylePr>
  </w:style>
  <w:style w:type="table" w:styleId="GridTable3-Accent5">
    <w:name w:val="Grid Table 3 Accent 5"/>
    <w:basedOn w:val="TableNormal"/>
    <w:uiPriority w:val="48"/>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63E18C" w:themeColor="accent5" w:themeTint="99"/>
        <w:left w:val="single" w:sz="4" w:space="0" w:color="63E18C" w:themeColor="accent5" w:themeTint="99"/>
        <w:bottom w:val="single" w:sz="4" w:space="0" w:color="63E18C" w:themeColor="accent5" w:themeTint="99"/>
        <w:right w:val="single" w:sz="4" w:space="0" w:color="63E18C" w:themeColor="accent5" w:themeTint="99"/>
        <w:insideH w:val="single" w:sz="4" w:space="0" w:color="63E18C" w:themeColor="accent5" w:themeTint="99"/>
        <w:insideV w:val="single" w:sz="4" w:space="0" w:color="63E18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F5D8" w:themeFill="accent5" w:themeFillTint="33"/>
      </w:tcPr>
    </w:tblStylePr>
    <w:tblStylePr w:type="band1Horz">
      <w:tblPr/>
      <w:tcPr>
        <w:shd w:val="clear" w:color="auto" w:fill="CBF5D8" w:themeFill="accent5" w:themeFillTint="33"/>
      </w:tcPr>
    </w:tblStylePr>
    <w:tblStylePr w:type="neCell">
      <w:tblPr/>
      <w:tcPr>
        <w:tcBorders>
          <w:bottom w:val="single" w:sz="4" w:space="0" w:color="63E18C" w:themeColor="accent5" w:themeTint="99"/>
        </w:tcBorders>
      </w:tcPr>
    </w:tblStylePr>
    <w:tblStylePr w:type="nwCell">
      <w:tblPr/>
      <w:tcPr>
        <w:tcBorders>
          <w:bottom w:val="single" w:sz="4" w:space="0" w:color="63E18C" w:themeColor="accent5" w:themeTint="99"/>
        </w:tcBorders>
      </w:tcPr>
    </w:tblStylePr>
    <w:tblStylePr w:type="seCell">
      <w:tblPr/>
      <w:tcPr>
        <w:tcBorders>
          <w:top w:val="single" w:sz="4" w:space="0" w:color="63E18C" w:themeColor="accent5" w:themeTint="99"/>
        </w:tcBorders>
      </w:tcPr>
    </w:tblStylePr>
    <w:tblStylePr w:type="swCell">
      <w:tblPr/>
      <w:tcPr>
        <w:tcBorders>
          <w:top w:val="single" w:sz="4" w:space="0" w:color="63E18C" w:themeColor="accent5" w:themeTint="99"/>
        </w:tcBorders>
      </w:tcPr>
    </w:tblStylePr>
  </w:style>
  <w:style w:type="table" w:styleId="GridTable3-Accent6">
    <w:name w:val="Grid Table 3 Accent 6"/>
    <w:basedOn w:val="TableNormal"/>
    <w:uiPriority w:val="48"/>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3AC1FF" w:themeColor="accent6" w:themeTint="99"/>
        <w:left w:val="single" w:sz="4" w:space="0" w:color="3AC1FF" w:themeColor="accent6" w:themeTint="99"/>
        <w:bottom w:val="single" w:sz="4" w:space="0" w:color="3AC1FF" w:themeColor="accent6" w:themeTint="99"/>
        <w:right w:val="single" w:sz="4" w:space="0" w:color="3AC1FF" w:themeColor="accent6" w:themeTint="99"/>
        <w:insideH w:val="single" w:sz="4" w:space="0" w:color="3AC1FF" w:themeColor="accent6" w:themeTint="99"/>
        <w:insideV w:val="single" w:sz="4" w:space="0" w:color="3AC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AFF" w:themeFill="accent6" w:themeFillTint="33"/>
      </w:tcPr>
    </w:tblStylePr>
    <w:tblStylePr w:type="band1Horz">
      <w:tblPr/>
      <w:tcPr>
        <w:shd w:val="clear" w:color="auto" w:fill="BDEAFF" w:themeFill="accent6" w:themeFillTint="33"/>
      </w:tcPr>
    </w:tblStylePr>
    <w:tblStylePr w:type="neCell">
      <w:tblPr/>
      <w:tcPr>
        <w:tcBorders>
          <w:bottom w:val="single" w:sz="4" w:space="0" w:color="3AC1FF" w:themeColor="accent6" w:themeTint="99"/>
        </w:tcBorders>
      </w:tcPr>
    </w:tblStylePr>
    <w:tblStylePr w:type="nwCell">
      <w:tblPr/>
      <w:tcPr>
        <w:tcBorders>
          <w:bottom w:val="single" w:sz="4" w:space="0" w:color="3AC1FF" w:themeColor="accent6" w:themeTint="99"/>
        </w:tcBorders>
      </w:tcPr>
    </w:tblStylePr>
    <w:tblStylePr w:type="seCell">
      <w:tblPr/>
      <w:tcPr>
        <w:tcBorders>
          <w:top w:val="single" w:sz="4" w:space="0" w:color="3AC1FF" w:themeColor="accent6" w:themeTint="99"/>
        </w:tcBorders>
      </w:tcPr>
    </w:tblStylePr>
    <w:tblStylePr w:type="swCell">
      <w:tblPr/>
      <w:tcPr>
        <w:tcBorders>
          <w:top w:val="single" w:sz="4" w:space="0" w:color="3AC1FF" w:themeColor="accent6" w:themeTint="99"/>
        </w:tcBorders>
      </w:tcPr>
    </w:tblStylePr>
  </w:style>
  <w:style w:type="table" w:styleId="GridTable4">
    <w:name w:val="Grid Table 4"/>
    <w:basedOn w:val="TableNormal"/>
    <w:uiPriority w:val="49"/>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E6E7E6" w:themeColor="accent1" w:themeTint="99"/>
        <w:left w:val="single" w:sz="4" w:space="0" w:color="E6E7E6" w:themeColor="accent1" w:themeTint="99"/>
        <w:bottom w:val="single" w:sz="4" w:space="0" w:color="E6E7E6" w:themeColor="accent1" w:themeTint="99"/>
        <w:right w:val="single" w:sz="4" w:space="0" w:color="E6E7E6" w:themeColor="accent1" w:themeTint="99"/>
        <w:insideH w:val="single" w:sz="4" w:space="0" w:color="E6E7E6" w:themeColor="accent1" w:themeTint="99"/>
        <w:insideV w:val="single" w:sz="4" w:space="0" w:color="E6E7E6" w:themeColor="accent1" w:themeTint="99"/>
      </w:tblBorders>
    </w:tblPr>
    <w:tblStylePr w:type="firstRow">
      <w:rPr>
        <w:b/>
        <w:bCs/>
        <w:color w:val="FFFFFF" w:themeColor="background1"/>
      </w:rPr>
      <w:tblPr/>
      <w:tcPr>
        <w:tcBorders>
          <w:top w:val="single" w:sz="4" w:space="0" w:color="D7D8D6" w:themeColor="accent1"/>
          <w:left w:val="single" w:sz="4" w:space="0" w:color="D7D8D6" w:themeColor="accent1"/>
          <w:bottom w:val="single" w:sz="4" w:space="0" w:color="D7D8D6" w:themeColor="accent1"/>
          <w:right w:val="single" w:sz="4" w:space="0" w:color="D7D8D6" w:themeColor="accent1"/>
          <w:insideH w:val="nil"/>
          <w:insideV w:val="nil"/>
        </w:tcBorders>
        <w:shd w:val="clear" w:color="auto" w:fill="D7D8D6" w:themeFill="accent1"/>
      </w:tcPr>
    </w:tblStylePr>
    <w:tblStylePr w:type="lastRow">
      <w:rPr>
        <w:b/>
        <w:bCs/>
      </w:rPr>
      <w:tblPr/>
      <w:tcPr>
        <w:tcBorders>
          <w:top w:val="double" w:sz="4" w:space="0" w:color="D7D8D6" w:themeColor="accent1"/>
        </w:tcBorders>
      </w:tcPr>
    </w:tblStylePr>
    <w:tblStylePr w:type="firstCol">
      <w:rPr>
        <w:b/>
        <w:bCs/>
      </w:rPr>
    </w:tblStylePr>
    <w:tblStylePr w:type="lastCol">
      <w:rPr>
        <w:b/>
        <w:bCs/>
      </w:rPr>
    </w:tblStylePr>
    <w:tblStylePr w:type="band1Vert">
      <w:tblPr/>
      <w:tcPr>
        <w:shd w:val="clear" w:color="auto" w:fill="F6F7F6" w:themeFill="accent1" w:themeFillTint="33"/>
      </w:tcPr>
    </w:tblStylePr>
    <w:tblStylePr w:type="band1Horz">
      <w:tblPr/>
      <w:tcPr>
        <w:shd w:val="clear" w:color="auto" w:fill="F6F7F6" w:themeFill="accent1" w:themeFillTint="33"/>
      </w:tcPr>
    </w:tblStylePr>
  </w:style>
  <w:style w:type="table" w:styleId="GridTable4-Accent2">
    <w:name w:val="Grid Table 4 Accent 2"/>
    <w:basedOn w:val="TableNormal"/>
    <w:uiPriority w:val="49"/>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FFDC6B" w:themeColor="accent2" w:themeTint="99"/>
        <w:left w:val="single" w:sz="4" w:space="0" w:color="FFDC6B" w:themeColor="accent2" w:themeTint="99"/>
        <w:bottom w:val="single" w:sz="4" w:space="0" w:color="FFDC6B" w:themeColor="accent2" w:themeTint="99"/>
        <w:right w:val="single" w:sz="4" w:space="0" w:color="FFDC6B" w:themeColor="accent2" w:themeTint="99"/>
        <w:insideH w:val="single" w:sz="4" w:space="0" w:color="FFDC6B" w:themeColor="accent2" w:themeTint="99"/>
        <w:insideV w:val="single" w:sz="4" w:space="0" w:color="FFDC6B" w:themeColor="accent2" w:themeTint="99"/>
      </w:tblBorders>
    </w:tblPr>
    <w:tblStylePr w:type="firstRow">
      <w:rPr>
        <w:b/>
        <w:bCs/>
        <w:color w:val="FFFFFF" w:themeColor="background1"/>
      </w:rPr>
      <w:tblPr/>
      <w:tcPr>
        <w:tcBorders>
          <w:top w:val="single" w:sz="4" w:space="0" w:color="FFC709" w:themeColor="accent2"/>
          <w:left w:val="single" w:sz="4" w:space="0" w:color="FFC709" w:themeColor="accent2"/>
          <w:bottom w:val="single" w:sz="4" w:space="0" w:color="FFC709" w:themeColor="accent2"/>
          <w:right w:val="single" w:sz="4" w:space="0" w:color="FFC709" w:themeColor="accent2"/>
          <w:insideH w:val="nil"/>
          <w:insideV w:val="nil"/>
        </w:tcBorders>
        <w:shd w:val="clear" w:color="auto" w:fill="FFC709" w:themeFill="accent2"/>
      </w:tcPr>
    </w:tblStylePr>
    <w:tblStylePr w:type="lastRow">
      <w:rPr>
        <w:b/>
        <w:bCs/>
      </w:rPr>
      <w:tblPr/>
      <w:tcPr>
        <w:tcBorders>
          <w:top w:val="double" w:sz="4" w:space="0" w:color="FFC709" w:themeColor="accent2"/>
        </w:tcBorders>
      </w:tcPr>
    </w:tblStylePr>
    <w:tblStylePr w:type="firstCol">
      <w:rPr>
        <w:b/>
        <w:bCs/>
      </w:rPr>
    </w:tblStylePr>
    <w:tblStylePr w:type="lastCol">
      <w:rPr>
        <w:b/>
        <w:bCs/>
      </w:rPr>
    </w:tblStylePr>
    <w:tblStylePr w:type="band1Vert">
      <w:tblPr/>
      <w:tcPr>
        <w:shd w:val="clear" w:color="auto" w:fill="FFF3CD" w:themeFill="accent2" w:themeFillTint="33"/>
      </w:tcPr>
    </w:tblStylePr>
    <w:tblStylePr w:type="band1Horz">
      <w:tblPr/>
      <w:tcPr>
        <w:shd w:val="clear" w:color="auto" w:fill="FFF3CD" w:themeFill="accent2" w:themeFillTint="33"/>
      </w:tcPr>
    </w:tblStylePr>
  </w:style>
  <w:style w:type="table" w:styleId="GridTable4-Accent3">
    <w:name w:val="Grid Table 4 Accent 3"/>
    <w:basedOn w:val="TableNormal"/>
    <w:uiPriority w:val="49"/>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EE6584" w:themeColor="accent3" w:themeTint="99"/>
        <w:left w:val="single" w:sz="4" w:space="0" w:color="EE6584" w:themeColor="accent3" w:themeTint="99"/>
        <w:bottom w:val="single" w:sz="4" w:space="0" w:color="EE6584" w:themeColor="accent3" w:themeTint="99"/>
        <w:right w:val="single" w:sz="4" w:space="0" w:color="EE6584" w:themeColor="accent3" w:themeTint="99"/>
        <w:insideH w:val="single" w:sz="4" w:space="0" w:color="EE6584" w:themeColor="accent3" w:themeTint="99"/>
        <w:insideV w:val="single" w:sz="4" w:space="0" w:color="EE6584" w:themeColor="accent3" w:themeTint="99"/>
      </w:tblBorders>
    </w:tblPr>
    <w:tblStylePr w:type="firstRow">
      <w:rPr>
        <w:b/>
        <w:bCs/>
        <w:color w:val="FFFFFF" w:themeColor="background1"/>
      </w:rPr>
      <w:tblPr/>
      <w:tcPr>
        <w:tcBorders>
          <w:top w:val="single" w:sz="4" w:space="0" w:color="CD163F" w:themeColor="accent3"/>
          <w:left w:val="single" w:sz="4" w:space="0" w:color="CD163F" w:themeColor="accent3"/>
          <w:bottom w:val="single" w:sz="4" w:space="0" w:color="CD163F" w:themeColor="accent3"/>
          <w:right w:val="single" w:sz="4" w:space="0" w:color="CD163F" w:themeColor="accent3"/>
          <w:insideH w:val="nil"/>
          <w:insideV w:val="nil"/>
        </w:tcBorders>
        <w:shd w:val="clear" w:color="auto" w:fill="CD163F" w:themeFill="accent3"/>
      </w:tcPr>
    </w:tblStylePr>
    <w:tblStylePr w:type="lastRow">
      <w:rPr>
        <w:b/>
        <w:bCs/>
      </w:rPr>
      <w:tblPr/>
      <w:tcPr>
        <w:tcBorders>
          <w:top w:val="double" w:sz="4" w:space="0" w:color="CD163F" w:themeColor="accent3"/>
        </w:tcBorders>
      </w:tcPr>
    </w:tblStylePr>
    <w:tblStylePr w:type="firstCol">
      <w:rPr>
        <w:b/>
        <w:bCs/>
      </w:rPr>
    </w:tblStylePr>
    <w:tblStylePr w:type="lastCol">
      <w:rPr>
        <w:b/>
        <w:bCs/>
      </w:rPr>
    </w:tblStylePr>
    <w:tblStylePr w:type="band1Vert">
      <w:tblPr/>
      <w:tcPr>
        <w:shd w:val="clear" w:color="auto" w:fill="F9CBD6" w:themeFill="accent3" w:themeFillTint="33"/>
      </w:tcPr>
    </w:tblStylePr>
    <w:tblStylePr w:type="band1Horz">
      <w:tblPr/>
      <w:tcPr>
        <w:shd w:val="clear" w:color="auto" w:fill="F9CBD6" w:themeFill="accent3" w:themeFillTint="33"/>
      </w:tcPr>
    </w:tblStylePr>
  </w:style>
  <w:style w:type="table" w:styleId="GridTable4-Accent4">
    <w:name w:val="Grid Table 4 Accent 4"/>
    <w:basedOn w:val="TableNormal"/>
    <w:uiPriority w:val="49"/>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AF60D2" w:themeColor="accent4" w:themeTint="99"/>
        <w:left w:val="single" w:sz="4" w:space="0" w:color="AF60D2" w:themeColor="accent4" w:themeTint="99"/>
        <w:bottom w:val="single" w:sz="4" w:space="0" w:color="AF60D2" w:themeColor="accent4" w:themeTint="99"/>
        <w:right w:val="single" w:sz="4" w:space="0" w:color="AF60D2" w:themeColor="accent4" w:themeTint="99"/>
        <w:insideH w:val="single" w:sz="4" w:space="0" w:color="AF60D2" w:themeColor="accent4" w:themeTint="99"/>
        <w:insideV w:val="single" w:sz="4" w:space="0" w:color="AF60D2" w:themeColor="accent4" w:themeTint="99"/>
      </w:tblBorders>
    </w:tblPr>
    <w:tblStylePr w:type="firstRow">
      <w:rPr>
        <w:b/>
        <w:bCs/>
        <w:color w:val="FFFFFF" w:themeColor="background1"/>
      </w:rPr>
      <w:tblPr/>
      <w:tcPr>
        <w:tcBorders>
          <w:top w:val="single" w:sz="4" w:space="0" w:color="692686" w:themeColor="accent4"/>
          <w:left w:val="single" w:sz="4" w:space="0" w:color="692686" w:themeColor="accent4"/>
          <w:bottom w:val="single" w:sz="4" w:space="0" w:color="692686" w:themeColor="accent4"/>
          <w:right w:val="single" w:sz="4" w:space="0" w:color="692686" w:themeColor="accent4"/>
          <w:insideH w:val="nil"/>
          <w:insideV w:val="nil"/>
        </w:tcBorders>
        <w:shd w:val="clear" w:color="auto" w:fill="692686" w:themeFill="accent4"/>
      </w:tcPr>
    </w:tblStylePr>
    <w:tblStylePr w:type="lastRow">
      <w:rPr>
        <w:b/>
        <w:bCs/>
      </w:rPr>
      <w:tblPr/>
      <w:tcPr>
        <w:tcBorders>
          <w:top w:val="double" w:sz="4" w:space="0" w:color="692686" w:themeColor="accent4"/>
        </w:tcBorders>
      </w:tcPr>
    </w:tblStylePr>
    <w:tblStylePr w:type="firstCol">
      <w:rPr>
        <w:b/>
        <w:bCs/>
      </w:rPr>
    </w:tblStylePr>
    <w:tblStylePr w:type="lastCol">
      <w:rPr>
        <w:b/>
        <w:bCs/>
      </w:rPr>
    </w:tblStylePr>
    <w:tblStylePr w:type="band1Vert">
      <w:tblPr/>
      <w:tcPr>
        <w:shd w:val="clear" w:color="auto" w:fill="E4CAF0" w:themeFill="accent4" w:themeFillTint="33"/>
      </w:tcPr>
    </w:tblStylePr>
    <w:tblStylePr w:type="band1Horz">
      <w:tblPr/>
      <w:tcPr>
        <w:shd w:val="clear" w:color="auto" w:fill="E4CAF0" w:themeFill="accent4" w:themeFillTint="33"/>
      </w:tcPr>
    </w:tblStylePr>
  </w:style>
  <w:style w:type="table" w:styleId="GridTable4-Accent5">
    <w:name w:val="Grid Table 4 Accent 5"/>
    <w:basedOn w:val="TableNormal"/>
    <w:uiPriority w:val="49"/>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63E18C" w:themeColor="accent5" w:themeTint="99"/>
        <w:left w:val="single" w:sz="4" w:space="0" w:color="63E18C" w:themeColor="accent5" w:themeTint="99"/>
        <w:bottom w:val="single" w:sz="4" w:space="0" w:color="63E18C" w:themeColor="accent5" w:themeTint="99"/>
        <w:right w:val="single" w:sz="4" w:space="0" w:color="63E18C" w:themeColor="accent5" w:themeTint="99"/>
        <w:insideH w:val="single" w:sz="4" w:space="0" w:color="63E18C" w:themeColor="accent5" w:themeTint="99"/>
        <w:insideV w:val="single" w:sz="4" w:space="0" w:color="63E18C" w:themeColor="accent5" w:themeTint="99"/>
      </w:tblBorders>
    </w:tblPr>
    <w:tblStylePr w:type="firstRow">
      <w:rPr>
        <w:b/>
        <w:bCs/>
        <w:color w:val="FFFFFF" w:themeColor="background1"/>
      </w:rPr>
      <w:tblPr/>
      <w:tcPr>
        <w:tcBorders>
          <w:top w:val="single" w:sz="4" w:space="0" w:color="20AA4D" w:themeColor="accent5"/>
          <w:left w:val="single" w:sz="4" w:space="0" w:color="20AA4D" w:themeColor="accent5"/>
          <w:bottom w:val="single" w:sz="4" w:space="0" w:color="20AA4D" w:themeColor="accent5"/>
          <w:right w:val="single" w:sz="4" w:space="0" w:color="20AA4D" w:themeColor="accent5"/>
          <w:insideH w:val="nil"/>
          <w:insideV w:val="nil"/>
        </w:tcBorders>
        <w:shd w:val="clear" w:color="auto" w:fill="20AA4D" w:themeFill="accent5"/>
      </w:tcPr>
    </w:tblStylePr>
    <w:tblStylePr w:type="lastRow">
      <w:rPr>
        <w:b/>
        <w:bCs/>
      </w:rPr>
      <w:tblPr/>
      <w:tcPr>
        <w:tcBorders>
          <w:top w:val="double" w:sz="4" w:space="0" w:color="20AA4D" w:themeColor="accent5"/>
        </w:tcBorders>
      </w:tcPr>
    </w:tblStylePr>
    <w:tblStylePr w:type="firstCol">
      <w:rPr>
        <w:b/>
        <w:bCs/>
      </w:rPr>
    </w:tblStylePr>
    <w:tblStylePr w:type="lastCol">
      <w:rPr>
        <w:b/>
        <w:bCs/>
      </w:rPr>
    </w:tblStylePr>
    <w:tblStylePr w:type="band1Vert">
      <w:tblPr/>
      <w:tcPr>
        <w:shd w:val="clear" w:color="auto" w:fill="CBF5D8" w:themeFill="accent5" w:themeFillTint="33"/>
      </w:tcPr>
    </w:tblStylePr>
    <w:tblStylePr w:type="band1Horz">
      <w:tblPr/>
      <w:tcPr>
        <w:shd w:val="clear" w:color="auto" w:fill="CBF5D8" w:themeFill="accent5" w:themeFillTint="33"/>
      </w:tcPr>
    </w:tblStylePr>
  </w:style>
  <w:style w:type="table" w:styleId="GridTable4-Accent6">
    <w:name w:val="Grid Table 4 Accent 6"/>
    <w:basedOn w:val="TableNormal"/>
    <w:uiPriority w:val="49"/>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3AC1FF" w:themeColor="accent6" w:themeTint="99"/>
        <w:left w:val="single" w:sz="4" w:space="0" w:color="3AC1FF" w:themeColor="accent6" w:themeTint="99"/>
        <w:bottom w:val="single" w:sz="4" w:space="0" w:color="3AC1FF" w:themeColor="accent6" w:themeTint="99"/>
        <w:right w:val="single" w:sz="4" w:space="0" w:color="3AC1FF" w:themeColor="accent6" w:themeTint="99"/>
        <w:insideH w:val="single" w:sz="4" w:space="0" w:color="3AC1FF" w:themeColor="accent6" w:themeTint="99"/>
        <w:insideV w:val="single" w:sz="4" w:space="0" w:color="3AC1FF" w:themeColor="accent6" w:themeTint="99"/>
      </w:tblBorders>
    </w:tblPr>
    <w:tblStylePr w:type="firstRow">
      <w:rPr>
        <w:b/>
        <w:bCs/>
        <w:color w:val="FFFFFF" w:themeColor="background1"/>
      </w:rPr>
      <w:tblPr/>
      <w:tcPr>
        <w:tcBorders>
          <w:top w:val="single" w:sz="4" w:space="0" w:color="007DB6" w:themeColor="accent6"/>
          <w:left w:val="single" w:sz="4" w:space="0" w:color="007DB6" w:themeColor="accent6"/>
          <w:bottom w:val="single" w:sz="4" w:space="0" w:color="007DB6" w:themeColor="accent6"/>
          <w:right w:val="single" w:sz="4" w:space="0" w:color="007DB6" w:themeColor="accent6"/>
          <w:insideH w:val="nil"/>
          <w:insideV w:val="nil"/>
        </w:tcBorders>
        <w:shd w:val="clear" w:color="auto" w:fill="007DB6" w:themeFill="accent6"/>
      </w:tcPr>
    </w:tblStylePr>
    <w:tblStylePr w:type="lastRow">
      <w:rPr>
        <w:b/>
        <w:bCs/>
      </w:rPr>
      <w:tblPr/>
      <w:tcPr>
        <w:tcBorders>
          <w:top w:val="double" w:sz="4" w:space="0" w:color="007DB6" w:themeColor="accent6"/>
        </w:tcBorders>
      </w:tcPr>
    </w:tblStylePr>
    <w:tblStylePr w:type="firstCol">
      <w:rPr>
        <w:b/>
        <w:bCs/>
      </w:rPr>
    </w:tblStylePr>
    <w:tblStylePr w:type="lastCol">
      <w:rPr>
        <w:b/>
        <w:bCs/>
      </w:rPr>
    </w:tblStylePr>
    <w:tblStylePr w:type="band1Vert">
      <w:tblPr/>
      <w:tcPr>
        <w:shd w:val="clear" w:color="auto" w:fill="BDEAFF" w:themeFill="accent6" w:themeFillTint="33"/>
      </w:tcPr>
    </w:tblStylePr>
    <w:tblStylePr w:type="band1Horz">
      <w:tblPr/>
      <w:tcPr>
        <w:shd w:val="clear" w:color="auto" w:fill="BDEAFF" w:themeFill="accent6" w:themeFillTint="33"/>
      </w:tcPr>
    </w:tblStylePr>
  </w:style>
  <w:style w:type="table" w:styleId="GridTable5Dark">
    <w:name w:val="Grid Table 5 Dark"/>
    <w:basedOn w:val="TableNormal"/>
    <w:uiPriority w:val="50"/>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7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7D8D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7D8D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7D8D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7D8D6" w:themeFill="accent1"/>
      </w:tcPr>
    </w:tblStylePr>
    <w:tblStylePr w:type="band1Vert">
      <w:tblPr/>
      <w:tcPr>
        <w:shd w:val="clear" w:color="auto" w:fill="EEEFEE" w:themeFill="accent1" w:themeFillTint="66"/>
      </w:tcPr>
    </w:tblStylePr>
    <w:tblStylePr w:type="band1Horz">
      <w:tblPr/>
      <w:tcPr>
        <w:shd w:val="clear" w:color="auto" w:fill="EEEFEE" w:themeFill="accent1" w:themeFillTint="66"/>
      </w:tcPr>
    </w:tblStylePr>
  </w:style>
  <w:style w:type="table" w:styleId="GridTable5Dark-Accent2">
    <w:name w:val="Grid Table 5 Dark Accent 2"/>
    <w:basedOn w:val="TableNormal"/>
    <w:uiPriority w:val="50"/>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3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70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70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70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709" w:themeFill="accent2"/>
      </w:tcPr>
    </w:tblStylePr>
    <w:tblStylePr w:type="band1Vert">
      <w:tblPr/>
      <w:tcPr>
        <w:shd w:val="clear" w:color="auto" w:fill="FFE89C" w:themeFill="accent2" w:themeFillTint="66"/>
      </w:tcPr>
    </w:tblStylePr>
    <w:tblStylePr w:type="band1Horz">
      <w:tblPr/>
      <w:tcPr>
        <w:shd w:val="clear" w:color="auto" w:fill="FFE89C" w:themeFill="accent2" w:themeFillTint="66"/>
      </w:tcPr>
    </w:tblStylePr>
  </w:style>
  <w:style w:type="table" w:styleId="GridTable5Dark-Accent3">
    <w:name w:val="Grid Table 5 Dark Accent 3"/>
    <w:basedOn w:val="TableNormal"/>
    <w:uiPriority w:val="50"/>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BD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163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163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163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163F" w:themeFill="accent3"/>
      </w:tcPr>
    </w:tblStylePr>
    <w:tblStylePr w:type="band1Vert">
      <w:tblPr/>
      <w:tcPr>
        <w:shd w:val="clear" w:color="auto" w:fill="F498AD" w:themeFill="accent3" w:themeFillTint="66"/>
      </w:tcPr>
    </w:tblStylePr>
    <w:tblStylePr w:type="band1Horz">
      <w:tblPr/>
      <w:tcPr>
        <w:shd w:val="clear" w:color="auto" w:fill="F498AD" w:themeFill="accent3" w:themeFillTint="66"/>
      </w:tcPr>
    </w:tblStylePr>
  </w:style>
  <w:style w:type="table" w:styleId="GridTable5Dark-Accent4">
    <w:name w:val="Grid Table 5 Dark Accent 4"/>
    <w:basedOn w:val="TableNormal"/>
    <w:uiPriority w:val="50"/>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CA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9268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9268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9268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92686" w:themeFill="accent4"/>
      </w:tcPr>
    </w:tblStylePr>
    <w:tblStylePr w:type="band1Vert">
      <w:tblPr/>
      <w:tcPr>
        <w:shd w:val="clear" w:color="auto" w:fill="CA95E1" w:themeFill="accent4" w:themeFillTint="66"/>
      </w:tcPr>
    </w:tblStylePr>
    <w:tblStylePr w:type="band1Horz">
      <w:tblPr/>
      <w:tcPr>
        <w:shd w:val="clear" w:color="auto" w:fill="CA95E1" w:themeFill="accent4" w:themeFillTint="66"/>
      </w:tcPr>
    </w:tblStylePr>
  </w:style>
  <w:style w:type="table" w:styleId="GridTable5Dark-Accent5">
    <w:name w:val="Grid Table 5 Dark Accent 5"/>
    <w:basedOn w:val="TableNormal"/>
    <w:uiPriority w:val="50"/>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F5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AA4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AA4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AA4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AA4D" w:themeFill="accent5"/>
      </w:tcPr>
    </w:tblStylePr>
    <w:tblStylePr w:type="band1Vert">
      <w:tblPr/>
      <w:tcPr>
        <w:shd w:val="clear" w:color="auto" w:fill="97EBB2" w:themeFill="accent5" w:themeFillTint="66"/>
      </w:tcPr>
    </w:tblStylePr>
    <w:tblStylePr w:type="band1Horz">
      <w:tblPr/>
      <w:tcPr>
        <w:shd w:val="clear" w:color="auto" w:fill="97EBB2" w:themeFill="accent5" w:themeFillTint="66"/>
      </w:tcPr>
    </w:tblStylePr>
  </w:style>
  <w:style w:type="table" w:styleId="GridTable5Dark-Accent6">
    <w:name w:val="Grid Table 5 Dark Accent 6"/>
    <w:basedOn w:val="TableNormal"/>
    <w:uiPriority w:val="50"/>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A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DB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DB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DB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DB6" w:themeFill="accent6"/>
      </w:tcPr>
    </w:tblStylePr>
    <w:tblStylePr w:type="band1Vert">
      <w:tblPr/>
      <w:tcPr>
        <w:shd w:val="clear" w:color="auto" w:fill="7BD5FF" w:themeFill="accent6" w:themeFillTint="66"/>
      </w:tcPr>
    </w:tblStylePr>
    <w:tblStylePr w:type="band1Horz">
      <w:tblPr/>
      <w:tcPr>
        <w:shd w:val="clear" w:color="auto" w:fill="7BD5FF" w:themeFill="accent6" w:themeFillTint="66"/>
      </w:tcPr>
    </w:tblStylePr>
  </w:style>
  <w:style w:type="table" w:styleId="GridTable6Colorful">
    <w:name w:val="Grid Table 6 Colorful"/>
    <w:basedOn w:val="TableNormal"/>
    <w:uiPriority w:val="51"/>
    <w:rsid w:val="006135B1"/>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135B1"/>
    <w:pPr>
      <w:spacing w:after="0" w:line="240" w:lineRule="auto"/>
    </w:pPr>
    <w:rPr>
      <w:rFonts w:eastAsia="Times New Roman" w:cs="Times New Roman"/>
      <w:color w:val="A0A39E" w:themeColor="accent1" w:themeShade="BF"/>
      <w:sz w:val="20"/>
      <w:szCs w:val="20"/>
      <w:lang w:eastAsia="en-AU"/>
    </w:rPr>
    <w:tblPr>
      <w:tblStyleRowBandSize w:val="1"/>
      <w:tblStyleColBandSize w:val="1"/>
      <w:tblBorders>
        <w:top w:val="single" w:sz="4" w:space="0" w:color="E6E7E6" w:themeColor="accent1" w:themeTint="99"/>
        <w:left w:val="single" w:sz="4" w:space="0" w:color="E6E7E6" w:themeColor="accent1" w:themeTint="99"/>
        <w:bottom w:val="single" w:sz="4" w:space="0" w:color="E6E7E6" w:themeColor="accent1" w:themeTint="99"/>
        <w:right w:val="single" w:sz="4" w:space="0" w:color="E6E7E6" w:themeColor="accent1" w:themeTint="99"/>
        <w:insideH w:val="single" w:sz="4" w:space="0" w:color="E6E7E6" w:themeColor="accent1" w:themeTint="99"/>
        <w:insideV w:val="single" w:sz="4" w:space="0" w:color="E6E7E6" w:themeColor="accent1" w:themeTint="99"/>
      </w:tblBorders>
    </w:tblPr>
    <w:tblStylePr w:type="firstRow">
      <w:rPr>
        <w:b/>
        <w:bCs/>
      </w:rPr>
      <w:tblPr/>
      <w:tcPr>
        <w:tcBorders>
          <w:bottom w:val="single" w:sz="12" w:space="0" w:color="E6E7E6" w:themeColor="accent1" w:themeTint="99"/>
        </w:tcBorders>
      </w:tcPr>
    </w:tblStylePr>
    <w:tblStylePr w:type="lastRow">
      <w:rPr>
        <w:b/>
        <w:bCs/>
      </w:rPr>
      <w:tblPr/>
      <w:tcPr>
        <w:tcBorders>
          <w:top w:val="double" w:sz="4" w:space="0" w:color="E6E7E6" w:themeColor="accent1" w:themeTint="99"/>
        </w:tcBorders>
      </w:tcPr>
    </w:tblStylePr>
    <w:tblStylePr w:type="firstCol">
      <w:rPr>
        <w:b/>
        <w:bCs/>
      </w:rPr>
    </w:tblStylePr>
    <w:tblStylePr w:type="lastCol">
      <w:rPr>
        <w:b/>
        <w:bCs/>
      </w:rPr>
    </w:tblStylePr>
    <w:tblStylePr w:type="band1Vert">
      <w:tblPr/>
      <w:tcPr>
        <w:shd w:val="clear" w:color="auto" w:fill="F6F7F6" w:themeFill="accent1" w:themeFillTint="33"/>
      </w:tcPr>
    </w:tblStylePr>
    <w:tblStylePr w:type="band1Horz">
      <w:tblPr/>
      <w:tcPr>
        <w:shd w:val="clear" w:color="auto" w:fill="F6F7F6" w:themeFill="accent1" w:themeFillTint="33"/>
      </w:tcPr>
    </w:tblStylePr>
  </w:style>
  <w:style w:type="table" w:styleId="GridTable6Colorful-Accent2">
    <w:name w:val="Grid Table 6 Colorful Accent 2"/>
    <w:basedOn w:val="TableNormal"/>
    <w:uiPriority w:val="51"/>
    <w:rsid w:val="006135B1"/>
    <w:pPr>
      <w:spacing w:after="0" w:line="240" w:lineRule="auto"/>
    </w:pPr>
    <w:rPr>
      <w:rFonts w:eastAsia="Times New Roman" w:cs="Times New Roman"/>
      <w:color w:val="C59700" w:themeColor="accent2" w:themeShade="BF"/>
      <w:sz w:val="20"/>
      <w:szCs w:val="20"/>
      <w:lang w:eastAsia="en-AU"/>
    </w:rPr>
    <w:tblPr>
      <w:tblStyleRowBandSize w:val="1"/>
      <w:tblStyleColBandSize w:val="1"/>
      <w:tblBorders>
        <w:top w:val="single" w:sz="4" w:space="0" w:color="FFDC6B" w:themeColor="accent2" w:themeTint="99"/>
        <w:left w:val="single" w:sz="4" w:space="0" w:color="FFDC6B" w:themeColor="accent2" w:themeTint="99"/>
        <w:bottom w:val="single" w:sz="4" w:space="0" w:color="FFDC6B" w:themeColor="accent2" w:themeTint="99"/>
        <w:right w:val="single" w:sz="4" w:space="0" w:color="FFDC6B" w:themeColor="accent2" w:themeTint="99"/>
        <w:insideH w:val="single" w:sz="4" w:space="0" w:color="FFDC6B" w:themeColor="accent2" w:themeTint="99"/>
        <w:insideV w:val="single" w:sz="4" w:space="0" w:color="FFDC6B" w:themeColor="accent2" w:themeTint="99"/>
      </w:tblBorders>
    </w:tblPr>
    <w:tblStylePr w:type="firstRow">
      <w:rPr>
        <w:b/>
        <w:bCs/>
      </w:rPr>
      <w:tblPr/>
      <w:tcPr>
        <w:tcBorders>
          <w:bottom w:val="single" w:sz="12" w:space="0" w:color="FFDC6B" w:themeColor="accent2" w:themeTint="99"/>
        </w:tcBorders>
      </w:tcPr>
    </w:tblStylePr>
    <w:tblStylePr w:type="lastRow">
      <w:rPr>
        <w:b/>
        <w:bCs/>
      </w:rPr>
      <w:tblPr/>
      <w:tcPr>
        <w:tcBorders>
          <w:top w:val="double" w:sz="4" w:space="0" w:color="FFDC6B" w:themeColor="accent2" w:themeTint="99"/>
        </w:tcBorders>
      </w:tcPr>
    </w:tblStylePr>
    <w:tblStylePr w:type="firstCol">
      <w:rPr>
        <w:b/>
        <w:bCs/>
      </w:rPr>
    </w:tblStylePr>
    <w:tblStylePr w:type="lastCol">
      <w:rPr>
        <w:b/>
        <w:bCs/>
      </w:rPr>
    </w:tblStylePr>
    <w:tblStylePr w:type="band1Vert">
      <w:tblPr/>
      <w:tcPr>
        <w:shd w:val="clear" w:color="auto" w:fill="FFF3CD" w:themeFill="accent2" w:themeFillTint="33"/>
      </w:tcPr>
    </w:tblStylePr>
    <w:tblStylePr w:type="band1Horz">
      <w:tblPr/>
      <w:tcPr>
        <w:shd w:val="clear" w:color="auto" w:fill="FFF3CD" w:themeFill="accent2" w:themeFillTint="33"/>
      </w:tcPr>
    </w:tblStylePr>
  </w:style>
  <w:style w:type="table" w:styleId="GridTable6Colorful-Accent3">
    <w:name w:val="Grid Table 6 Colorful Accent 3"/>
    <w:basedOn w:val="TableNormal"/>
    <w:uiPriority w:val="51"/>
    <w:rsid w:val="006135B1"/>
    <w:pPr>
      <w:spacing w:after="0" w:line="240" w:lineRule="auto"/>
    </w:pPr>
    <w:rPr>
      <w:rFonts w:eastAsia="Times New Roman" w:cs="Times New Roman"/>
      <w:color w:val="99102F" w:themeColor="accent3" w:themeShade="BF"/>
      <w:sz w:val="20"/>
      <w:szCs w:val="20"/>
      <w:lang w:eastAsia="en-AU"/>
    </w:rPr>
    <w:tblPr>
      <w:tblStyleRowBandSize w:val="1"/>
      <w:tblStyleColBandSize w:val="1"/>
      <w:tblBorders>
        <w:top w:val="single" w:sz="4" w:space="0" w:color="EE6584" w:themeColor="accent3" w:themeTint="99"/>
        <w:left w:val="single" w:sz="4" w:space="0" w:color="EE6584" w:themeColor="accent3" w:themeTint="99"/>
        <w:bottom w:val="single" w:sz="4" w:space="0" w:color="EE6584" w:themeColor="accent3" w:themeTint="99"/>
        <w:right w:val="single" w:sz="4" w:space="0" w:color="EE6584" w:themeColor="accent3" w:themeTint="99"/>
        <w:insideH w:val="single" w:sz="4" w:space="0" w:color="EE6584" w:themeColor="accent3" w:themeTint="99"/>
        <w:insideV w:val="single" w:sz="4" w:space="0" w:color="EE6584" w:themeColor="accent3" w:themeTint="99"/>
      </w:tblBorders>
    </w:tblPr>
    <w:tblStylePr w:type="firstRow">
      <w:rPr>
        <w:b/>
        <w:bCs/>
      </w:rPr>
      <w:tblPr/>
      <w:tcPr>
        <w:tcBorders>
          <w:bottom w:val="single" w:sz="12" w:space="0" w:color="EE6584" w:themeColor="accent3" w:themeTint="99"/>
        </w:tcBorders>
      </w:tcPr>
    </w:tblStylePr>
    <w:tblStylePr w:type="lastRow">
      <w:rPr>
        <w:b/>
        <w:bCs/>
      </w:rPr>
      <w:tblPr/>
      <w:tcPr>
        <w:tcBorders>
          <w:top w:val="double" w:sz="4" w:space="0" w:color="EE6584" w:themeColor="accent3" w:themeTint="99"/>
        </w:tcBorders>
      </w:tcPr>
    </w:tblStylePr>
    <w:tblStylePr w:type="firstCol">
      <w:rPr>
        <w:b/>
        <w:bCs/>
      </w:rPr>
    </w:tblStylePr>
    <w:tblStylePr w:type="lastCol">
      <w:rPr>
        <w:b/>
        <w:bCs/>
      </w:rPr>
    </w:tblStylePr>
    <w:tblStylePr w:type="band1Vert">
      <w:tblPr/>
      <w:tcPr>
        <w:shd w:val="clear" w:color="auto" w:fill="F9CBD6" w:themeFill="accent3" w:themeFillTint="33"/>
      </w:tcPr>
    </w:tblStylePr>
    <w:tblStylePr w:type="band1Horz">
      <w:tblPr/>
      <w:tcPr>
        <w:shd w:val="clear" w:color="auto" w:fill="F9CBD6" w:themeFill="accent3" w:themeFillTint="33"/>
      </w:tcPr>
    </w:tblStylePr>
  </w:style>
  <w:style w:type="table" w:styleId="GridTable6Colorful-Accent4">
    <w:name w:val="Grid Table 6 Colorful Accent 4"/>
    <w:basedOn w:val="TableNormal"/>
    <w:uiPriority w:val="51"/>
    <w:rsid w:val="006135B1"/>
    <w:pPr>
      <w:spacing w:after="0" w:line="240" w:lineRule="auto"/>
    </w:pPr>
    <w:rPr>
      <w:rFonts w:eastAsia="Times New Roman" w:cs="Times New Roman"/>
      <w:color w:val="4E1C64" w:themeColor="accent4" w:themeShade="BF"/>
      <w:sz w:val="20"/>
      <w:szCs w:val="20"/>
      <w:lang w:eastAsia="en-AU"/>
    </w:rPr>
    <w:tblPr>
      <w:tblStyleRowBandSize w:val="1"/>
      <w:tblStyleColBandSize w:val="1"/>
      <w:tblBorders>
        <w:top w:val="single" w:sz="4" w:space="0" w:color="AF60D2" w:themeColor="accent4" w:themeTint="99"/>
        <w:left w:val="single" w:sz="4" w:space="0" w:color="AF60D2" w:themeColor="accent4" w:themeTint="99"/>
        <w:bottom w:val="single" w:sz="4" w:space="0" w:color="AF60D2" w:themeColor="accent4" w:themeTint="99"/>
        <w:right w:val="single" w:sz="4" w:space="0" w:color="AF60D2" w:themeColor="accent4" w:themeTint="99"/>
        <w:insideH w:val="single" w:sz="4" w:space="0" w:color="AF60D2" w:themeColor="accent4" w:themeTint="99"/>
        <w:insideV w:val="single" w:sz="4" w:space="0" w:color="AF60D2" w:themeColor="accent4" w:themeTint="99"/>
      </w:tblBorders>
    </w:tblPr>
    <w:tblStylePr w:type="firstRow">
      <w:rPr>
        <w:b/>
        <w:bCs/>
      </w:rPr>
      <w:tblPr/>
      <w:tcPr>
        <w:tcBorders>
          <w:bottom w:val="single" w:sz="12" w:space="0" w:color="AF60D2" w:themeColor="accent4" w:themeTint="99"/>
        </w:tcBorders>
      </w:tcPr>
    </w:tblStylePr>
    <w:tblStylePr w:type="lastRow">
      <w:rPr>
        <w:b/>
        <w:bCs/>
      </w:rPr>
      <w:tblPr/>
      <w:tcPr>
        <w:tcBorders>
          <w:top w:val="double" w:sz="4" w:space="0" w:color="AF60D2" w:themeColor="accent4" w:themeTint="99"/>
        </w:tcBorders>
      </w:tcPr>
    </w:tblStylePr>
    <w:tblStylePr w:type="firstCol">
      <w:rPr>
        <w:b/>
        <w:bCs/>
      </w:rPr>
    </w:tblStylePr>
    <w:tblStylePr w:type="lastCol">
      <w:rPr>
        <w:b/>
        <w:bCs/>
      </w:rPr>
    </w:tblStylePr>
    <w:tblStylePr w:type="band1Vert">
      <w:tblPr/>
      <w:tcPr>
        <w:shd w:val="clear" w:color="auto" w:fill="E4CAF0" w:themeFill="accent4" w:themeFillTint="33"/>
      </w:tcPr>
    </w:tblStylePr>
    <w:tblStylePr w:type="band1Horz">
      <w:tblPr/>
      <w:tcPr>
        <w:shd w:val="clear" w:color="auto" w:fill="E4CAF0" w:themeFill="accent4" w:themeFillTint="33"/>
      </w:tcPr>
    </w:tblStylePr>
  </w:style>
  <w:style w:type="table" w:styleId="GridTable6Colorful-Accent5">
    <w:name w:val="Grid Table 6 Colorful Accent 5"/>
    <w:basedOn w:val="TableNormal"/>
    <w:uiPriority w:val="51"/>
    <w:rsid w:val="006135B1"/>
    <w:pPr>
      <w:spacing w:after="0" w:line="240" w:lineRule="auto"/>
    </w:pPr>
    <w:rPr>
      <w:rFonts w:eastAsia="Times New Roman" w:cs="Times New Roman"/>
      <w:color w:val="187F39" w:themeColor="accent5" w:themeShade="BF"/>
      <w:sz w:val="20"/>
      <w:szCs w:val="20"/>
      <w:lang w:eastAsia="en-AU"/>
    </w:rPr>
    <w:tblPr>
      <w:tblStyleRowBandSize w:val="1"/>
      <w:tblStyleColBandSize w:val="1"/>
      <w:tblBorders>
        <w:top w:val="single" w:sz="4" w:space="0" w:color="63E18C" w:themeColor="accent5" w:themeTint="99"/>
        <w:left w:val="single" w:sz="4" w:space="0" w:color="63E18C" w:themeColor="accent5" w:themeTint="99"/>
        <w:bottom w:val="single" w:sz="4" w:space="0" w:color="63E18C" w:themeColor="accent5" w:themeTint="99"/>
        <w:right w:val="single" w:sz="4" w:space="0" w:color="63E18C" w:themeColor="accent5" w:themeTint="99"/>
        <w:insideH w:val="single" w:sz="4" w:space="0" w:color="63E18C" w:themeColor="accent5" w:themeTint="99"/>
        <w:insideV w:val="single" w:sz="4" w:space="0" w:color="63E18C" w:themeColor="accent5" w:themeTint="99"/>
      </w:tblBorders>
    </w:tblPr>
    <w:tblStylePr w:type="firstRow">
      <w:rPr>
        <w:b/>
        <w:bCs/>
      </w:rPr>
      <w:tblPr/>
      <w:tcPr>
        <w:tcBorders>
          <w:bottom w:val="single" w:sz="12" w:space="0" w:color="63E18C" w:themeColor="accent5" w:themeTint="99"/>
        </w:tcBorders>
      </w:tcPr>
    </w:tblStylePr>
    <w:tblStylePr w:type="lastRow">
      <w:rPr>
        <w:b/>
        <w:bCs/>
      </w:rPr>
      <w:tblPr/>
      <w:tcPr>
        <w:tcBorders>
          <w:top w:val="double" w:sz="4" w:space="0" w:color="63E18C" w:themeColor="accent5" w:themeTint="99"/>
        </w:tcBorders>
      </w:tcPr>
    </w:tblStylePr>
    <w:tblStylePr w:type="firstCol">
      <w:rPr>
        <w:b/>
        <w:bCs/>
      </w:rPr>
    </w:tblStylePr>
    <w:tblStylePr w:type="lastCol">
      <w:rPr>
        <w:b/>
        <w:bCs/>
      </w:rPr>
    </w:tblStylePr>
    <w:tblStylePr w:type="band1Vert">
      <w:tblPr/>
      <w:tcPr>
        <w:shd w:val="clear" w:color="auto" w:fill="CBF5D8" w:themeFill="accent5" w:themeFillTint="33"/>
      </w:tcPr>
    </w:tblStylePr>
    <w:tblStylePr w:type="band1Horz">
      <w:tblPr/>
      <w:tcPr>
        <w:shd w:val="clear" w:color="auto" w:fill="CBF5D8" w:themeFill="accent5" w:themeFillTint="33"/>
      </w:tcPr>
    </w:tblStylePr>
  </w:style>
  <w:style w:type="table" w:styleId="GridTable6Colorful-Accent6">
    <w:name w:val="Grid Table 6 Colorful Accent 6"/>
    <w:basedOn w:val="TableNormal"/>
    <w:uiPriority w:val="51"/>
    <w:rsid w:val="006135B1"/>
    <w:pPr>
      <w:spacing w:after="0" w:line="240" w:lineRule="auto"/>
    </w:pPr>
    <w:rPr>
      <w:rFonts w:eastAsia="Times New Roman" w:cs="Times New Roman"/>
      <w:color w:val="005D88" w:themeColor="accent6" w:themeShade="BF"/>
      <w:sz w:val="20"/>
      <w:szCs w:val="20"/>
      <w:lang w:eastAsia="en-AU"/>
    </w:rPr>
    <w:tblPr>
      <w:tblStyleRowBandSize w:val="1"/>
      <w:tblStyleColBandSize w:val="1"/>
      <w:tblBorders>
        <w:top w:val="single" w:sz="4" w:space="0" w:color="3AC1FF" w:themeColor="accent6" w:themeTint="99"/>
        <w:left w:val="single" w:sz="4" w:space="0" w:color="3AC1FF" w:themeColor="accent6" w:themeTint="99"/>
        <w:bottom w:val="single" w:sz="4" w:space="0" w:color="3AC1FF" w:themeColor="accent6" w:themeTint="99"/>
        <w:right w:val="single" w:sz="4" w:space="0" w:color="3AC1FF" w:themeColor="accent6" w:themeTint="99"/>
        <w:insideH w:val="single" w:sz="4" w:space="0" w:color="3AC1FF" w:themeColor="accent6" w:themeTint="99"/>
        <w:insideV w:val="single" w:sz="4" w:space="0" w:color="3AC1FF" w:themeColor="accent6" w:themeTint="99"/>
      </w:tblBorders>
    </w:tblPr>
    <w:tblStylePr w:type="firstRow">
      <w:rPr>
        <w:b/>
        <w:bCs/>
      </w:rPr>
      <w:tblPr/>
      <w:tcPr>
        <w:tcBorders>
          <w:bottom w:val="single" w:sz="12" w:space="0" w:color="3AC1FF" w:themeColor="accent6" w:themeTint="99"/>
        </w:tcBorders>
      </w:tcPr>
    </w:tblStylePr>
    <w:tblStylePr w:type="lastRow">
      <w:rPr>
        <w:b/>
        <w:bCs/>
      </w:rPr>
      <w:tblPr/>
      <w:tcPr>
        <w:tcBorders>
          <w:top w:val="double" w:sz="4" w:space="0" w:color="3AC1FF" w:themeColor="accent6" w:themeTint="99"/>
        </w:tcBorders>
      </w:tcPr>
    </w:tblStylePr>
    <w:tblStylePr w:type="firstCol">
      <w:rPr>
        <w:b/>
        <w:bCs/>
      </w:rPr>
    </w:tblStylePr>
    <w:tblStylePr w:type="lastCol">
      <w:rPr>
        <w:b/>
        <w:bCs/>
      </w:rPr>
    </w:tblStylePr>
    <w:tblStylePr w:type="band1Vert">
      <w:tblPr/>
      <w:tcPr>
        <w:shd w:val="clear" w:color="auto" w:fill="BDEAFF" w:themeFill="accent6" w:themeFillTint="33"/>
      </w:tcPr>
    </w:tblStylePr>
    <w:tblStylePr w:type="band1Horz">
      <w:tblPr/>
      <w:tcPr>
        <w:shd w:val="clear" w:color="auto" w:fill="BDEAFF" w:themeFill="accent6" w:themeFillTint="33"/>
      </w:tcPr>
    </w:tblStylePr>
  </w:style>
  <w:style w:type="table" w:styleId="GridTable7Colorful">
    <w:name w:val="Grid Table 7 Colorful"/>
    <w:basedOn w:val="TableNormal"/>
    <w:uiPriority w:val="52"/>
    <w:rsid w:val="006135B1"/>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135B1"/>
    <w:pPr>
      <w:spacing w:after="0" w:line="240" w:lineRule="auto"/>
    </w:pPr>
    <w:rPr>
      <w:rFonts w:eastAsia="Times New Roman" w:cs="Times New Roman"/>
      <w:color w:val="A0A39E" w:themeColor="accent1" w:themeShade="BF"/>
      <w:sz w:val="20"/>
      <w:szCs w:val="20"/>
      <w:lang w:eastAsia="en-AU"/>
    </w:rPr>
    <w:tblPr>
      <w:tblStyleRowBandSize w:val="1"/>
      <w:tblStyleColBandSize w:val="1"/>
      <w:tblBorders>
        <w:top w:val="single" w:sz="4" w:space="0" w:color="E6E7E6" w:themeColor="accent1" w:themeTint="99"/>
        <w:left w:val="single" w:sz="4" w:space="0" w:color="E6E7E6" w:themeColor="accent1" w:themeTint="99"/>
        <w:bottom w:val="single" w:sz="4" w:space="0" w:color="E6E7E6" w:themeColor="accent1" w:themeTint="99"/>
        <w:right w:val="single" w:sz="4" w:space="0" w:color="E6E7E6" w:themeColor="accent1" w:themeTint="99"/>
        <w:insideH w:val="single" w:sz="4" w:space="0" w:color="E6E7E6" w:themeColor="accent1" w:themeTint="99"/>
        <w:insideV w:val="single" w:sz="4" w:space="0" w:color="E6E7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7F6" w:themeFill="accent1" w:themeFillTint="33"/>
      </w:tcPr>
    </w:tblStylePr>
    <w:tblStylePr w:type="band1Horz">
      <w:tblPr/>
      <w:tcPr>
        <w:shd w:val="clear" w:color="auto" w:fill="F6F7F6" w:themeFill="accent1" w:themeFillTint="33"/>
      </w:tcPr>
    </w:tblStylePr>
    <w:tblStylePr w:type="neCell">
      <w:tblPr/>
      <w:tcPr>
        <w:tcBorders>
          <w:bottom w:val="single" w:sz="4" w:space="0" w:color="E6E7E6" w:themeColor="accent1" w:themeTint="99"/>
        </w:tcBorders>
      </w:tcPr>
    </w:tblStylePr>
    <w:tblStylePr w:type="nwCell">
      <w:tblPr/>
      <w:tcPr>
        <w:tcBorders>
          <w:bottom w:val="single" w:sz="4" w:space="0" w:color="E6E7E6" w:themeColor="accent1" w:themeTint="99"/>
        </w:tcBorders>
      </w:tcPr>
    </w:tblStylePr>
    <w:tblStylePr w:type="seCell">
      <w:tblPr/>
      <w:tcPr>
        <w:tcBorders>
          <w:top w:val="single" w:sz="4" w:space="0" w:color="E6E7E6" w:themeColor="accent1" w:themeTint="99"/>
        </w:tcBorders>
      </w:tcPr>
    </w:tblStylePr>
    <w:tblStylePr w:type="swCell">
      <w:tblPr/>
      <w:tcPr>
        <w:tcBorders>
          <w:top w:val="single" w:sz="4" w:space="0" w:color="E6E7E6" w:themeColor="accent1" w:themeTint="99"/>
        </w:tcBorders>
      </w:tcPr>
    </w:tblStylePr>
  </w:style>
  <w:style w:type="table" w:styleId="GridTable7Colorful-Accent3">
    <w:name w:val="Grid Table 7 Colorful Accent 3"/>
    <w:basedOn w:val="TableNormal"/>
    <w:uiPriority w:val="52"/>
    <w:rsid w:val="006135B1"/>
    <w:pPr>
      <w:spacing w:after="0" w:line="240" w:lineRule="auto"/>
    </w:pPr>
    <w:rPr>
      <w:rFonts w:eastAsia="Times New Roman" w:cs="Times New Roman"/>
      <w:color w:val="99102F" w:themeColor="accent3" w:themeShade="BF"/>
      <w:sz w:val="20"/>
      <w:szCs w:val="20"/>
      <w:lang w:eastAsia="en-AU"/>
    </w:rPr>
    <w:tblPr>
      <w:tblStyleRowBandSize w:val="1"/>
      <w:tblStyleColBandSize w:val="1"/>
      <w:tblBorders>
        <w:top w:val="single" w:sz="4" w:space="0" w:color="EE6584" w:themeColor="accent3" w:themeTint="99"/>
        <w:left w:val="single" w:sz="4" w:space="0" w:color="EE6584" w:themeColor="accent3" w:themeTint="99"/>
        <w:bottom w:val="single" w:sz="4" w:space="0" w:color="EE6584" w:themeColor="accent3" w:themeTint="99"/>
        <w:right w:val="single" w:sz="4" w:space="0" w:color="EE6584" w:themeColor="accent3" w:themeTint="99"/>
        <w:insideH w:val="single" w:sz="4" w:space="0" w:color="EE6584" w:themeColor="accent3" w:themeTint="99"/>
        <w:insideV w:val="single" w:sz="4" w:space="0" w:color="EE658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BD6" w:themeFill="accent3" w:themeFillTint="33"/>
      </w:tcPr>
    </w:tblStylePr>
    <w:tblStylePr w:type="band1Horz">
      <w:tblPr/>
      <w:tcPr>
        <w:shd w:val="clear" w:color="auto" w:fill="F9CBD6" w:themeFill="accent3" w:themeFillTint="33"/>
      </w:tcPr>
    </w:tblStylePr>
    <w:tblStylePr w:type="neCell">
      <w:tblPr/>
      <w:tcPr>
        <w:tcBorders>
          <w:bottom w:val="single" w:sz="4" w:space="0" w:color="EE6584" w:themeColor="accent3" w:themeTint="99"/>
        </w:tcBorders>
      </w:tcPr>
    </w:tblStylePr>
    <w:tblStylePr w:type="nwCell">
      <w:tblPr/>
      <w:tcPr>
        <w:tcBorders>
          <w:bottom w:val="single" w:sz="4" w:space="0" w:color="EE6584" w:themeColor="accent3" w:themeTint="99"/>
        </w:tcBorders>
      </w:tcPr>
    </w:tblStylePr>
    <w:tblStylePr w:type="seCell">
      <w:tblPr/>
      <w:tcPr>
        <w:tcBorders>
          <w:top w:val="single" w:sz="4" w:space="0" w:color="EE6584" w:themeColor="accent3" w:themeTint="99"/>
        </w:tcBorders>
      </w:tcPr>
    </w:tblStylePr>
    <w:tblStylePr w:type="swCell">
      <w:tblPr/>
      <w:tcPr>
        <w:tcBorders>
          <w:top w:val="single" w:sz="4" w:space="0" w:color="EE6584" w:themeColor="accent3" w:themeTint="99"/>
        </w:tcBorders>
      </w:tcPr>
    </w:tblStylePr>
  </w:style>
  <w:style w:type="table" w:styleId="GridTable7Colorful-Accent4">
    <w:name w:val="Grid Table 7 Colorful Accent 4"/>
    <w:basedOn w:val="TableNormal"/>
    <w:uiPriority w:val="52"/>
    <w:rsid w:val="006135B1"/>
    <w:pPr>
      <w:spacing w:after="0" w:line="240" w:lineRule="auto"/>
    </w:pPr>
    <w:rPr>
      <w:rFonts w:eastAsia="Times New Roman" w:cs="Times New Roman"/>
      <w:color w:val="4E1C64" w:themeColor="accent4" w:themeShade="BF"/>
      <w:sz w:val="20"/>
      <w:szCs w:val="20"/>
      <w:lang w:eastAsia="en-AU"/>
    </w:rPr>
    <w:tblPr>
      <w:tblStyleRowBandSize w:val="1"/>
      <w:tblStyleColBandSize w:val="1"/>
      <w:tblBorders>
        <w:top w:val="single" w:sz="4" w:space="0" w:color="AF60D2" w:themeColor="accent4" w:themeTint="99"/>
        <w:left w:val="single" w:sz="4" w:space="0" w:color="AF60D2" w:themeColor="accent4" w:themeTint="99"/>
        <w:bottom w:val="single" w:sz="4" w:space="0" w:color="AF60D2" w:themeColor="accent4" w:themeTint="99"/>
        <w:right w:val="single" w:sz="4" w:space="0" w:color="AF60D2" w:themeColor="accent4" w:themeTint="99"/>
        <w:insideH w:val="single" w:sz="4" w:space="0" w:color="AF60D2" w:themeColor="accent4" w:themeTint="99"/>
        <w:insideV w:val="single" w:sz="4" w:space="0" w:color="AF60D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CAF0" w:themeFill="accent4" w:themeFillTint="33"/>
      </w:tcPr>
    </w:tblStylePr>
    <w:tblStylePr w:type="band1Horz">
      <w:tblPr/>
      <w:tcPr>
        <w:shd w:val="clear" w:color="auto" w:fill="E4CAF0" w:themeFill="accent4" w:themeFillTint="33"/>
      </w:tcPr>
    </w:tblStylePr>
    <w:tblStylePr w:type="neCell">
      <w:tblPr/>
      <w:tcPr>
        <w:tcBorders>
          <w:bottom w:val="single" w:sz="4" w:space="0" w:color="AF60D2" w:themeColor="accent4" w:themeTint="99"/>
        </w:tcBorders>
      </w:tcPr>
    </w:tblStylePr>
    <w:tblStylePr w:type="nwCell">
      <w:tblPr/>
      <w:tcPr>
        <w:tcBorders>
          <w:bottom w:val="single" w:sz="4" w:space="0" w:color="AF60D2" w:themeColor="accent4" w:themeTint="99"/>
        </w:tcBorders>
      </w:tcPr>
    </w:tblStylePr>
    <w:tblStylePr w:type="seCell">
      <w:tblPr/>
      <w:tcPr>
        <w:tcBorders>
          <w:top w:val="single" w:sz="4" w:space="0" w:color="AF60D2" w:themeColor="accent4" w:themeTint="99"/>
        </w:tcBorders>
      </w:tcPr>
    </w:tblStylePr>
    <w:tblStylePr w:type="swCell">
      <w:tblPr/>
      <w:tcPr>
        <w:tcBorders>
          <w:top w:val="single" w:sz="4" w:space="0" w:color="AF60D2" w:themeColor="accent4" w:themeTint="99"/>
        </w:tcBorders>
      </w:tcPr>
    </w:tblStylePr>
  </w:style>
  <w:style w:type="table" w:styleId="GridTable7Colorful-Accent5">
    <w:name w:val="Grid Table 7 Colorful Accent 5"/>
    <w:basedOn w:val="TableNormal"/>
    <w:uiPriority w:val="52"/>
    <w:rsid w:val="006135B1"/>
    <w:pPr>
      <w:spacing w:after="0" w:line="240" w:lineRule="auto"/>
    </w:pPr>
    <w:rPr>
      <w:rFonts w:eastAsia="Times New Roman" w:cs="Times New Roman"/>
      <w:color w:val="187F39" w:themeColor="accent5" w:themeShade="BF"/>
      <w:sz w:val="20"/>
      <w:szCs w:val="20"/>
      <w:lang w:eastAsia="en-AU"/>
    </w:rPr>
    <w:tblPr>
      <w:tblStyleRowBandSize w:val="1"/>
      <w:tblStyleColBandSize w:val="1"/>
      <w:tblBorders>
        <w:top w:val="single" w:sz="4" w:space="0" w:color="63E18C" w:themeColor="accent5" w:themeTint="99"/>
        <w:left w:val="single" w:sz="4" w:space="0" w:color="63E18C" w:themeColor="accent5" w:themeTint="99"/>
        <w:bottom w:val="single" w:sz="4" w:space="0" w:color="63E18C" w:themeColor="accent5" w:themeTint="99"/>
        <w:right w:val="single" w:sz="4" w:space="0" w:color="63E18C" w:themeColor="accent5" w:themeTint="99"/>
        <w:insideH w:val="single" w:sz="4" w:space="0" w:color="63E18C" w:themeColor="accent5" w:themeTint="99"/>
        <w:insideV w:val="single" w:sz="4" w:space="0" w:color="63E18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F5D8" w:themeFill="accent5" w:themeFillTint="33"/>
      </w:tcPr>
    </w:tblStylePr>
    <w:tblStylePr w:type="band1Horz">
      <w:tblPr/>
      <w:tcPr>
        <w:shd w:val="clear" w:color="auto" w:fill="CBF5D8" w:themeFill="accent5" w:themeFillTint="33"/>
      </w:tcPr>
    </w:tblStylePr>
    <w:tblStylePr w:type="neCell">
      <w:tblPr/>
      <w:tcPr>
        <w:tcBorders>
          <w:bottom w:val="single" w:sz="4" w:space="0" w:color="63E18C" w:themeColor="accent5" w:themeTint="99"/>
        </w:tcBorders>
      </w:tcPr>
    </w:tblStylePr>
    <w:tblStylePr w:type="nwCell">
      <w:tblPr/>
      <w:tcPr>
        <w:tcBorders>
          <w:bottom w:val="single" w:sz="4" w:space="0" w:color="63E18C" w:themeColor="accent5" w:themeTint="99"/>
        </w:tcBorders>
      </w:tcPr>
    </w:tblStylePr>
    <w:tblStylePr w:type="seCell">
      <w:tblPr/>
      <w:tcPr>
        <w:tcBorders>
          <w:top w:val="single" w:sz="4" w:space="0" w:color="63E18C" w:themeColor="accent5" w:themeTint="99"/>
        </w:tcBorders>
      </w:tcPr>
    </w:tblStylePr>
    <w:tblStylePr w:type="swCell">
      <w:tblPr/>
      <w:tcPr>
        <w:tcBorders>
          <w:top w:val="single" w:sz="4" w:space="0" w:color="63E18C" w:themeColor="accent5" w:themeTint="99"/>
        </w:tcBorders>
      </w:tcPr>
    </w:tblStylePr>
  </w:style>
  <w:style w:type="table" w:styleId="GridTable7Colorful-Accent6">
    <w:name w:val="Grid Table 7 Colorful Accent 6"/>
    <w:basedOn w:val="TableNormal"/>
    <w:uiPriority w:val="52"/>
    <w:rsid w:val="006135B1"/>
    <w:pPr>
      <w:spacing w:after="0" w:line="240" w:lineRule="auto"/>
    </w:pPr>
    <w:rPr>
      <w:rFonts w:eastAsia="Times New Roman" w:cs="Times New Roman"/>
      <w:color w:val="005D88" w:themeColor="accent6" w:themeShade="BF"/>
      <w:sz w:val="20"/>
      <w:szCs w:val="20"/>
      <w:lang w:eastAsia="en-AU"/>
    </w:rPr>
    <w:tblPr>
      <w:tblStyleRowBandSize w:val="1"/>
      <w:tblStyleColBandSize w:val="1"/>
      <w:tblBorders>
        <w:top w:val="single" w:sz="4" w:space="0" w:color="3AC1FF" w:themeColor="accent6" w:themeTint="99"/>
        <w:left w:val="single" w:sz="4" w:space="0" w:color="3AC1FF" w:themeColor="accent6" w:themeTint="99"/>
        <w:bottom w:val="single" w:sz="4" w:space="0" w:color="3AC1FF" w:themeColor="accent6" w:themeTint="99"/>
        <w:right w:val="single" w:sz="4" w:space="0" w:color="3AC1FF" w:themeColor="accent6" w:themeTint="99"/>
        <w:insideH w:val="single" w:sz="4" w:space="0" w:color="3AC1FF" w:themeColor="accent6" w:themeTint="99"/>
        <w:insideV w:val="single" w:sz="4" w:space="0" w:color="3AC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AFF" w:themeFill="accent6" w:themeFillTint="33"/>
      </w:tcPr>
    </w:tblStylePr>
    <w:tblStylePr w:type="band1Horz">
      <w:tblPr/>
      <w:tcPr>
        <w:shd w:val="clear" w:color="auto" w:fill="BDEAFF" w:themeFill="accent6" w:themeFillTint="33"/>
      </w:tcPr>
    </w:tblStylePr>
    <w:tblStylePr w:type="neCell">
      <w:tblPr/>
      <w:tcPr>
        <w:tcBorders>
          <w:bottom w:val="single" w:sz="4" w:space="0" w:color="3AC1FF" w:themeColor="accent6" w:themeTint="99"/>
        </w:tcBorders>
      </w:tcPr>
    </w:tblStylePr>
    <w:tblStylePr w:type="nwCell">
      <w:tblPr/>
      <w:tcPr>
        <w:tcBorders>
          <w:bottom w:val="single" w:sz="4" w:space="0" w:color="3AC1FF" w:themeColor="accent6" w:themeTint="99"/>
        </w:tcBorders>
      </w:tcPr>
    </w:tblStylePr>
    <w:tblStylePr w:type="seCell">
      <w:tblPr/>
      <w:tcPr>
        <w:tcBorders>
          <w:top w:val="single" w:sz="4" w:space="0" w:color="3AC1FF" w:themeColor="accent6" w:themeTint="99"/>
        </w:tcBorders>
      </w:tcPr>
    </w:tblStylePr>
    <w:tblStylePr w:type="swCell">
      <w:tblPr/>
      <w:tcPr>
        <w:tcBorders>
          <w:top w:val="single" w:sz="4" w:space="0" w:color="3AC1FF" w:themeColor="accent6" w:themeTint="99"/>
        </w:tcBorders>
      </w:tcPr>
    </w:tblStylePr>
  </w:style>
  <w:style w:type="character" w:styleId="HTMLAcronym">
    <w:name w:val="HTML Acronym"/>
    <w:basedOn w:val="DefaultParagraphFont"/>
    <w:semiHidden/>
    <w:unhideWhenUsed/>
    <w:rsid w:val="006135B1"/>
  </w:style>
  <w:style w:type="character" w:styleId="HTMLCite">
    <w:name w:val="HTML Cite"/>
    <w:basedOn w:val="DefaultParagraphFont"/>
    <w:semiHidden/>
    <w:unhideWhenUsed/>
    <w:rsid w:val="006135B1"/>
    <w:rPr>
      <w:i/>
      <w:iCs/>
    </w:rPr>
  </w:style>
  <w:style w:type="character" w:styleId="HTMLCode">
    <w:name w:val="HTML Code"/>
    <w:basedOn w:val="DefaultParagraphFont"/>
    <w:semiHidden/>
    <w:unhideWhenUsed/>
    <w:rsid w:val="006135B1"/>
    <w:rPr>
      <w:rFonts w:ascii="Consolas" w:hAnsi="Consolas" w:cs="Consolas"/>
      <w:sz w:val="20"/>
      <w:szCs w:val="20"/>
    </w:rPr>
  </w:style>
  <w:style w:type="character" w:styleId="HTMLDefinition">
    <w:name w:val="HTML Definition"/>
    <w:basedOn w:val="DefaultParagraphFont"/>
    <w:semiHidden/>
    <w:unhideWhenUsed/>
    <w:rsid w:val="006135B1"/>
    <w:rPr>
      <w:i/>
      <w:iCs/>
    </w:rPr>
  </w:style>
  <w:style w:type="character" w:styleId="HTMLKeyboard">
    <w:name w:val="HTML Keyboard"/>
    <w:basedOn w:val="DefaultParagraphFont"/>
    <w:semiHidden/>
    <w:unhideWhenUsed/>
    <w:rsid w:val="006135B1"/>
    <w:rPr>
      <w:rFonts w:ascii="Consolas" w:hAnsi="Consolas" w:cs="Consolas"/>
      <w:sz w:val="20"/>
      <w:szCs w:val="20"/>
    </w:rPr>
  </w:style>
  <w:style w:type="character" w:styleId="HTMLSample">
    <w:name w:val="HTML Sample"/>
    <w:basedOn w:val="DefaultParagraphFont"/>
    <w:semiHidden/>
    <w:unhideWhenUsed/>
    <w:rsid w:val="006135B1"/>
    <w:rPr>
      <w:rFonts w:ascii="Consolas" w:hAnsi="Consolas" w:cs="Consolas"/>
      <w:sz w:val="24"/>
      <w:szCs w:val="24"/>
    </w:rPr>
  </w:style>
  <w:style w:type="character" w:styleId="HTMLTypewriter">
    <w:name w:val="HTML Typewriter"/>
    <w:basedOn w:val="DefaultParagraphFont"/>
    <w:semiHidden/>
    <w:unhideWhenUsed/>
    <w:rsid w:val="006135B1"/>
    <w:rPr>
      <w:rFonts w:ascii="Consolas" w:hAnsi="Consolas" w:cs="Consolas"/>
      <w:sz w:val="20"/>
      <w:szCs w:val="20"/>
    </w:rPr>
  </w:style>
  <w:style w:type="character" w:styleId="HTMLVariable">
    <w:name w:val="HTML Variable"/>
    <w:basedOn w:val="DefaultParagraphFont"/>
    <w:semiHidden/>
    <w:unhideWhenUsed/>
    <w:rsid w:val="006135B1"/>
    <w:rPr>
      <w:i/>
      <w:iCs/>
    </w:rPr>
  </w:style>
  <w:style w:type="character" w:styleId="IntenseReference">
    <w:name w:val="Intense Reference"/>
    <w:basedOn w:val="DefaultParagraphFont"/>
    <w:uiPriority w:val="32"/>
    <w:rsid w:val="006135B1"/>
    <w:rPr>
      <w:b/>
      <w:bCs/>
      <w:smallCaps/>
      <w:color w:val="D7D8D6" w:themeColor="accent1"/>
      <w:spacing w:val="5"/>
    </w:rPr>
  </w:style>
  <w:style w:type="table" w:styleId="LightGrid-Accent1">
    <w:name w:val="Light Grid Accent 1"/>
    <w:basedOn w:val="TableNormal"/>
    <w:uiPriority w:val="62"/>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D7D8D6" w:themeColor="accent1"/>
        <w:left w:val="single" w:sz="8" w:space="0" w:color="D7D8D6" w:themeColor="accent1"/>
        <w:bottom w:val="single" w:sz="8" w:space="0" w:color="D7D8D6" w:themeColor="accent1"/>
        <w:right w:val="single" w:sz="8" w:space="0" w:color="D7D8D6" w:themeColor="accent1"/>
        <w:insideH w:val="single" w:sz="8" w:space="0" w:color="D7D8D6" w:themeColor="accent1"/>
        <w:insideV w:val="single" w:sz="8" w:space="0" w:color="D7D8D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7D8D6" w:themeColor="accent1"/>
          <w:left w:val="single" w:sz="8" w:space="0" w:color="D7D8D6" w:themeColor="accent1"/>
          <w:bottom w:val="single" w:sz="18" w:space="0" w:color="D7D8D6" w:themeColor="accent1"/>
          <w:right w:val="single" w:sz="8" w:space="0" w:color="D7D8D6" w:themeColor="accent1"/>
          <w:insideH w:val="nil"/>
          <w:insideV w:val="single" w:sz="8" w:space="0" w:color="D7D8D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D8D6" w:themeColor="accent1"/>
          <w:left w:val="single" w:sz="8" w:space="0" w:color="D7D8D6" w:themeColor="accent1"/>
          <w:bottom w:val="single" w:sz="8" w:space="0" w:color="D7D8D6" w:themeColor="accent1"/>
          <w:right w:val="single" w:sz="8" w:space="0" w:color="D7D8D6" w:themeColor="accent1"/>
          <w:insideH w:val="nil"/>
          <w:insideV w:val="single" w:sz="8" w:space="0" w:color="D7D8D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D8D6" w:themeColor="accent1"/>
          <w:left w:val="single" w:sz="8" w:space="0" w:color="D7D8D6" w:themeColor="accent1"/>
          <w:bottom w:val="single" w:sz="8" w:space="0" w:color="D7D8D6" w:themeColor="accent1"/>
          <w:right w:val="single" w:sz="8" w:space="0" w:color="D7D8D6" w:themeColor="accent1"/>
        </w:tcBorders>
      </w:tcPr>
    </w:tblStylePr>
    <w:tblStylePr w:type="band1Vert">
      <w:tblPr/>
      <w:tcPr>
        <w:tcBorders>
          <w:top w:val="single" w:sz="8" w:space="0" w:color="D7D8D6" w:themeColor="accent1"/>
          <w:left w:val="single" w:sz="8" w:space="0" w:color="D7D8D6" w:themeColor="accent1"/>
          <w:bottom w:val="single" w:sz="8" w:space="0" w:color="D7D8D6" w:themeColor="accent1"/>
          <w:right w:val="single" w:sz="8" w:space="0" w:color="D7D8D6" w:themeColor="accent1"/>
        </w:tcBorders>
        <w:shd w:val="clear" w:color="auto" w:fill="F4F5F4" w:themeFill="accent1" w:themeFillTint="3F"/>
      </w:tcPr>
    </w:tblStylePr>
    <w:tblStylePr w:type="band1Horz">
      <w:tblPr/>
      <w:tcPr>
        <w:tcBorders>
          <w:top w:val="single" w:sz="8" w:space="0" w:color="D7D8D6" w:themeColor="accent1"/>
          <w:left w:val="single" w:sz="8" w:space="0" w:color="D7D8D6" w:themeColor="accent1"/>
          <w:bottom w:val="single" w:sz="8" w:space="0" w:color="D7D8D6" w:themeColor="accent1"/>
          <w:right w:val="single" w:sz="8" w:space="0" w:color="D7D8D6" w:themeColor="accent1"/>
          <w:insideV w:val="single" w:sz="8" w:space="0" w:color="D7D8D6" w:themeColor="accent1"/>
        </w:tcBorders>
        <w:shd w:val="clear" w:color="auto" w:fill="F4F5F4" w:themeFill="accent1" w:themeFillTint="3F"/>
      </w:tcPr>
    </w:tblStylePr>
    <w:tblStylePr w:type="band2Horz">
      <w:tblPr/>
      <w:tcPr>
        <w:tcBorders>
          <w:top w:val="single" w:sz="8" w:space="0" w:color="D7D8D6" w:themeColor="accent1"/>
          <w:left w:val="single" w:sz="8" w:space="0" w:color="D7D8D6" w:themeColor="accent1"/>
          <w:bottom w:val="single" w:sz="8" w:space="0" w:color="D7D8D6" w:themeColor="accent1"/>
          <w:right w:val="single" w:sz="8" w:space="0" w:color="D7D8D6" w:themeColor="accent1"/>
          <w:insideV w:val="single" w:sz="8" w:space="0" w:color="D7D8D6" w:themeColor="accent1"/>
        </w:tcBorders>
      </w:tcPr>
    </w:tblStylePr>
  </w:style>
  <w:style w:type="table" w:styleId="LightGrid-Accent2">
    <w:name w:val="Light Grid Accent 2"/>
    <w:basedOn w:val="TableNormal"/>
    <w:uiPriority w:val="62"/>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FFC709" w:themeColor="accent2"/>
        <w:left w:val="single" w:sz="8" w:space="0" w:color="FFC709" w:themeColor="accent2"/>
        <w:bottom w:val="single" w:sz="8" w:space="0" w:color="FFC709" w:themeColor="accent2"/>
        <w:right w:val="single" w:sz="8" w:space="0" w:color="FFC709" w:themeColor="accent2"/>
        <w:insideH w:val="single" w:sz="8" w:space="0" w:color="FFC709" w:themeColor="accent2"/>
        <w:insideV w:val="single" w:sz="8" w:space="0" w:color="FFC70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709" w:themeColor="accent2"/>
          <w:left w:val="single" w:sz="8" w:space="0" w:color="FFC709" w:themeColor="accent2"/>
          <w:bottom w:val="single" w:sz="18" w:space="0" w:color="FFC709" w:themeColor="accent2"/>
          <w:right w:val="single" w:sz="8" w:space="0" w:color="FFC709" w:themeColor="accent2"/>
          <w:insideH w:val="nil"/>
          <w:insideV w:val="single" w:sz="8" w:space="0" w:color="FFC70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709" w:themeColor="accent2"/>
          <w:left w:val="single" w:sz="8" w:space="0" w:color="FFC709" w:themeColor="accent2"/>
          <w:bottom w:val="single" w:sz="8" w:space="0" w:color="FFC709" w:themeColor="accent2"/>
          <w:right w:val="single" w:sz="8" w:space="0" w:color="FFC709" w:themeColor="accent2"/>
          <w:insideH w:val="nil"/>
          <w:insideV w:val="single" w:sz="8" w:space="0" w:color="FFC70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709" w:themeColor="accent2"/>
          <w:left w:val="single" w:sz="8" w:space="0" w:color="FFC709" w:themeColor="accent2"/>
          <w:bottom w:val="single" w:sz="8" w:space="0" w:color="FFC709" w:themeColor="accent2"/>
          <w:right w:val="single" w:sz="8" w:space="0" w:color="FFC709" w:themeColor="accent2"/>
        </w:tcBorders>
      </w:tcPr>
    </w:tblStylePr>
    <w:tblStylePr w:type="band1Vert">
      <w:tblPr/>
      <w:tcPr>
        <w:tcBorders>
          <w:top w:val="single" w:sz="8" w:space="0" w:color="FFC709" w:themeColor="accent2"/>
          <w:left w:val="single" w:sz="8" w:space="0" w:color="FFC709" w:themeColor="accent2"/>
          <w:bottom w:val="single" w:sz="8" w:space="0" w:color="FFC709" w:themeColor="accent2"/>
          <w:right w:val="single" w:sz="8" w:space="0" w:color="FFC709" w:themeColor="accent2"/>
        </w:tcBorders>
        <w:shd w:val="clear" w:color="auto" w:fill="FFF0C2" w:themeFill="accent2" w:themeFillTint="3F"/>
      </w:tcPr>
    </w:tblStylePr>
    <w:tblStylePr w:type="band1Horz">
      <w:tblPr/>
      <w:tcPr>
        <w:tcBorders>
          <w:top w:val="single" w:sz="8" w:space="0" w:color="FFC709" w:themeColor="accent2"/>
          <w:left w:val="single" w:sz="8" w:space="0" w:color="FFC709" w:themeColor="accent2"/>
          <w:bottom w:val="single" w:sz="8" w:space="0" w:color="FFC709" w:themeColor="accent2"/>
          <w:right w:val="single" w:sz="8" w:space="0" w:color="FFC709" w:themeColor="accent2"/>
          <w:insideV w:val="single" w:sz="8" w:space="0" w:color="FFC709" w:themeColor="accent2"/>
        </w:tcBorders>
        <w:shd w:val="clear" w:color="auto" w:fill="FFF0C2" w:themeFill="accent2" w:themeFillTint="3F"/>
      </w:tcPr>
    </w:tblStylePr>
    <w:tblStylePr w:type="band2Horz">
      <w:tblPr/>
      <w:tcPr>
        <w:tcBorders>
          <w:top w:val="single" w:sz="8" w:space="0" w:color="FFC709" w:themeColor="accent2"/>
          <w:left w:val="single" w:sz="8" w:space="0" w:color="FFC709" w:themeColor="accent2"/>
          <w:bottom w:val="single" w:sz="8" w:space="0" w:color="FFC709" w:themeColor="accent2"/>
          <w:right w:val="single" w:sz="8" w:space="0" w:color="FFC709" w:themeColor="accent2"/>
          <w:insideV w:val="single" w:sz="8" w:space="0" w:color="FFC709" w:themeColor="accent2"/>
        </w:tcBorders>
      </w:tcPr>
    </w:tblStylePr>
  </w:style>
  <w:style w:type="table" w:styleId="LightGrid-Accent3">
    <w:name w:val="Light Grid Accent 3"/>
    <w:basedOn w:val="TableNormal"/>
    <w:uiPriority w:val="62"/>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CD163F" w:themeColor="accent3"/>
        <w:left w:val="single" w:sz="8" w:space="0" w:color="CD163F" w:themeColor="accent3"/>
        <w:bottom w:val="single" w:sz="8" w:space="0" w:color="CD163F" w:themeColor="accent3"/>
        <w:right w:val="single" w:sz="8" w:space="0" w:color="CD163F" w:themeColor="accent3"/>
        <w:insideH w:val="single" w:sz="8" w:space="0" w:color="CD163F" w:themeColor="accent3"/>
        <w:insideV w:val="single" w:sz="8" w:space="0" w:color="CD163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163F" w:themeColor="accent3"/>
          <w:left w:val="single" w:sz="8" w:space="0" w:color="CD163F" w:themeColor="accent3"/>
          <w:bottom w:val="single" w:sz="18" w:space="0" w:color="CD163F" w:themeColor="accent3"/>
          <w:right w:val="single" w:sz="8" w:space="0" w:color="CD163F" w:themeColor="accent3"/>
          <w:insideH w:val="nil"/>
          <w:insideV w:val="single" w:sz="8" w:space="0" w:color="CD163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163F" w:themeColor="accent3"/>
          <w:left w:val="single" w:sz="8" w:space="0" w:color="CD163F" w:themeColor="accent3"/>
          <w:bottom w:val="single" w:sz="8" w:space="0" w:color="CD163F" w:themeColor="accent3"/>
          <w:right w:val="single" w:sz="8" w:space="0" w:color="CD163F" w:themeColor="accent3"/>
          <w:insideH w:val="nil"/>
          <w:insideV w:val="single" w:sz="8" w:space="0" w:color="CD163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163F" w:themeColor="accent3"/>
          <w:left w:val="single" w:sz="8" w:space="0" w:color="CD163F" w:themeColor="accent3"/>
          <w:bottom w:val="single" w:sz="8" w:space="0" w:color="CD163F" w:themeColor="accent3"/>
          <w:right w:val="single" w:sz="8" w:space="0" w:color="CD163F" w:themeColor="accent3"/>
        </w:tcBorders>
      </w:tcPr>
    </w:tblStylePr>
    <w:tblStylePr w:type="band1Vert">
      <w:tblPr/>
      <w:tcPr>
        <w:tcBorders>
          <w:top w:val="single" w:sz="8" w:space="0" w:color="CD163F" w:themeColor="accent3"/>
          <w:left w:val="single" w:sz="8" w:space="0" w:color="CD163F" w:themeColor="accent3"/>
          <w:bottom w:val="single" w:sz="8" w:space="0" w:color="CD163F" w:themeColor="accent3"/>
          <w:right w:val="single" w:sz="8" w:space="0" w:color="CD163F" w:themeColor="accent3"/>
        </w:tcBorders>
        <w:shd w:val="clear" w:color="auto" w:fill="F8BFCC" w:themeFill="accent3" w:themeFillTint="3F"/>
      </w:tcPr>
    </w:tblStylePr>
    <w:tblStylePr w:type="band1Horz">
      <w:tblPr/>
      <w:tcPr>
        <w:tcBorders>
          <w:top w:val="single" w:sz="8" w:space="0" w:color="CD163F" w:themeColor="accent3"/>
          <w:left w:val="single" w:sz="8" w:space="0" w:color="CD163F" w:themeColor="accent3"/>
          <w:bottom w:val="single" w:sz="8" w:space="0" w:color="CD163F" w:themeColor="accent3"/>
          <w:right w:val="single" w:sz="8" w:space="0" w:color="CD163F" w:themeColor="accent3"/>
          <w:insideV w:val="single" w:sz="8" w:space="0" w:color="CD163F" w:themeColor="accent3"/>
        </w:tcBorders>
        <w:shd w:val="clear" w:color="auto" w:fill="F8BFCC" w:themeFill="accent3" w:themeFillTint="3F"/>
      </w:tcPr>
    </w:tblStylePr>
    <w:tblStylePr w:type="band2Horz">
      <w:tblPr/>
      <w:tcPr>
        <w:tcBorders>
          <w:top w:val="single" w:sz="8" w:space="0" w:color="CD163F" w:themeColor="accent3"/>
          <w:left w:val="single" w:sz="8" w:space="0" w:color="CD163F" w:themeColor="accent3"/>
          <w:bottom w:val="single" w:sz="8" w:space="0" w:color="CD163F" w:themeColor="accent3"/>
          <w:right w:val="single" w:sz="8" w:space="0" w:color="CD163F" w:themeColor="accent3"/>
          <w:insideV w:val="single" w:sz="8" w:space="0" w:color="CD163F" w:themeColor="accent3"/>
        </w:tcBorders>
      </w:tcPr>
    </w:tblStylePr>
  </w:style>
  <w:style w:type="table" w:styleId="LightGrid-Accent4">
    <w:name w:val="Light Grid Accent 4"/>
    <w:basedOn w:val="TableNormal"/>
    <w:uiPriority w:val="62"/>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692686" w:themeColor="accent4"/>
        <w:left w:val="single" w:sz="8" w:space="0" w:color="692686" w:themeColor="accent4"/>
        <w:bottom w:val="single" w:sz="8" w:space="0" w:color="692686" w:themeColor="accent4"/>
        <w:right w:val="single" w:sz="8" w:space="0" w:color="692686" w:themeColor="accent4"/>
        <w:insideH w:val="single" w:sz="8" w:space="0" w:color="692686" w:themeColor="accent4"/>
        <w:insideV w:val="single" w:sz="8" w:space="0" w:color="69268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92686" w:themeColor="accent4"/>
          <w:left w:val="single" w:sz="8" w:space="0" w:color="692686" w:themeColor="accent4"/>
          <w:bottom w:val="single" w:sz="18" w:space="0" w:color="692686" w:themeColor="accent4"/>
          <w:right w:val="single" w:sz="8" w:space="0" w:color="692686" w:themeColor="accent4"/>
          <w:insideH w:val="nil"/>
          <w:insideV w:val="single" w:sz="8" w:space="0" w:color="69268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2686" w:themeColor="accent4"/>
          <w:left w:val="single" w:sz="8" w:space="0" w:color="692686" w:themeColor="accent4"/>
          <w:bottom w:val="single" w:sz="8" w:space="0" w:color="692686" w:themeColor="accent4"/>
          <w:right w:val="single" w:sz="8" w:space="0" w:color="692686" w:themeColor="accent4"/>
          <w:insideH w:val="nil"/>
          <w:insideV w:val="single" w:sz="8" w:space="0" w:color="69268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2686" w:themeColor="accent4"/>
          <w:left w:val="single" w:sz="8" w:space="0" w:color="692686" w:themeColor="accent4"/>
          <w:bottom w:val="single" w:sz="8" w:space="0" w:color="692686" w:themeColor="accent4"/>
          <w:right w:val="single" w:sz="8" w:space="0" w:color="692686" w:themeColor="accent4"/>
        </w:tcBorders>
      </w:tcPr>
    </w:tblStylePr>
    <w:tblStylePr w:type="band1Vert">
      <w:tblPr/>
      <w:tcPr>
        <w:tcBorders>
          <w:top w:val="single" w:sz="8" w:space="0" w:color="692686" w:themeColor="accent4"/>
          <w:left w:val="single" w:sz="8" w:space="0" w:color="692686" w:themeColor="accent4"/>
          <w:bottom w:val="single" w:sz="8" w:space="0" w:color="692686" w:themeColor="accent4"/>
          <w:right w:val="single" w:sz="8" w:space="0" w:color="692686" w:themeColor="accent4"/>
        </w:tcBorders>
        <w:shd w:val="clear" w:color="auto" w:fill="DEBDEC" w:themeFill="accent4" w:themeFillTint="3F"/>
      </w:tcPr>
    </w:tblStylePr>
    <w:tblStylePr w:type="band1Horz">
      <w:tblPr/>
      <w:tcPr>
        <w:tcBorders>
          <w:top w:val="single" w:sz="8" w:space="0" w:color="692686" w:themeColor="accent4"/>
          <w:left w:val="single" w:sz="8" w:space="0" w:color="692686" w:themeColor="accent4"/>
          <w:bottom w:val="single" w:sz="8" w:space="0" w:color="692686" w:themeColor="accent4"/>
          <w:right w:val="single" w:sz="8" w:space="0" w:color="692686" w:themeColor="accent4"/>
          <w:insideV w:val="single" w:sz="8" w:space="0" w:color="692686" w:themeColor="accent4"/>
        </w:tcBorders>
        <w:shd w:val="clear" w:color="auto" w:fill="DEBDEC" w:themeFill="accent4" w:themeFillTint="3F"/>
      </w:tcPr>
    </w:tblStylePr>
    <w:tblStylePr w:type="band2Horz">
      <w:tblPr/>
      <w:tcPr>
        <w:tcBorders>
          <w:top w:val="single" w:sz="8" w:space="0" w:color="692686" w:themeColor="accent4"/>
          <w:left w:val="single" w:sz="8" w:space="0" w:color="692686" w:themeColor="accent4"/>
          <w:bottom w:val="single" w:sz="8" w:space="0" w:color="692686" w:themeColor="accent4"/>
          <w:right w:val="single" w:sz="8" w:space="0" w:color="692686" w:themeColor="accent4"/>
          <w:insideV w:val="single" w:sz="8" w:space="0" w:color="692686" w:themeColor="accent4"/>
        </w:tcBorders>
      </w:tcPr>
    </w:tblStylePr>
  </w:style>
  <w:style w:type="table" w:styleId="LightGrid-Accent5">
    <w:name w:val="Light Grid Accent 5"/>
    <w:basedOn w:val="TableNormal"/>
    <w:uiPriority w:val="62"/>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20AA4D" w:themeColor="accent5"/>
        <w:left w:val="single" w:sz="8" w:space="0" w:color="20AA4D" w:themeColor="accent5"/>
        <w:bottom w:val="single" w:sz="8" w:space="0" w:color="20AA4D" w:themeColor="accent5"/>
        <w:right w:val="single" w:sz="8" w:space="0" w:color="20AA4D" w:themeColor="accent5"/>
        <w:insideH w:val="single" w:sz="8" w:space="0" w:color="20AA4D" w:themeColor="accent5"/>
        <w:insideV w:val="single" w:sz="8" w:space="0" w:color="20AA4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AA4D" w:themeColor="accent5"/>
          <w:left w:val="single" w:sz="8" w:space="0" w:color="20AA4D" w:themeColor="accent5"/>
          <w:bottom w:val="single" w:sz="18" w:space="0" w:color="20AA4D" w:themeColor="accent5"/>
          <w:right w:val="single" w:sz="8" w:space="0" w:color="20AA4D" w:themeColor="accent5"/>
          <w:insideH w:val="nil"/>
          <w:insideV w:val="single" w:sz="8" w:space="0" w:color="20AA4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AA4D" w:themeColor="accent5"/>
          <w:left w:val="single" w:sz="8" w:space="0" w:color="20AA4D" w:themeColor="accent5"/>
          <w:bottom w:val="single" w:sz="8" w:space="0" w:color="20AA4D" w:themeColor="accent5"/>
          <w:right w:val="single" w:sz="8" w:space="0" w:color="20AA4D" w:themeColor="accent5"/>
          <w:insideH w:val="nil"/>
          <w:insideV w:val="single" w:sz="8" w:space="0" w:color="20AA4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AA4D" w:themeColor="accent5"/>
          <w:left w:val="single" w:sz="8" w:space="0" w:color="20AA4D" w:themeColor="accent5"/>
          <w:bottom w:val="single" w:sz="8" w:space="0" w:color="20AA4D" w:themeColor="accent5"/>
          <w:right w:val="single" w:sz="8" w:space="0" w:color="20AA4D" w:themeColor="accent5"/>
        </w:tcBorders>
      </w:tcPr>
    </w:tblStylePr>
    <w:tblStylePr w:type="band1Vert">
      <w:tblPr/>
      <w:tcPr>
        <w:tcBorders>
          <w:top w:val="single" w:sz="8" w:space="0" w:color="20AA4D" w:themeColor="accent5"/>
          <w:left w:val="single" w:sz="8" w:space="0" w:color="20AA4D" w:themeColor="accent5"/>
          <w:bottom w:val="single" w:sz="8" w:space="0" w:color="20AA4D" w:themeColor="accent5"/>
          <w:right w:val="single" w:sz="8" w:space="0" w:color="20AA4D" w:themeColor="accent5"/>
        </w:tcBorders>
        <w:shd w:val="clear" w:color="auto" w:fill="BEF3CF" w:themeFill="accent5" w:themeFillTint="3F"/>
      </w:tcPr>
    </w:tblStylePr>
    <w:tblStylePr w:type="band1Horz">
      <w:tblPr/>
      <w:tcPr>
        <w:tcBorders>
          <w:top w:val="single" w:sz="8" w:space="0" w:color="20AA4D" w:themeColor="accent5"/>
          <w:left w:val="single" w:sz="8" w:space="0" w:color="20AA4D" w:themeColor="accent5"/>
          <w:bottom w:val="single" w:sz="8" w:space="0" w:color="20AA4D" w:themeColor="accent5"/>
          <w:right w:val="single" w:sz="8" w:space="0" w:color="20AA4D" w:themeColor="accent5"/>
          <w:insideV w:val="single" w:sz="8" w:space="0" w:color="20AA4D" w:themeColor="accent5"/>
        </w:tcBorders>
        <w:shd w:val="clear" w:color="auto" w:fill="BEF3CF" w:themeFill="accent5" w:themeFillTint="3F"/>
      </w:tcPr>
    </w:tblStylePr>
    <w:tblStylePr w:type="band2Horz">
      <w:tblPr/>
      <w:tcPr>
        <w:tcBorders>
          <w:top w:val="single" w:sz="8" w:space="0" w:color="20AA4D" w:themeColor="accent5"/>
          <w:left w:val="single" w:sz="8" w:space="0" w:color="20AA4D" w:themeColor="accent5"/>
          <w:bottom w:val="single" w:sz="8" w:space="0" w:color="20AA4D" w:themeColor="accent5"/>
          <w:right w:val="single" w:sz="8" w:space="0" w:color="20AA4D" w:themeColor="accent5"/>
          <w:insideV w:val="single" w:sz="8" w:space="0" w:color="20AA4D" w:themeColor="accent5"/>
        </w:tcBorders>
      </w:tcPr>
    </w:tblStylePr>
  </w:style>
  <w:style w:type="table" w:styleId="LightGrid-Accent6">
    <w:name w:val="Light Grid Accent 6"/>
    <w:basedOn w:val="TableNormal"/>
    <w:uiPriority w:val="62"/>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007DB6" w:themeColor="accent6"/>
        <w:left w:val="single" w:sz="8" w:space="0" w:color="007DB6" w:themeColor="accent6"/>
        <w:bottom w:val="single" w:sz="8" w:space="0" w:color="007DB6" w:themeColor="accent6"/>
        <w:right w:val="single" w:sz="8" w:space="0" w:color="007DB6" w:themeColor="accent6"/>
        <w:insideH w:val="single" w:sz="8" w:space="0" w:color="007DB6" w:themeColor="accent6"/>
        <w:insideV w:val="single" w:sz="8" w:space="0" w:color="007DB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DB6" w:themeColor="accent6"/>
          <w:left w:val="single" w:sz="8" w:space="0" w:color="007DB6" w:themeColor="accent6"/>
          <w:bottom w:val="single" w:sz="18" w:space="0" w:color="007DB6" w:themeColor="accent6"/>
          <w:right w:val="single" w:sz="8" w:space="0" w:color="007DB6" w:themeColor="accent6"/>
          <w:insideH w:val="nil"/>
          <w:insideV w:val="single" w:sz="8" w:space="0" w:color="007DB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DB6" w:themeColor="accent6"/>
          <w:left w:val="single" w:sz="8" w:space="0" w:color="007DB6" w:themeColor="accent6"/>
          <w:bottom w:val="single" w:sz="8" w:space="0" w:color="007DB6" w:themeColor="accent6"/>
          <w:right w:val="single" w:sz="8" w:space="0" w:color="007DB6" w:themeColor="accent6"/>
          <w:insideH w:val="nil"/>
          <w:insideV w:val="single" w:sz="8" w:space="0" w:color="007DB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DB6" w:themeColor="accent6"/>
          <w:left w:val="single" w:sz="8" w:space="0" w:color="007DB6" w:themeColor="accent6"/>
          <w:bottom w:val="single" w:sz="8" w:space="0" w:color="007DB6" w:themeColor="accent6"/>
          <w:right w:val="single" w:sz="8" w:space="0" w:color="007DB6" w:themeColor="accent6"/>
        </w:tcBorders>
      </w:tcPr>
    </w:tblStylePr>
    <w:tblStylePr w:type="band1Vert">
      <w:tblPr/>
      <w:tcPr>
        <w:tcBorders>
          <w:top w:val="single" w:sz="8" w:space="0" w:color="007DB6" w:themeColor="accent6"/>
          <w:left w:val="single" w:sz="8" w:space="0" w:color="007DB6" w:themeColor="accent6"/>
          <w:bottom w:val="single" w:sz="8" w:space="0" w:color="007DB6" w:themeColor="accent6"/>
          <w:right w:val="single" w:sz="8" w:space="0" w:color="007DB6" w:themeColor="accent6"/>
        </w:tcBorders>
        <w:shd w:val="clear" w:color="auto" w:fill="ADE5FF" w:themeFill="accent6" w:themeFillTint="3F"/>
      </w:tcPr>
    </w:tblStylePr>
    <w:tblStylePr w:type="band1Horz">
      <w:tblPr/>
      <w:tcPr>
        <w:tcBorders>
          <w:top w:val="single" w:sz="8" w:space="0" w:color="007DB6" w:themeColor="accent6"/>
          <w:left w:val="single" w:sz="8" w:space="0" w:color="007DB6" w:themeColor="accent6"/>
          <w:bottom w:val="single" w:sz="8" w:space="0" w:color="007DB6" w:themeColor="accent6"/>
          <w:right w:val="single" w:sz="8" w:space="0" w:color="007DB6" w:themeColor="accent6"/>
          <w:insideV w:val="single" w:sz="8" w:space="0" w:color="007DB6" w:themeColor="accent6"/>
        </w:tcBorders>
        <w:shd w:val="clear" w:color="auto" w:fill="ADE5FF" w:themeFill="accent6" w:themeFillTint="3F"/>
      </w:tcPr>
    </w:tblStylePr>
    <w:tblStylePr w:type="band2Horz">
      <w:tblPr/>
      <w:tcPr>
        <w:tcBorders>
          <w:top w:val="single" w:sz="8" w:space="0" w:color="007DB6" w:themeColor="accent6"/>
          <w:left w:val="single" w:sz="8" w:space="0" w:color="007DB6" w:themeColor="accent6"/>
          <w:bottom w:val="single" w:sz="8" w:space="0" w:color="007DB6" w:themeColor="accent6"/>
          <w:right w:val="single" w:sz="8" w:space="0" w:color="007DB6" w:themeColor="accent6"/>
          <w:insideV w:val="single" w:sz="8" w:space="0" w:color="007DB6" w:themeColor="accent6"/>
        </w:tcBorders>
      </w:tcPr>
    </w:tblStylePr>
  </w:style>
  <w:style w:type="table" w:styleId="LightList">
    <w:name w:val="Light List"/>
    <w:basedOn w:val="TableNormal"/>
    <w:uiPriority w:val="61"/>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D7D8D6" w:themeColor="accent1"/>
        <w:left w:val="single" w:sz="8" w:space="0" w:color="D7D8D6" w:themeColor="accent1"/>
        <w:bottom w:val="single" w:sz="8" w:space="0" w:color="D7D8D6" w:themeColor="accent1"/>
        <w:right w:val="single" w:sz="8" w:space="0" w:color="D7D8D6" w:themeColor="accent1"/>
      </w:tblBorders>
    </w:tblPr>
    <w:tblStylePr w:type="firstRow">
      <w:pPr>
        <w:spacing w:before="0" w:after="0" w:line="240" w:lineRule="auto"/>
      </w:pPr>
      <w:rPr>
        <w:b/>
        <w:bCs/>
        <w:color w:val="FFFFFF" w:themeColor="background1"/>
      </w:rPr>
      <w:tblPr/>
      <w:tcPr>
        <w:shd w:val="clear" w:color="auto" w:fill="D7D8D6" w:themeFill="accent1"/>
      </w:tcPr>
    </w:tblStylePr>
    <w:tblStylePr w:type="lastRow">
      <w:pPr>
        <w:spacing w:before="0" w:after="0" w:line="240" w:lineRule="auto"/>
      </w:pPr>
      <w:rPr>
        <w:b/>
        <w:bCs/>
      </w:rPr>
      <w:tblPr/>
      <w:tcPr>
        <w:tcBorders>
          <w:top w:val="double" w:sz="6" w:space="0" w:color="D7D8D6" w:themeColor="accent1"/>
          <w:left w:val="single" w:sz="8" w:space="0" w:color="D7D8D6" w:themeColor="accent1"/>
          <w:bottom w:val="single" w:sz="8" w:space="0" w:color="D7D8D6" w:themeColor="accent1"/>
          <w:right w:val="single" w:sz="8" w:space="0" w:color="D7D8D6" w:themeColor="accent1"/>
        </w:tcBorders>
      </w:tcPr>
    </w:tblStylePr>
    <w:tblStylePr w:type="firstCol">
      <w:rPr>
        <w:b/>
        <w:bCs/>
      </w:rPr>
    </w:tblStylePr>
    <w:tblStylePr w:type="lastCol">
      <w:rPr>
        <w:b/>
        <w:bCs/>
      </w:rPr>
    </w:tblStylePr>
    <w:tblStylePr w:type="band1Vert">
      <w:tblPr/>
      <w:tcPr>
        <w:tcBorders>
          <w:top w:val="single" w:sz="8" w:space="0" w:color="D7D8D6" w:themeColor="accent1"/>
          <w:left w:val="single" w:sz="8" w:space="0" w:color="D7D8D6" w:themeColor="accent1"/>
          <w:bottom w:val="single" w:sz="8" w:space="0" w:color="D7D8D6" w:themeColor="accent1"/>
          <w:right w:val="single" w:sz="8" w:space="0" w:color="D7D8D6" w:themeColor="accent1"/>
        </w:tcBorders>
      </w:tcPr>
    </w:tblStylePr>
    <w:tblStylePr w:type="band1Horz">
      <w:tblPr/>
      <w:tcPr>
        <w:tcBorders>
          <w:top w:val="single" w:sz="8" w:space="0" w:color="D7D8D6" w:themeColor="accent1"/>
          <w:left w:val="single" w:sz="8" w:space="0" w:color="D7D8D6" w:themeColor="accent1"/>
          <w:bottom w:val="single" w:sz="8" w:space="0" w:color="D7D8D6" w:themeColor="accent1"/>
          <w:right w:val="single" w:sz="8" w:space="0" w:color="D7D8D6" w:themeColor="accent1"/>
        </w:tcBorders>
      </w:tcPr>
    </w:tblStylePr>
  </w:style>
  <w:style w:type="table" w:styleId="LightList-Accent2">
    <w:name w:val="Light List Accent 2"/>
    <w:basedOn w:val="TableNormal"/>
    <w:uiPriority w:val="61"/>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FFC709" w:themeColor="accent2"/>
        <w:left w:val="single" w:sz="8" w:space="0" w:color="FFC709" w:themeColor="accent2"/>
        <w:bottom w:val="single" w:sz="8" w:space="0" w:color="FFC709" w:themeColor="accent2"/>
        <w:right w:val="single" w:sz="8" w:space="0" w:color="FFC709" w:themeColor="accent2"/>
      </w:tblBorders>
    </w:tblPr>
    <w:tblStylePr w:type="firstRow">
      <w:pPr>
        <w:spacing w:before="0" w:after="0" w:line="240" w:lineRule="auto"/>
      </w:pPr>
      <w:rPr>
        <w:b/>
        <w:bCs/>
        <w:color w:val="FFFFFF" w:themeColor="background1"/>
      </w:rPr>
      <w:tblPr/>
      <w:tcPr>
        <w:shd w:val="clear" w:color="auto" w:fill="FFC709" w:themeFill="accent2"/>
      </w:tcPr>
    </w:tblStylePr>
    <w:tblStylePr w:type="lastRow">
      <w:pPr>
        <w:spacing w:before="0" w:after="0" w:line="240" w:lineRule="auto"/>
      </w:pPr>
      <w:rPr>
        <w:b/>
        <w:bCs/>
      </w:rPr>
      <w:tblPr/>
      <w:tcPr>
        <w:tcBorders>
          <w:top w:val="double" w:sz="6" w:space="0" w:color="FFC709" w:themeColor="accent2"/>
          <w:left w:val="single" w:sz="8" w:space="0" w:color="FFC709" w:themeColor="accent2"/>
          <w:bottom w:val="single" w:sz="8" w:space="0" w:color="FFC709" w:themeColor="accent2"/>
          <w:right w:val="single" w:sz="8" w:space="0" w:color="FFC709" w:themeColor="accent2"/>
        </w:tcBorders>
      </w:tcPr>
    </w:tblStylePr>
    <w:tblStylePr w:type="firstCol">
      <w:rPr>
        <w:b/>
        <w:bCs/>
      </w:rPr>
    </w:tblStylePr>
    <w:tblStylePr w:type="lastCol">
      <w:rPr>
        <w:b/>
        <w:bCs/>
      </w:rPr>
    </w:tblStylePr>
    <w:tblStylePr w:type="band1Vert">
      <w:tblPr/>
      <w:tcPr>
        <w:tcBorders>
          <w:top w:val="single" w:sz="8" w:space="0" w:color="FFC709" w:themeColor="accent2"/>
          <w:left w:val="single" w:sz="8" w:space="0" w:color="FFC709" w:themeColor="accent2"/>
          <w:bottom w:val="single" w:sz="8" w:space="0" w:color="FFC709" w:themeColor="accent2"/>
          <w:right w:val="single" w:sz="8" w:space="0" w:color="FFC709" w:themeColor="accent2"/>
        </w:tcBorders>
      </w:tcPr>
    </w:tblStylePr>
    <w:tblStylePr w:type="band1Horz">
      <w:tblPr/>
      <w:tcPr>
        <w:tcBorders>
          <w:top w:val="single" w:sz="8" w:space="0" w:color="FFC709" w:themeColor="accent2"/>
          <w:left w:val="single" w:sz="8" w:space="0" w:color="FFC709" w:themeColor="accent2"/>
          <w:bottom w:val="single" w:sz="8" w:space="0" w:color="FFC709" w:themeColor="accent2"/>
          <w:right w:val="single" w:sz="8" w:space="0" w:color="FFC709" w:themeColor="accent2"/>
        </w:tcBorders>
      </w:tcPr>
    </w:tblStylePr>
  </w:style>
  <w:style w:type="table" w:styleId="LightList-Accent3">
    <w:name w:val="Light List Accent 3"/>
    <w:basedOn w:val="TableNormal"/>
    <w:uiPriority w:val="61"/>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CD163F" w:themeColor="accent3"/>
        <w:left w:val="single" w:sz="8" w:space="0" w:color="CD163F" w:themeColor="accent3"/>
        <w:bottom w:val="single" w:sz="8" w:space="0" w:color="CD163F" w:themeColor="accent3"/>
        <w:right w:val="single" w:sz="8" w:space="0" w:color="CD163F" w:themeColor="accent3"/>
      </w:tblBorders>
    </w:tblPr>
    <w:tblStylePr w:type="firstRow">
      <w:pPr>
        <w:spacing w:before="0" w:after="0" w:line="240" w:lineRule="auto"/>
      </w:pPr>
      <w:rPr>
        <w:b/>
        <w:bCs/>
        <w:color w:val="FFFFFF" w:themeColor="background1"/>
      </w:rPr>
      <w:tblPr/>
      <w:tcPr>
        <w:shd w:val="clear" w:color="auto" w:fill="CD163F" w:themeFill="accent3"/>
      </w:tcPr>
    </w:tblStylePr>
    <w:tblStylePr w:type="lastRow">
      <w:pPr>
        <w:spacing w:before="0" w:after="0" w:line="240" w:lineRule="auto"/>
      </w:pPr>
      <w:rPr>
        <w:b/>
        <w:bCs/>
      </w:rPr>
      <w:tblPr/>
      <w:tcPr>
        <w:tcBorders>
          <w:top w:val="double" w:sz="6" w:space="0" w:color="CD163F" w:themeColor="accent3"/>
          <w:left w:val="single" w:sz="8" w:space="0" w:color="CD163F" w:themeColor="accent3"/>
          <w:bottom w:val="single" w:sz="8" w:space="0" w:color="CD163F" w:themeColor="accent3"/>
          <w:right w:val="single" w:sz="8" w:space="0" w:color="CD163F" w:themeColor="accent3"/>
        </w:tcBorders>
      </w:tcPr>
    </w:tblStylePr>
    <w:tblStylePr w:type="firstCol">
      <w:rPr>
        <w:b/>
        <w:bCs/>
      </w:rPr>
    </w:tblStylePr>
    <w:tblStylePr w:type="lastCol">
      <w:rPr>
        <w:b/>
        <w:bCs/>
      </w:rPr>
    </w:tblStylePr>
    <w:tblStylePr w:type="band1Vert">
      <w:tblPr/>
      <w:tcPr>
        <w:tcBorders>
          <w:top w:val="single" w:sz="8" w:space="0" w:color="CD163F" w:themeColor="accent3"/>
          <w:left w:val="single" w:sz="8" w:space="0" w:color="CD163F" w:themeColor="accent3"/>
          <w:bottom w:val="single" w:sz="8" w:space="0" w:color="CD163F" w:themeColor="accent3"/>
          <w:right w:val="single" w:sz="8" w:space="0" w:color="CD163F" w:themeColor="accent3"/>
        </w:tcBorders>
      </w:tcPr>
    </w:tblStylePr>
    <w:tblStylePr w:type="band1Horz">
      <w:tblPr/>
      <w:tcPr>
        <w:tcBorders>
          <w:top w:val="single" w:sz="8" w:space="0" w:color="CD163F" w:themeColor="accent3"/>
          <w:left w:val="single" w:sz="8" w:space="0" w:color="CD163F" w:themeColor="accent3"/>
          <w:bottom w:val="single" w:sz="8" w:space="0" w:color="CD163F" w:themeColor="accent3"/>
          <w:right w:val="single" w:sz="8" w:space="0" w:color="CD163F" w:themeColor="accent3"/>
        </w:tcBorders>
      </w:tcPr>
    </w:tblStylePr>
  </w:style>
  <w:style w:type="table" w:styleId="LightList-Accent4">
    <w:name w:val="Light List Accent 4"/>
    <w:basedOn w:val="TableNormal"/>
    <w:uiPriority w:val="61"/>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692686" w:themeColor="accent4"/>
        <w:left w:val="single" w:sz="8" w:space="0" w:color="692686" w:themeColor="accent4"/>
        <w:bottom w:val="single" w:sz="8" w:space="0" w:color="692686" w:themeColor="accent4"/>
        <w:right w:val="single" w:sz="8" w:space="0" w:color="692686" w:themeColor="accent4"/>
      </w:tblBorders>
    </w:tblPr>
    <w:tblStylePr w:type="firstRow">
      <w:pPr>
        <w:spacing w:before="0" w:after="0" w:line="240" w:lineRule="auto"/>
      </w:pPr>
      <w:rPr>
        <w:b/>
        <w:bCs/>
        <w:color w:val="FFFFFF" w:themeColor="background1"/>
      </w:rPr>
      <w:tblPr/>
      <w:tcPr>
        <w:shd w:val="clear" w:color="auto" w:fill="692686" w:themeFill="accent4"/>
      </w:tcPr>
    </w:tblStylePr>
    <w:tblStylePr w:type="lastRow">
      <w:pPr>
        <w:spacing w:before="0" w:after="0" w:line="240" w:lineRule="auto"/>
      </w:pPr>
      <w:rPr>
        <w:b/>
        <w:bCs/>
      </w:rPr>
      <w:tblPr/>
      <w:tcPr>
        <w:tcBorders>
          <w:top w:val="double" w:sz="6" w:space="0" w:color="692686" w:themeColor="accent4"/>
          <w:left w:val="single" w:sz="8" w:space="0" w:color="692686" w:themeColor="accent4"/>
          <w:bottom w:val="single" w:sz="8" w:space="0" w:color="692686" w:themeColor="accent4"/>
          <w:right w:val="single" w:sz="8" w:space="0" w:color="692686" w:themeColor="accent4"/>
        </w:tcBorders>
      </w:tcPr>
    </w:tblStylePr>
    <w:tblStylePr w:type="firstCol">
      <w:rPr>
        <w:b/>
        <w:bCs/>
      </w:rPr>
    </w:tblStylePr>
    <w:tblStylePr w:type="lastCol">
      <w:rPr>
        <w:b/>
        <w:bCs/>
      </w:rPr>
    </w:tblStylePr>
    <w:tblStylePr w:type="band1Vert">
      <w:tblPr/>
      <w:tcPr>
        <w:tcBorders>
          <w:top w:val="single" w:sz="8" w:space="0" w:color="692686" w:themeColor="accent4"/>
          <w:left w:val="single" w:sz="8" w:space="0" w:color="692686" w:themeColor="accent4"/>
          <w:bottom w:val="single" w:sz="8" w:space="0" w:color="692686" w:themeColor="accent4"/>
          <w:right w:val="single" w:sz="8" w:space="0" w:color="692686" w:themeColor="accent4"/>
        </w:tcBorders>
      </w:tcPr>
    </w:tblStylePr>
    <w:tblStylePr w:type="band1Horz">
      <w:tblPr/>
      <w:tcPr>
        <w:tcBorders>
          <w:top w:val="single" w:sz="8" w:space="0" w:color="692686" w:themeColor="accent4"/>
          <w:left w:val="single" w:sz="8" w:space="0" w:color="692686" w:themeColor="accent4"/>
          <w:bottom w:val="single" w:sz="8" w:space="0" w:color="692686" w:themeColor="accent4"/>
          <w:right w:val="single" w:sz="8" w:space="0" w:color="692686" w:themeColor="accent4"/>
        </w:tcBorders>
      </w:tcPr>
    </w:tblStylePr>
  </w:style>
  <w:style w:type="table" w:styleId="LightList-Accent5">
    <w:name w:val="Light List Accent 5"/>
    <w:basedOn w:val="TableNormal"/>
    <w:uiPriority w:val="61"/>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20AA4D" w:themeColor="accent5"/>
        <w:left w:val="single" w:sz="8" w:space="0" w:color="20AA4D" w:themeColor="accent5"/>
        <w:bottom w:val="single" w:sz="8" w:space="0" w:color="20AA4D" w:themeColor="accent5"/>
        <w:right w:val="single" w:sz="8" w:space="0" w:color="20AA4D" w:themeColor="accent5"/>
      </w:tblBorders>
    </w:tblPr>
    <w:tblStylePr w:type="firstRow">
      <w:pPr>
        <w:spacing w:before="0" w:after="0" w:line="240" w:lineRule="auto"/>
      </w:pPr>
      <w:rPr>
        <w:b/>
        <w:bCs/>
        <w:color w:val="FFFFFF" w:themeColor="background1"/>
      </w:rPr>
      <w:tblPr/>
      <w:tcPr>
        <w:shd w:val="clear" w:color="auto" w:fill="20AA4D" w:themeFill="accent5"/>
      </w:tcPr>
    </w:tblStylePr>
    <w:tblStylePr w:type="lastRow">
      <w:pPr>
        <w:spacing w:before="0" w:after="0" w:line="240" w:lineRule="auto"/>
      </w:pPr>
      <w:rPr>
        <w:b/>
        <w:bCs/>
      </w:rPr>
      <w:tblPr/>
      <w:tcPr>
        <w:tcBorders>
          <w:top w:val="double" w:sz="6" w:space="0" w:color="20AA4D" w:themeColor="accent5"/>
          <w:left w:val="single" w:sz="8" w:space="0" w:color="20AA4D" w:themeColor="accent5"/>
          <w:bottom w:val="single" w:sz="8" w:space="0" w:color="20AA4D" w:themeColor="accent5"/>
          <w:right w:val="single" w:sz="8" w:space="0" w:color="20AA4D" w:themeColor="accent5"/>
        </w:tcBorders>
      </w:tcPr>
    </w:tblStylePr>
    <w:tblStylePr w:type="firstCol">
      <w:rPr>
        <w:b/>
        <w:bCs/>
      </w:rPr>
    </w:tblStylePr>
    <w:tblStylePr w:type="lastCol">
      <w:rPr>
        <w:b/>
        <w:bCs/>
      </w:rPr>
    </w:tblStylePr>
    <w:tblStylePr w:type="band1Vert">
      <w:tblPr/>
      <w:tcPr>
        <w:tcBorders>
          <w:top w:val="single" w:sz="8" w:space="0" w:color="20AA4D" w:themeColor="accent5"/>
          <w:left w:val="single" w:sz="8" w:space="0" w:color="20AA4D" w:themeColor="accent5"/>
          <w:bottom w:val="single" w:sz="8" w:space="0" w:color="20AA4D" w:themeColor="accent5"/>
          <w:right w:val="single" w:sz="8" w:space="0" w:color="20AA4D" w:themeColor="accent5"/>
        </w:tcBorders>
      </w:tcPr>
    </w:tblStylePr>
    <w:tblStylePr w:type="band1Horz">
      <w:tblPr/>
      <w:tcPr>
        <w:tcBorders>
          <w:top w:val="single" w:sz="8" w:space="0" w:color="20AA4D" w:themeColor="accent5"/>
          <w:left w:val="single" w:sz="8" w:space="0" w:color="20AA4D" w:themeColor="accent5"/>
          <w:bottom w:val="single" w:sz="8" w:space="0" w:color="20AA4D" w:themeColor="accent5"/>
          <w:right w:val="single" w:sz="8" w:space="0" w:color="20AA4D" w:themeColor="accent5"/>
        </w:tcBorders>
      </w:tcPr>
    </w:tblStylePr>
  </w:style>
  <w:style w:type="table" w:styleId="LightList-Accent6">
    <w:name w:val="Light List Accent 6"/>
    <w:basedOn w:val="TableNormal"/>
    <w:uiPriority w:val="61"/>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007DB6" w:themeColor="accent6"/>
        <w:left w:val="single" w:sz="8" w:space="0" w:color="007DB6" w:themeColor="accent6"/>
        <w:bottom w:val="single" w:sz="8" w:space="0" w:color="007DB6" w:themeColor="accent6"/>
        <w:right w:val="single" w:sz="8" w:space="0" w:color="007DB6" w:themeColor="accent6"/>
      </w:tblBorders>
    </w:tblPr>
    <w:tblStylePr w:type="firstRow">
      <w:pPr>
        <w:spacing w:before="0" w:after="0" w:line="240" w:lineRule="auto"/>
      </w:pPr>
      <w:rPr>
        <w:b/>
        <w:bCs/>
        <w:color w:val="FFFFFF" w:themeColor="background1"/>
      </w:rPr>
      <w:tblPr/>
      <w:tcPr>
        <w:shd w:val="clear" w:color="auto" w:fill="007DB6" w:themeFill="accent6"/>
      </w:tcPr>
    </w:tblStylePr>
    <w:tblStylePr w:type="lastRow">
      <w:pPr>
        <w:spacing w:before="0" w:after="0" w:line="240" w:lineRule="auto"/>
      </w:pPr>
      <w:rPr>
        <w:b/>
        <w:bCs/>
      </w:rPr>
      <w:tblPr/>
      <w:tcPr>
        <w:tcBorders>
          <w:top w:val="double" w:sz="6" w:space="0" w:color="007DB6" w:themeColor="accent6"/>
          <w:left w:val="single" w:sz="8" w:space="0" w:color="007DB6" w:themeColor="accent6"/>
          <w:bottom w:val="single" w:sz="8" w:space="0" w:color="007DB6" w:themeColor="accent6"/>
          <w:right w:val="single" w:sz="8" w:space="0" w:color="007DB6" w:themeColor="accent6"/>
        </w:tcBorders>
      </w:tcPr>
    </w:tblStylePr>
    <w:tblStylePr w:type="firstCol">
      <w:rPr>
        <w:b/>
        <w:bCs/>
      </w:rPr>
    </w:tblStylePr>
    <w:tblStylePr w:type="lastCol">
      <w:rPr>
        <w:b/>
        <w:bCs/>
      </w:rPr>
    </w:tblStylePr>
    <w:tblStylePr w:type="band1Vert">
      <w:tblPr/>
      <w:tcPr>
        <w:tcBorders>
          <w:top w:val="single" w:sz="8" w:space="0" w:color="007DB6" w:themeColor="accent6"/>
          <w:left w:val="single" w:sz="8" w:space="0" w:color="007DB6" w:themeColor="accent6"/>
          <w:bottom w:val="single" w:sz="8" w:space="0" w:color="007DB6" w:themeColor="accent6"/>
          <w:right w:val="single" w:sz="8" w:space="0" w:color="007DB6" w:themeColor="accent6"/>
        </w:tcBorders>
      </w:tcPr>
    </w:tblStylePr>
    <w:tblStylePr w:type="band1Horz">
      <w:tblPr/>
      <w:tcPr>
        <w:tcBorders>
          <w:top w:val="single" w:sz="8" w:space="0" w:color="007DB6" w:themeColor="accent6"/>
          <w:left w:val="single" w:sz="8" w:space="0" w:color="007DB6" w:themeColor="accent6"/>
          <w:bottom w:val="single" w:sz="8" w:space="0" w:color="007DB6" w:themeColor="accent6"/>
          <w:right w:val="single" w:sz="8" w:space="0" w:color="007DB6" w:themeColor="accent6"/>
        </w:tcBorders>
      </w:tcPr>
    </w:tblStylePr>
  </w:style>
  <w:style w:type="table" w:styleId="LightShading">
    <w:name w:val="Light Shading"/>
    <w:basedOn w:val="TableNormal"/>
    <w:uiPriority w:val="60"/>
    <w:unhideWhenUsed/>
    <w:rsid w:val="006135B1"/>
    <w:pPr>
      <w:spacing w:after="0" w:line="240" w:lineRule="auto"/>
    </w:pPr>
    <w:rPr>
      <w:rFonts w:eastAsia="Times New Roman" w:cs="Times New Roman"/>
      <w:color w:val="000000" w:themeColor="text1" w:themeShade="BF"/>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semiHidden/>
    <w:unhideWhenUsed/>
    <w:rsid w:val="006135B1"/>
    <w:pPr>
      <w:spacing w:after="0" w:line="240" w:lineRule="auto"/>
    </w:pPr>
    <w:rPr>
      <w:rFonts w:eastAsia="Times New Roman" w:cs="Times New Roman"/>
      <w:color w:val="C59700" w:themeColor="accent2" w:themeShade="BF"/>
      <w:sz w:val="20"/>
      <w:szCs w:val="20"/>
      <w:lang w:eastAsia="en-AU"/>
    </w:rPr>
    <w:tblPr>
      <w:tblStyleRowBandSize w:val="1"/>
      <w:tblStyleColBandSize w:val="1"/>
      <w:tblBorders>
        <w:top w:val="single" w:sz="8" w:space="0" w:color="FFC709" w:themeColor="accent2"/>
        <w:bottom w:val="single" w:sz="8" w:space="0" w:color="FFC709" w:themeColor="accent2"/>
      </w:tblBorders>
    </w:tblPr>
    <w:tblStylePr w:type="firstRow">
      <w:pPr>
        <w:spacing w:before="0" w:after="0" w:line="240" w:lineRule="auto"/>
      </w:pPr>
      <w:rPr>
        <w:b/>
        <w:bCs/>
      </w:rPr>
      <w:tblPr/>
      <w:tcPr>
        <w:tcBorders>
          <w:top w:val="single" w:sz="8" w:space="0" w:color="FFC709" w:themeColor="accent2"/>
          <w:left w:val="nil"/>
          <w:bottom w:val="single" w:sz="8" w:space="0" w:color="FFC709" w:themeColor="accent2"/>
          <w:right w:val="nil"/>
          <w:insideH w:val="nil"/>
          <w:insideV w:val="nil"/>
        </w:tcBorders>
      </w:tcPr>
    </w:tblStylePr>
    <w:tblStylePr w:type="lastRow">
      <w:pPr>
        <w:spacing w:before="0" w:after="0" w:line="240" w:lineRule="auto"/>
      </w:pPr>
      <w:rPr>
        <w:b/>
        <w:bCs/>
      </w:rPr>
      <w:tblPr/>
      <w:tcPr>
        <w:tcBorders>
          <w:top w:val="single" w:sz="8" w:space="0" w:color="FFC709" w:themeColor="accent2"/>
          <w:left w:val="nil"/>
          <w:bottom w:val="single" w:sz="8" w:space="0" w:color="FFC70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0C2" w:themeFill="accent2" w:themeFillTint="3F"/>
      </w:tcPr>
    </w:tblStylePr>
    <w:tblStylePr w:type="band1Horz">
      <w:tblPr/>
      <w:tcPr>
        <w:tcBorders>
          <w:left w:val="nil"/>
          <w:right w:val="nil"/>
          <w:insideH w:val="nil"/>
          <w:insideV w:val="nil"/>
        </w:tcBorders>
        <w:shd w:val="clear" w:color="auto" w:fill="FFF0C2" w:themeFill="accent2" w:themeFillTint="3F"/>
      </w:tcPr>
    </w:tblStylePr>
  </w:style>
  <w:style w:type="table" w:styleId="LightShading-Accent3">
    <w:name w:val="Light Shading Accent 3"/>
    <w:basedOn w:val="TableNormal"/>
    <w:uiPriority w:val="60"/>
    <w:semiHidden/>
    <w:unhideWhenUsed/>
    <w:rsid w:val="006135B1"/>
    <w:pPr>
      <w:spacing w:after="0" w:line="240" w:lineRule="auto"/>
    </w:pPr>
    <w:rPr>
      <w:rFonts w:eastAsia="Times New Roman" w:cs="Times New Roman"/>
      <w:color w:val="99102F" w:themeColor="accent3" w:themeShade="BF"/>
      <w:sz w:val="20"/>
      <w:szCs w:val="20"/>
      <w:lang w:eastAsia="en-AU"/>
    </w:rPr>
    <w:tblPr>
      <w:tblStyleRowBandSize w:val="1"/>
      <w:tblStyleColBandSize w:val="1"/>
      <w:tblBorders>
        <w:top w:val="single" w:sz="8" w:space="0" w:color="CD163F" w:themeColor="accent3"/>
        <w:bottom w:val="single" w:sz="8" w:space="0" w:color="CD163F" w:themeColor="accent3"/>
      </w:tblBorders>
    </w:tblPr>
    <w:tblStylePr w:type="firstRow">
      <w:pPr>
        <w:spacing w:before="0" w:after="0" w:line="240" w:lineRule="auto"/>
      </w:pPr>
      <w:rPr>
        <w:b/>
        <w:bCs/>
      </w:rPr>
      <w:tblPr/>
      <w:tcPr>
        <w:tcBorders>
          <w:top w:val="single" w:sz="8" w:space="0" w:color="CD163F" w:themeColor="accent3"/>
          <w:left w:val="nil"/>
          <w:bottom w:val="single" w:sz="8" w:space="0" w:color="CD163F" w:themeColor="accent3"/>
          <w:right w:val="nil"/>
          <w:insideH w:val="nil"/>
          <w:insideV w:val="nil"/>
        </w:tcBorders>
      </w:tcPr>
    </w:tblStylePr>
    <w:tblStylePr w:type="lastRow">
      <w:pPr>
        <w:spacing w:before="0" w:after="0" w:line="240" w:lineRule="auto"/>
      </w:pPr>
      <w:rPr>
        <w:b/>
        <w:bCs/>
      </w:rPr>
      <w:tblPr/>
      <w:tcPr>
        <w:tcBorders>
          <w:top w:val="single" w:sz="8" w:space="0" w:color="CD163F" w:themeColor="accent3"/>
          <w:left w:val="nil"/>
          <w:bottom w:val="single" w:sz="8" w:space="0" w:color="CD1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BFCC" w:themeFill="accent3" w:themeFillTint="3F"/>
      </w:tcPr>
    </w:tblStylePr>
    <w:tblStylePr w:type="band1Horz">
      <w:tblPr/>
      <w:tcPr>
        <w:tcBorders>
          <w:left w:val="nil"/>
          <w:right w:val="nil"/>
          <w:insideH w:val="nil"/>
          <w:insideV w:val="nil"/>
        </w:tcBorders>
        <w:shd w:val="clear" w:color="auto" w:fill="F8BFCC" w:themeFill="accent3" w:themeFillTint="3F"/>
      </w:tcPr>
    </w:tblStylePr>
  </w:style>
  <w:style w:type="table" w:styleId="LightShading-Accent4">
    <w:name w:val="Light Shading Accent 4"/>
    <w:basedOn w:val="TableNormal"/>
    <w:uiPriority w:val="60"/>
    <w:semiHidden/>
    <w:unhideWhenUsed/>
    <w:rsid w:val="006135B1"/>
    <w:pPr>
      <w:spacing w:after="0" w:line="240" w:lineRule="auto"/>
    </w:pPr>
    <w:rPr>
      <w:rFonts w:eastAsia="Times New Roman" w:cs="Times New Roman"/>
      <w:color w:val="4E1C64" w:themeColor="accent4" w:themeShade="BF"/>
      <w:sz w:val="20"/>
      <w:szCs w:val="20"/>
      <w:lang w:eastAsia="en-AU"/>
    </w:rPr>
    <w:tblPr>
      <w:tblStyleRowBandSize w:val="1"/>
      <w:tblStyleColBandSize w:val="1"/>
      <w:tblBorders>
        <w:top w:val="single" w:sz="8" w:space="0" w:color="692686" w:themeColor="accent4"/>
        <w:bottom w:val="single" w:sz="8" w:space="0" w:color="692686" w:themeColor="accent4"/>
      </w:tblBorders>
    </w:tblPr>
    <w:tblStylePr w:type="firstRow">
      <w:pPr>
        <w:spacing w:before="0" w:after="0" w:line="240" w:lineRule="auto"/>
      </w:pPr>
      <w:rPr>
        <w:b/>
        <w:bCs/>
      </w:rPr>
      <w:tblPr/>
      <w:tcPr>
        <w:tcBorders>
          <w:top w:val="single" w:sz="8" w:space="0" w:color="692686" w:themeColor="accent4"/>
          <w:left w:val="nil"/>
          <w:bottom w:val="single" w:sz="8" w:space="0" w:color="692686" w:themeColor="accent4"/>
          <w:right w:val="nil"/>
          <w:insideH w:val="nil"/>
          <w:insideV w:val="nil"/>
        </w:tcBorders>
      </w:tcPr>
    </w:tblStylePr>
    <w:tblStylePr w:type="lastRow">
      <w:pPr>
        <w:spacing w:before="0" w:after="0" w:line="240" w:lineRule="auto"/>
      </w:pPr>
      <w:rPr>
        <w:b/>
        <w:bCs/>
      </w:rPr>
      <w:tblPr/>
      <w:tcPr>
        <w:tcBorders>
          <w:top w:val="single" w:sz="8" w:space="0" w:color="692686" w:themeColor="accent4"/>
          <w:left w:val="nil"/>
          <w:bottom w:val="single" w:sz="8" w:space="0" w:color="69268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BDEC" w:themeFill="accent4" w:themeFillTint="3F"/>
      </w:tcPr>
    </w:tblStylePr>
    <w:tblStylePr w:type="band1Horz">
      <w:tblPr/>
      <w:tcPr>
        <w:tcBorders>
          <w:left w:val="nil"/>
          <w:right w:val="nil"/>
          <w:insideH w:val="nil"/>
          <w:insideV w:val="nil"/>
        </w:tcBorders>
        <w:shd w:val="clear" w:color="auto" w:fill="DEBDEC" w:themeFill="accent4" w:themeFillTint="3F"/>
      </w:tcPr>
    </w:tblStylePr>
  </w:style>
  <w:style w:type="table" w:styleId="LightShading-Accent5">
    <w:name w:val="Light Shading Accent 5"/>
    <w:basedOn w:val="TableNormal"/>
    <w:uiPriority w:val="60"/>
    <w:semiHidden/>
    <w:unhideWhenUsed/>
    <w:rsid w:val="006135B1"/>
    <w:pPr>
      <w:spacing w:after="0" w:line="240" w:lineRule="auto"/>
    </w:pPr>
    <w:rPr>
      <w:rFonts w:eastAsia="Times New Roman" w:cs="Times New Roman"/>
      <w:color w:val="187F39" w:themeColor="accent5" w:themeShade="BF"/>
      <w:sz w:val="20"/>
      <w:szCs w:val="20"/>
      <w:lang w:eastAsia="en-AU"/>
    </w:rPr>
    <w:tblPr>
      <w:tblStyleRowBandSize w:val="1"/>
      <w:tblStyleColBandSize w:val="1"/>
      <w:tblBorders>
        <w:top w:val="single" w:sz="8" w:space="0" w:color="20AA4D" w:themeColor="accent5"/>
        <w:bottom w:val="single" w:sz="8" w:space="0" w:color="20AA4D" w:themeColor="accent5"/>
      </w:tblBorders>
    </w:tblPr>
    <w:tblStylePr w:type="firstRow">
      <w:pPr>
        <w:spacing w:before="0" w:after="0" w:line="240" w:lineRule="auto"/>
      </w:pPr>
      <w:rPr>
        <w:b/>
        <w:bCs/>
      </w:rPr>
      <w:tblPr/>
      <w:tcPr>
        <w:tcBorders>
          <w:top w:val="single" w:sz="8" w:space="0" w:color="20AA4D" w:themeColor="accent5"/>
          <w:left w:val="nil"/>
          <w:bottom w:val="single" w:sz="8" w:space="0" w:color="20AA4D" w:themeColor="accent5"/>
          <w:right w:val="nil"/>
          <w:insideH w:val="nil"/>
          <w:insideV w:val="nil"/>
        </w:tcBorders>
      </w:tcPr>
    </w:tblStylePr>
    <w:tblStylePr w:type="lastRow">
      <w:pPr>
        <w:spacing w:before="0" w:after="0" w:line="240" w:lineRule="auto"/>
      </w:pPr>
      <w:rPr>
        <w:b/>
        <w:bCs/>
      </w:rPr>
      <w:tblPr/>
      <w:tcPr>
        <w:tcBorders>
          <w:top w:val="single" w:sz="8" w:space="0" w:color="20AA4D" w:themeColor="accent5"/>
          <w:left w:val="nil"/>
          <w:bottom w:val="single" w:sz="8" w:space="0" w:color="20AA4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F3CF" w:themeFill="accent5" w:themeFillTint="3F"/>
      </w:tcPr>
    </w:tblStylePr>
    <w:tblStylePr w:type="band1Horz">
      <w:tblPr/>
      <w:tcPr>
        <w:tcBorders>
          <w:left w:val="nil"/>
          <w:right w:val="nil"/>
          <w:insideH w:val="nil"/>
          <w:insideV w:val="nil"/>
        </w:tcBorders>
        <w:shd w:val="clear" w:color="auto" w:fill="BEF3CF" w:themeFill="accent5" w:themeFillTint="3F"/>
      </w:tcPr>
    </w:tblStylePr>
  </w:style>
  <w:style w:type="table" w:styleId="LightShading-Accent6">
    <w:name w:val="Light Shading Accent 6"/>
    <w:basedOn w:val="TableNormal"/>
    <w:uiPriority w:val="60"/>
    <w:semiHidden/>
    <w:unhideWhenUsed/>
    <w:rsid w:val="006135B1"/>
    <w:pPr>
      <w:spacing w:after="0" w:line="240" w:lineRule="auto"/>
    </w:pPr>
    <w:rPr>
      <w:rFonts w:eastAsia="Times New Roman" w:cs="Times New Roman"/>
      <w:color w:val="005D88" w:themeColor="accent6" w:themeShade="BF"/>
      <w:sz w:val="20"/>
      <w:szCs w:val="20"/>
      <w:lang w:eastAsia="en-AU"/>
    </w:rPr>
    <w:tblPr>
      <w:tblStyleRowBandSize w:val="1"/>
      <w:tblStyleColBandSize w:val="1"/>
      <w:tblBorders>
        <w:top w:val="single" w:sz="8" w:space="0" w:color="007DB6" w:themeColor="accent6"/>
        <w:bottom w:val="single" w:sz="8" w:space="0" w:color="007DB6" w:themeColor="accent6"/>
      </w:tblBorders>
    </w:tblPr>
    <w:tblStylePr w:type="firstRow">
      <w:pPr>
        <w:spacing w:before="0" w:after="0" w:line="240" w:lineRule="auto"/>
      </w:pPr>
      <w:rPr>
        <w:b/>
        <w:bCs/>
      </w:rPr>
      <w:tblPr/>
      <w:tcPr>
        <w:tcBorders>
          <w:top w:val="single" w:sz="8" w:space="0" w:color="007DB6" w:themeColor="accent6"/>
          <w:left w:val="nil"/>
          <w:bottom w:val="single" w:sz="8" w:space="0" w:color="007DB6" w:themeColor="accent6"/>
          <w:right w:val="nil"/>
          <w:insideH w:val="nil"/>
          <w:insideV w:val="nil"/>
        </w:tcBorders>
      </w:tcPr>
    </w:tblStylePr>
    <w:tblStylePr w:type="lastRow">
      <w:pPr>
        <w:spacing w:before="0" w:after="0" w:line="240" w:lineRule="auto"/>
      </w:pPr>
      <w:rPr>
        <w:b/>
        <w:bCs/>
      </w:rPr>
      <w:tblPr/>
      <w:tcPr>
        <w:tcBorders>
          <w:top w:val="single" w:sz="8" w:space="0" w:color="007DB6" w:themeColor="accent6"/>
          <w:left w:val="nil"/>
          <w:bottom w:val="single" w:sz="8" w:space="0" w:color="007DB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E5FF" w:themeFill="accent6" w:themeFillTint="3F"/>
      </w:tcPr>
    </w:tblStylePr>
    <w:tblStylePr w:type="band1Horz">
      <w:tblPr/>
      <w:tcPr>
        <w:tcBorders>
          <w:left w:val="nil"/>
          <w:right w:val="nil"/>
          <w:insideH w:val="nil"/>
          <w:insideV w:val="nil"/>
        </w:tcBorders>
        <w:shd w:val="clear" w:color="auto" w:fill="ADE5FF" w:themeFill="accent6" w:themeFillTint="3F"/>
      </w:tcPr>
    </w:tblStylePr>
  </w:style>
  <w:style w:type="character" w:styleId="LineNumber">
    <w:name w:val="line number"/>
    <w:basedOn w:val="DefaultParagraphFont"/>
    <w:semiHidden/>
    <w:unhideWhenUsed/>
    <w:rsid w:val="006135B1"/>
  </w:style>
  <w:style w:type="table" w:styleId="ListTable1Light">
    <w:name w:val="List Table 1 Light"/>
    <w:basedOn w:val="TableNormal"/>
    <w:uiPriority w:val="46"/>
    <w:rsid w:val="006135B1"/>
    <w:pPr>
      <w:spacing w:after="0" w:line="240" w:lineRule="auto"/>
    </w:pPr>
    <w:rPr>
      <w:rFonts w:eastAsia="Times New Roman" w:cs="Times New Roman"/>
      <w:sz w:val="20"/>
      <w:szCs w:val="20"/>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135B1"/>
    <w:pPr>
      <w:spacing w:after="0" w:line="240" w:lineRule="auto"/>
    </w:pPr>
    <w:rPr>
      <w:rFonts w:eastAsia="Times New Roman" w:cs="Times New Roman"/>
      <w:sz w:val="20"/>
      <w:szCs w:val="20"/>
      <w:lang w:eastAsia="en-AU"/>
    </w:rPr>
    <w:tblPr>
      <w:tblStyleRowBandSize w:val="1"/>
      <w:tblStyleColBandSize w:val="1"/>
    </w:tblPr>
    <w:tblStylePr w:type="firstRow">
      <w:rPr>
        <w:b/>
        <w:bCs/>
      </w:rPr>
      <w:tblPr/>
      <w:tcPr>
        <w:tcBorders>
          <w:bottom w:val="single" w:sz="4" w:space="0" w:color="E6E7E6" w:themeColor="accent1" w:themeTint="99"/>
        </w:tcBorders>
      </w:tcPr>
    </w:tblStylePr>
    <w:tblStylePr w:type="lastRow">
      <w:rPr>
        <w:b/>
        <w:bCs/>
      </w:rPr>
      <w:tblPr/>
      <w:tcPr>
        <w:tcBorders>
          <w:top w:val="single" w:sz="4" w:space="0" w:color="E6E7E6" w:themeColor="accent1" w:themeTint="99"/>
        </w:tcBorders>
      </w:tcPr>
    </w:tblStylePr>
    <w:tblStylePr w:type="firstCol">
      <w:rPr>
        <w:b/>
        <w:bCs/>
      </w:rPr>
    </w:tblStylePr>
    <w:tblStylePr w:type="lastCol">
      <w:rPr>
        <w:b/>
        <w:bCs/>
      </w:rPr>
    </w:tblStylePr>
    <w:tblStylePr w:type="band1Vert">
      <w:tblPr/>
      <w:tcPr>
        <w:shd w:val="clear" w:color="auto" w:fill="F6F7F6" w:themeFill="accent1" w:themeFillTint="33"/>
      </w:tcPr>
    </w:tblStylePr>
    <w:tblStylePr w:type="band1Horz">
      <w:tblPr/>
      <w:tcPr>
        <w:shd w:val="clear" w:color="auto" w:fill="F6F7F6" w:themeFill="accent1" w:themeFillTint="33"/>
      </w:tcPr>
    </w:tblStylePr>
  </w:style>
  <w:style w:type="table" w:styleId="ListTable1Light-Accent2">
    <w:name w:val="List Table 1 Light Accent 2"/>
    <w:basedOn w:val="TableNormal"/>
    <w:uiPriority w:val="46"/>
    <w:rsid w:val="006135B1"/>
    <w:pPr>
      <w:spacing w:after="0" w:line="240" w:lineRule="auto"/>
    </w:pPr>
    <w:rPr>
      <w:rFonts w:eastAsia="Times New Roman" w:cs="Times New Roman"/>
      <w:sz w:val="20"/>
      <w:szCs w:val="20"/>
      <w:lang w:eastAsia="en-AU"/>
    </w:rPr>
    <w:tblPr>
      <w:tblStyleRowBandSize w:val="1"/>
      <w:tblStyleColBandSize w:val="1"/>
    </w:tblPr>
    <w:tblStylePr w:type="firstRow">
      <w:rPr>
        <w:b/>
        <w:bCs/>
      </w:rPr>
      <w:tblPr/>
      <w:tcPr>
        <w:tcBorders>
          <w:bottom w:val="single" w:sz="4" w:space="0" w:color="FFDC6B" w:themeColor="accent2" w:themeTint="99"/>
        </w:tcBorders>
      </w:tcPr>
    </w:tblStylePr>
    <w:tblStylePr w:type="lastRow">
      <w:rPr>
        <w:b/>
        <w:bCs/>
      </w:rPr>
      <w:tblPr/>
      <w:tcPr>
        <w:tcBorders>
          <w:top w:val="single" w:sz="4" w:space="0" w:color="FFDC6B" w:themeColor="accent2" w:themeTint="99"/>
        </w:tcBorders>
      </w:tcPr>
    </w:tblStylePr>
    <w:tblStylePr w:type="firstCol">
      <w:rPr>
        <w:b/>
        <w:bCs/>
      </w:rPr>
    </w:tblStylePr>
    <w:tblStylePr w:type="lastCol">
      <w:rPr>
        <w:b/>
        <w:bCs/>
      </w:rPr>
    </w:tblStylePr>
    <w:tblStylePr w:type="band1Vert">
      <w:tblPr/>
      <w:tcPr>
        <w:shd w:val="clear" w:color="auto" w:fill="FFF3CD" w:themeFill="accent2" w:themeFillTint="33"/>
      </w:tcPr>
    </w:tblStylePr>
    <w:tblStylePr w:type="band1Horz">
      <w:tblPr/>
      <w:tcPr>
        <w:shd w:val="clear" w:color="auto" w:fill="FFF3CD" w:themeFill="accent2" w:themeFillTint="33"/>
      </w:tcPr>
    </w:tblStylePr>
  </w:style>
  <w:style w:type="table" w:styleId="ListTable1Light-Accent3">
    <w:name w:val="List Table 1 Light Accent 3"/>
    <w:basedOn w:val="TableNormal"/>
    <w:uiPriority w:val="46"/>
    <w:rsid w:val="006135B1"/>
    <w:pPr>
      <w:spacing w:after="0" w:line="240" w:lineRule="auto"/>
    </w:pPr>
    <w:rPr>
      <w:rFonts w:eastAsia="Times New Roman" w:cs="Times New Roman"/>
      <w:sz w:val="20"/>
      <w:szCs w:val="20"/>
      <w:lang w:eastAsia="en-AU"/>
    </w:rPr>
    <w:tblPr>
      <w:tblStyleRowBandSize w:val="1"/>
      <w:tblStyleColBandSize w:val="1"/>
    </w:tblPr>
    <w:tblStylePr w:type="firstRow">
      <w:rPr>
        <w:b/>
        <w:bCs/>
      </w:rPr>
      <w:tblPr/>
      <w:tcPr>
        <w:tcBorders>
          <w:bottom w:val="single" w:sz="4" w:space="0" w:color="EE6584" w:themeColor="accent3" w:themeTint="99"/>
        </w:tcBorders>
      </w:tcPr>
    </w:tblStylePr>
    <w:tblStylePr w:type="lastRow">
      <w:rPr>
        <w:b/>
        <w:bCs/>
      </w:rPr>
      <w:tblPr/>
      <w:tcPr>
        <w:tcBorders>
          <w:top w:val="single" w:sz="4" w:space="0" w:color="EE6584" w:themeColor="accent3" w:themeTint="99"/>
        </w:tcBorders>
      </w:tcPr>
    </w:tblStylePr>
    <w:tblStylePr w:type="firstCol">
      <w:rPr>
        <w:b/>
        <w:bCs/>
      </w:rPr>
    </w:tblStylePr>
    <w:tblStylePr w:type="lastCol">
      <w:rPr>
        <w:b/>
        <w:bCs/>
      </w:rPr>
    </w:tblStylePr>
    <w:tblStylePr w:type="band1Vert">
      <w:tblPr/>
      <w:tcPr>
        <w:shd w:val="clear" w:color="auto" w:fill="F9CBD6" w:themeFill="accent3" w:themeFillTint="33"/>
      </w:tcPr>
    </w:tblStylePr>
    <w:tblStylePr w:type="band1Horz">
      <w:tblPr/>
      <w:tcPr>
        <w:shd w:val="clear" w:color="auto" w:fill="F9CBD6" w:themeFill="accent3" w:themeFillTint="33"/>
      </w:tcPr>
    </w:tblStylePr>
  </w:style>
  <w:style w:type="table" w:styleId="ListTable1Light-Accent4">
    <w:name w:val="List Table 1 Light Accent 4"/>
    <w:basedOn w:val="TableNormal"/>
    <w:uiPriority w:val="46"/>
    <w:rsid w:val="006135B1"/>
    <w:pPr>
      <w:spacing w:after="0" w:line="240" w:lineRule="auto"/>
    </w:pPr>
    <w:rPr>
      <w:rFonts w:eastAsia="Times New Roman" w:cs="Times New Roman"/>
      <w:sz w:val="20"/>
      <w:szCs w:val="20"/>
      <w:lang w:eastAsia="en-AU"/>
    </w:rPr>
    <w:tblPr>
      <w:tblStyleRowBandSize w:val="1"/>
      <w:tblStyleColBandSize w:val="1"/>
    </w:tblPr>
    <w:tblStylePr w:type="firstRow">
      <w:rPr>
        <w:b/>
        <w:bCs/>
      </w:rPr>
      <w:tblPr/>
      <w:tcPr>
        <w:tcBorders>
          <w:bottom w:val="single" w:sz="4" w:space="0" w:color="AF60D2" w:themeColor="accent4" w:themeTint="99"/>
        </w:tcBorders>
      </w:tcPr>
    </w:tblStylePr>
    <w:tblStylePr w:type="lastRow">
      <w:rPr>
        <w:b/>
        <w:bCs/>
      </w:rPr>
      <w:tblPr/>
      <w:tcPr>
        <w:tcBorders>
          <w:top w:val="single" w:sz="4" w:space="0" w:color="AF60D2" w:themeColor="accent4" w:themeTint="99"/>
        </w:tcBorders>
      </w:tcPr>
    </w:tblStylePr>
    <w:tblStylePr w:type="firstCol">
      <w:rPr>
        <w:b/>
        <w:bCs/>
      </w:rPr>
    </w:tblStylePr>
    <w:tblStylePr w:type="lastCol">
      <w:rPr>
        <w:b/>
        <w:bCs/>
      </w:rPr>
    </w:tblStylePr>
    <w:tblStylePr w:type="band1Vert">
      <w:tblPr/>
      <w:tcPr>
        <w:shd w:val="clear" w:color="auto" w:fill="E4CAF0" w:themeFill="accent4" w:themeFillTint="33"/>
      </w:tcPr>
    </w:tblStylePr>
    <w:tblStylePr w:type="band1Horz">
      <w:tblPr/>
      <w:tcPr>
        <w:shd w:val="clear" w:color="auto" w:fill="E4CAF0" w:themeFill="accent4" w:themeFillTint="33"/>
      </w:tcPr>
    </w:tblStylePr>
  </w:style>
  <w:style w:type="table" w:styleId="ListTable1Light-Accent5">
    <w:name w:val="List Table 1 Light Accent 5"/>
    <w:basedOn w:val="TableNormal"/>
    <w:uiPriority w:val="46"/>
    <w:rsid w:val="006135B1"/>
    <w:pPr>
      <w:spacing w:after="0" w:line="240" w:lineRule="auto"/>
    </w:pPr>
    <w:rPr>
      <w:rFonts w:eastAsia="Times New Roman" w:cs="Times New Roman"/>
      <w:sz w:val="20"/>
      <w:szCs w:val="20"/>
      <w:lang w:eastAsia="en-AU"/>
    </w:rPr>
    <w:tblPr>
      <w:tblStyleRowBandSize w:val="1"/>
      <w:tblStyleColBandSize w:val="1"/>
    </w:tblPr>
    <w:tblStylePr w:type="firstRow">
      <w:rPr>
        <w:b/>
        <w:bCs/>
      </w:rPr>
      <w:tblPr/>
      <w:tcPr>
        <w:tcBorders>
          <w:bottom w:val="single" w:sz="4" w:space="0" w:color="63E18C" w:themeColor="accent5" w:themeTint="99"/>
        </w:tcBorders>
      </w:tcPr>
    </w:tblStylePr>
    <w:tblStylePr w:type="lastRow">
      <w:rPr>
        <w:b/>
        <w:bCs/>
      </w:rPr>
      <w:tblPr/>
      <w:tcPr>
        <w:tcBorders>
          <w:top w:val="single" w:sz="4" w:space="0" w:color="63E18C" w:themeColor="accent5" w:themeTint="99"/>
        </w:tcBorders>
      </w:tcPr>
    </w:tblStylePr>
    <w:tblStylePr w:type="firstCol">
      <w:rPr>
        <w:b/>
        <w:bCs/>
      </w:rPr>
    </w:tblStylePr>
    <w:tblStylePr w:type="lastCol">
      <w:rPr>
        <w:b/>
        <w:bCs/>
      </w:rPr>
    </w:tblStylePr>
    <w:tblStylePr w:type="band1Vert">
      <w:tblPr/>
      <w:tcPr>
        <w:shd w:val="clear" w:color="auto" w:fill="CBF5D8" w:themeFill="accent5" w:themeFillTint="33"/>
      </w:tcPr>
    </w:tblStylePr>
    <w:tblStylePr w:type="band1Horz">
      <w:tblPr/>
      <w:tcPr>
        <w:shd w:val="clear" w:color="auto" w:fill="CBF5D8" w:themeFill="accent5" w:themeFillTint="33"/>
      </w:tcPr>
    </w:tblStylePr>
  </w:style>
  <w:style w:type="table" w:styleId="ListTable1Light-Accent6">
    <w:name w:val="List Table 1 Light Accent 6"/>
    <w:basedOn w:val="TableNormal"/>
    <w:uiPriority w:val="46"/>
    <w:rsid w:val="006135B1"/>
    <w:pPr>
      <w:spacing w:after="0" w:line="240" w:lineRule="auto"/>
    </w:pPr>
    <w:rPr>
      <w:rFonts w:eastAsia="Times New Roman" w:cs="Times New Roman"/>
      <w:sz w:val="20"/>
      <w:szCs w:val="20"/>
      <w:lang w:eastAsia="en-AU"/>
    </w:rPr>
    <w:tblPr>
      <w:tblStyleRowBandSize w:val="1"/>
      <w:tblStyleColBandSize w:val="1"/>
    </w:tblPr>
    <w:tblStylePr w:type="firstRow">
      <w:rPr>
        <w:b/>
        <w:bCs/>
      </w:rPr>
      <w:tblPr/>
      <w:tcPr>
        <w:tcBorders>
          <w:bottom w:val="single" w:sz="4" w:space="0" w:color="3AC1FF" w:themeColor="accent6" w:themeTint="99"/>
        </w:tcBorders>
      </w:tcPr>
    </w:tblStylePr>
    <w:tblStylePr w:type="lastRow">
      <w:rPr>
        <w:b/>
        <w:bCs/>
      </w:rPr>
      <w:tblPr/>
      <w:tcPr>
        <w:tcBorders>
          <w:top w:val="single" w:sz="4" w:space="0" w:color="3AC1FF" w:themeColor="accent6" w:themeTint="99"/>
        </w:tcBorders>
      </w:tcPr>
    </w:tblStylePr>
    <w:tblStylePr w:type="firstCol">
      <w:rPr>
        <w:b/>
        <w:bCs/>
      </w:rPr>
    </w:tblStylePr>
    <w:tblStylePr w:type="lastCol">
      <w:rPr>
        <w:b/>
        <w:bCs/>
      </w:rPr>
    </w:tblStylePr>
    <w:tblStylePr w:type="band1Vert">
      <w:tblPr/>
      <w:tcPr>
        <w:shd w:val="clear" w:color="auto" w:fill="BDEAFF" w:themeFill="accent6" w:themeFillTint="33"/>
      </w:tcPr>
    </w:tblStylePr>
    <w:tblStylePr w:type="band1Horz">
      <w:tblPr/>
      <w:tcPr>
        <w:shd w:val="clear" w:color="auto" w:fill="BDEAFF" w:themeFill="accent6" w:themeFillTint="33"/>
      </w:tcPr>
    </w:tblStylePr>
  </w:style>
  <w:style w:type="table" w:styleId="ListTable2">
    <w:name w:val="List Table 2"/>
    <w:basedOn w:val="TableNormal"/>
    <w:uiPriority w:val="47"/>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E6E7E6" w:themeColor="accent1" w:themeTint="99"/>
        <w:bottom w:val="single" w:sz="4" w:space="0" w:color="E6E7E6" w:themeColor="accent1" w:themeTint="99"/>
        <w:insideH w:val="single" w:sz="4" w:space="0" w:color="E6E7E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7F6" w:themeFill="accent1" w:themeFillTint="33"/>
      </w:tcPr>
    </w:tblStylePr>
    <w:tblStylePr w:type="band1Horz">
      <w:tblPr/>
      <w:tcPr>
        <w:shd w:val="clear" w:color="auto" w:fill="F6F7F6" w:themeFill="accent1" w:themeFillTint="33"/>
      </w:tcPr>
    </w:tblStylePr>
  </w:style>
  <w:style w:type="table" w:styleId="ListTable2-Accent2">
    <w:name w:val="List Table 2 Accent 2"/>
    <w:basedOn w:val="TableNormal"/>
    <w:uiPriority w:val="47"/>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FFDC6B" w:themeColor="accent2" w:themeTint="99"/>
        <w:bottom w:val="single" w:sz="4" w:space="0" w:color="FFDC6B" w:themeColor="accent2" w:themeTint="99"/>
        <w:insideH w:val="single" w:sz="4" w:space="0" w:color="FFDC6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3CD" w:themeFill="accent2" w:themeFillTint="33"/>
      </w:tcPr>
    </w:tblStylePr>
    <w:tblStylePr w:type="band1Horz">
      <w:tblPr/>
      <w:tcPr>
        <w:shd w:val="clear" w:color="auto" w:fill="FFF3CD" w:themeFill="accent2" w:themeFillTint="33"/>
      </w:tcPr>
    </w:tblStylePr>
  </w:style>
  <w:style w:type="table" w:styleId="ListTable2-Accent3">
    <w:name w:val="List Table 2 Accent 3"/>
    <w:basedOn w:val="TableNormal"/>
    <w:uiPriority w:val="47"/>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EE6584" w:themeColor="accent3" w:themeTint="99"/>
        <w:bottom w:val="single" w:sz="4" w:space="0" w:color="EE6584" w:themeColor="accent3" w:themeTint="99"/>
        <w:insideH w:val="single" w:sz="4" w:space="0" w:color="EE658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BD6" w:themeFill="accent3" w:themeFillTint="33"/>
      </w:tcPr>
    </w:tblStylePr>
    <w:tblStylePr w:type="band1Horz">
      <w:tblPr/>
      <w:tcPr>
        <w:shd w:val="clear" w:color="auto" w:fill="F9CBD6" w:themeFill="accent3" w:themeFillTint="33"/>
      </w:tcPr>
    </w:tblStylePr>
  </w:style>
  <w:style w:type="table" w:styleId="ListTable2-Accent4">
    <w:name w:val="List Table 2 Accent 4"/>
    <w:basedOn w:val="TableNormal"/>
    <w:uiPriority w:val="47"/>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AF60D2" w:themeColor="accent4" w:themeTint="99"/>
        <w:bottom w:val="single" w:sz="4" w:space="0" w:color="AF60D2" w:themeColor="accent4" w:themeTint="99"/>
        <w:insideH w:val="single" w:sz="4" w:space="0" w:color="AF60D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CAF0" w:themeFill="accent4" w:themeFillTint="33"/>
      </w:tcPr>
    </w:tblStylePr>
    <w:tblStylePr w:type="band1Horz">
      <w:tblPr/>
      <w:tcPr>
        <w:shd w:val="clear" w:color="auto" w:fill="E4CAF0" w:themeFill="accent4" w:themeFillTint="33"/>
      </w:tcPr>
    </w:tblStylePr>
  </w:style>
  <w:style w:type="table" w:styleId="ListTable2-Accent5">
    <w:name w:val="List Table 2 Accent 5"/>
    <w:basedOn w:val="TableNormal"/>
    <w:uiPriority w:val="47"/>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63E18C" w:themeColor="accent5" w:themeTint="99"/>
        <w:bottom w:val="single" w:sz="4" w:space="0" w:color="63E18C" w:themeColor="accent5" w:themeTint="99"/>
        <w:insideH w:val="single" w:sz="4" w:space="0" w:color="63E18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F5D8" w:themeFill="accent5" w:themeFillTint="33"/>
      </w:tcPr>
    </w:tblStylePr>
    <w:tblStylePr w:type="band1Horz">
      <w:tblPr/>
      <w:tcPr>
        <w:shd w:val="clear" w:color="auto" w:fill="CBF5D8" w:themeFill="accent5" w:themeFillTint="33"/>
      </w:tcPr>
    </w:tblStylePr>
  </w:style>
  <w:style w:type="table" w:styleId="ListTable2-Accent6">
    <w:name w:val="List Table 2 Accent 6"/>
    <w:basedOn w:val="TableNormal"/>
    <w:uiPriority w:val="47"/>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3AC1FF" w:themeColor="accent6" w:themeTint="99"/>
        <w:bottom w:val="single" w:sz="4" w:space="0" w:color="3AC1FF" w:themeColor="accent6" w:themeTint="99"/>
        <w:insideH w:val="single" w:sz="4" w:space="0" w:color="3AC1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EAFF" w:themeFill="accent6" w:themeFillTint="33"/>
      </w:tcPr>
    </w:tblStylePr>
    <w:tblStylePr w:type="band1Horz">
      <w:tblPr/>
      <w:tcPr>
        <w:shd w:val="clear" w:color="auto" w:fill="BDEAFF" w:themeFill="accent6" w:themeFillTint="33"/>
      </w:tcPr>
    </w:tblStylePr>
  </w:style>
  <w:style w:type="table" w:styleId="ListTable3">
    <w:name w:val="List Table 3"/>
    <w:basedOn w:val="TableNormal"/>
    <w:uiPriority w:val="48"/>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D7D8D6" w:themeColor="accent1"/>
        <w:left w:val="single" w:sz="4" w:space="0" w:color="D7D8D6" w:themeColor="accent1"/>
        <w:bottom w:val="single" w:sz="4" w:space="0" w:color="D7D8D6" w:themeColor="accent1"/>
        <w:right w:val="single" w:sz="4" w:space="0" w:color="D7D8D6" w:themeColor="accent1"/>
      </w:tblBorders>
    </w:tblPr>
    <w:tblStylePr w:type="firstRow">
      <w:rPr>
        <w:b/>
        <w:bCs/>
        <w:color w:val="FFFFFF" w:themeColor="background1"/>
      </w:rPr>
      <w:tblPr/>
      <w:tcPr>
        <w:shd w:val="clear" w:color="auto" w:fill="D7D8D6" w:themeFill="accent1"/>
      </w:tcPr>
    </w:tblStylePr>
    <w:tblStylePr w:type="lastRow">
      <w:rPr>
        <w:b/>
        <w:bCs/>
      </w:rPr>
      <w:tblPr/>
      <w:tcPr>
        <w:tcBorders>
          <w:top w:val="double" w:sz="4" w:space="0" w:color="D7D8D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D8D6" w:themeColor="accent1"/>
          <w:right w:val="single" w:sz="4" w:space="0" w:color="D7D8D6" w:themeColor="accent1"/>
        </w:tcBorders>
      </w:tcPr>
    </w:tblStylePr>
    <w:tblStylePr w:type="band1Horz">
      <w:tblPr/>
      <w:tcPr>
        <w:tcBorders>
          <w:top w:val="single" w:sz="4" w:space="0" w:color="D7D8D6" w:themeColor="accent1"/>
          <w:bottom w:val="single" w:sz="4" w:space="0" w:color="D7D8D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D8D6" w:themeColor="accent1"/>
          <w:left w:val="nil"/>
        </w:tcBorders>
      </w:tcPr>
    </w:tblStylePr>
    <w:tblStylePr w:type="swCell">
      <w:tblPr/>
      <w:tcPr>
        <w:tcBorders>
          <w:top w:val="double" w:sz="4" w:space="0" w:color="D7D8D6" w:themeColor="accent1"/>
          <w:right w:val="nil"/>
        </w:tcBorders>
      </w:tcPr>
    </w:tblStylePr>
  </w:style>
  <w:style w:type="table" w:styleId="ListTable3-Accent2">
    <w:name w:val="List Table 3 Accent 2"/>
    <w:basedOn w:val="TableNormal"/>
    <w:uiPriority w:val="48"/>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FFC709" w:themeColor="accent2"/>
        <w:left w:val="single" w:sz="4" w:space="0" w:color="FFC709" w:themeColor="accent2"/>
        <w:bottom w:val="single" w:sz="4" w:space="0" w:color="FFC709" w:themeColor="accent2"/>
        <w:right w:val="single" w:sz="4" w:space="0" w:color="FFC709" w:themeColor="accent2"/>
      </w:tblBorders>
    </w:tblPr>
    <w:tblStylePr w:type="firstRow">
      <w:rPr>
        <w:b/>
        <w:bCs/>
        <w:color w:val="FFFFFF" w:themeColor="background1"/>
      </w:rPr>
      <w:tblPr/>
      <w:tcPr>
        <w:shd w:val="clear" w:color="auto" w:fill="FFC709" w:themeFill="accent2"/>
      </w:tcPr>
    </w:tblStylePr>
    <w:tblStylePr w:type="lastRow">
      <w:rPr>
        <w:b/>
        <w:bCs/>
      </w:rPr>
      <w:tblPr/>
      <w:tcPr>
        <w:tcBorders>
          <w:top w:val="double" w:sz="4" w:space="0" w:color="FFC70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709" w:themeColor="accent2"/>
          <w:right w:val="single" w:sz="4" w:space="0" w:color="FFC709" w:themeColor="accent2"/>
        </w:tcBorders>
      </w:tcPr>
    </w:tblStylePr>
    <w:tblStylePr w:type="band1Horz">
      <w:tblPr/>
      <w:tcPr>
        <w:tcBorders>
          <w:top w:val="single" w:sz="4" w:space="0" w:color="FFC709" w:themeColor="accent2"/>
          <w:bottom w:val="single" w:sz="4" w:space="0" w:color="FFC70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709" w:themeColor="accent2"/>
          <w:left w:val="nil"/>
        </w:tcBorders>
      </w:tcPr>
    </w:tblStylePr>
    <w:tblStylePr w:type="swCell">
      <w:tblPr/>
      <w:tcPr>
        <w:tcBorders>
          <w:top w:val="double" w:sz="4" w:space="0" w:color="FFC709" w:themeColor="accent2"/>
          <w:right w:val="nil"/>
        </w:tcBorders>
      </w:tcPr>
    </w:tblStylePr>
  </w:style>
  <w:style w:type="table" w:styleId="ListTable3-Accent3">
    <w:name w:val="List Table 3 Accent 3"/>
    <w:basedOn w:val="TableNormal"/>
    <w:uiPriority w:val="48"/>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CD163F" w:themeColor="accent3"/>
        <w:left w:val="single" w:sz="4" w:space="0" w:color="CD163F" w:themeColor="accent3"/>
        <w:bottom w:val="single" w:sz="4" w:space="0" w:color="CD163F" w:themeColor="accent3"/>
        <w:right w:val="single" w:sz="4" w:space="0" w:color="CD163F" w:themeColor="accent3"/>
      </w:tblBorders>
    </w:tblPr>
    <w:tblStylePr w:type="firstRow">
      <w:rPr>
        <w:b/>
        <w:bCs/>
        <w:color w:val="FFFFFF" w:themeColor="background1"/>
      </w:rPr>
      <w:tblPr/>
      <w:tcPr>
        <w:shd w:val="clear" w:color="auto" w:fill="CD163F" w:themeFill="accent3"/>
      </w:tcPr>
    </w:tblStylePr>
    <w:tblStylePr w:type="lastRow">
      <w:rPr>
        <w:b/>
        <w:bCs/>
      </w:rPr>
      <w:tblPr/>
      <w:tcPr>
        <w:tcBorders>
          <w:top w:val="double" w:sz="4" w:space="0" w:color="CD163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163F" w:themeColor="accent3"/>
          <w:right w:val="single" w:sz="4" w:space="0" w:color="CD163F" w:themeColor="accent3"/>
        </w:tcBorders>
      </w:tcPr>
    </w:tblStylePr>
    <w:tblStylePr w:type="band1Horz">
      <w:tblPr/>
      <w:tcPr>
        <w:tcBorders>
          <w:top w:val="single" w:sz="4" w:space="0" w:color="CD163F" w:themeColor="accent3"/>
          <w:bottom w:val="single" w:sz="4" w:space="0" w:color="CD163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163F" w:themeColor="accent3"/>
          <w:left w:val="nil"/>
        </w:tcBorders>
      </w:tcPr>
    </w:tblStylePr>
    <w:tblStylePr w:type="swCell">
      <w:tblPr/>
      <w:tcPr>
        <w:tcBorders>
          <w:top w:val="double" w:sz="4" w:space="0" w:color="CD163F" w:themeColor="accent3"/>
          <w:right w:val="nil"/>
        </w:tcBorders>
      </w:tcPr>
    </w:tblStylePr>
  </w:style>
  <w:style w:type="table" w:styleId="ListTable3-Accent4">
    <w:name w:val="List Table 3 Accent 4"/>
    <w:basedOn w:val="TableNormal"/>
    <w:uiPriority w:val="48"/>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692686" w:themeColor="accent4"/>
        <w:left w:val="single" w:sz="4" w:space="0" w:color="692686" w:themeColor="accent4"/>
        <w:bottom w:val="single" w:sz="4" w:space="0" w:color="692686" w:themeColor="accent4"/>
        <w:right w:val="single" w:sz="4" w:space="0" w:color="692686" w:themeColor="accent4"/>
      </w:tblBorders>
    </w:tblPr>
    <w:tblStylePr w:type="firstRow">
      <w:rPr>
        <w:b/>
        <w:bCs/>
        <w:color w:val="FFFFFF" w:themeColor="background1"/>
      </w:rPr>
      <w:tblPr/>
      <w:tcPr>
        <w:shd w:val="clear" w:color="auto" w:fill="692686" w:themeFill="accent4"/>
      </w:tcPr>
    </w:tblStylePr>
    <w:tblStylePr w:type="lastRow">
      <w:rPr>
        <w:b/>
        <w:bCs/>
      </w:rPr>
      <w:tblPr/>
      <w:tcPr>
        <w:tcBorders>
          <w:top w:val="double" w:sz="4" w:space="0" w:color="69268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92686" w:themeColor="accent4"/>
          <w:right w:val="single" w:sz="4" w:space="0" w:color="692686" w:themeColor="accent4"/>
        </w:tcBorders>
      </w:tcPr>
    </w:tblStylePr>
    <w:tblStylePr w:type="band1Horz">
      <w:tblPr/>
      <w:tcPr>
        <w:tcBorders>
          <w:top w:val="single" w:sz="4" w:space="0" w:color="692686" w:themeColor="accent4"/>
          <w:bottom w:val="single" w:sz="4" w:space="0" w:color="69268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92686" w:themeColor="accent4"/>
          <w:left w:val="nil"/>
        </w:tcBorders>
      </w:tcPr>
    </w:tblStylePr>
    <w:tblStylePr w:type="swCell">
      <w:tblPr/>
      <w:tcPr>
        <w:tcBorders>
          <w:top w:val="double" w:sz="4" w:space="0" w:color="692686" w:themeColor="accent4"/>
          <w:right w:val="nil"/>
        </w:tcBorders>
      </w:tcPr>
    </w:tblStylePr>
  </w:style>
  <w:style w:type="table" w:styleId="ListTable3-Accent5">
    <w:name w:val="List Table 3 Accent 5"/>
    <w:basedOn w:val="TableNormal"/>
    <w:uiPriority w:val="48"/>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20AA4D" w:themeColor="accent5"/>
        <w:left w:val="single" w:sz="4" w:space="0" w:color="20AA4D" w:themeColor="accent5"/>
        <w:bottom w:val="single" w:sz="4" w:space="0" w:color="20AA4D" w:themeColor="accent5"/>
        <w:right w:val="single" w:sz="4" w:space="0" w:color="20AA4D" w:themeColor="accent5"/>
      </w:tblBorders>
    </w:tblPr>
    <w:tblStylePr w:type="firstRow">
      <w:rPr>
        <w:b/>
        <w:bCs/>
        <w:color w:val="FFFFFF" w:themeColor="background1"/>
      </w:rPr>
      <w:tblPr/>
      <w:tcPr>
        <w:shd w:val="clear" w:color="auto" w:fill="20AA4D" w:themeFill="accent5"/>
      </w:tcPr>
    </w:tblStylePr>
    <w:tblStylePr w:type="lastRow">
      <w:rPr>
        <w:b/>
        <w:bCs/>
      </w:rPr>
      <w:tblPr/>
      <w:tcPr>
        <w:tcBorders>
          <w:top w:val="double" w:sz="4" w:space="0" w:color="20AA4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AA4D" w:themeColor="accent5"/>
          <w:right w:val="single" w:sz="4" w:space="0" w:color="20AA4D" w:themeColor="accent5"/>
        </w:tcBorders>
      </w:tcPr>
    </w:tblStylePr>
    <w:tblStylePr w:type="band1Horz">
      <w:tblPr/>
      <w:tcPr>
        <w:tcBorders>
          <w:top w:val="single" w:sz="4" w:space="0" w:color="20AA4D" w:themeColor="accent5"/>
          <w:bottom w:val="single" w:sz="4" w:space="0" w:color="20AA4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AA4D" w:themeColor="accent5"/>
          <w:left w:val="nil"/>
        </w:tcBorders>
      </w:tcPr>
    </w:tblStylePr>
    <w:tblStylePr w:type="swCell">
      <w:tblPr/>
      <w:tcPr>
        <w:tcBorders>
          <w:top w:val="double" w:sz="4" w:space="0" w:color="20AA4D" w:themeColor="accent5"/>
          <w:right w:val="nil"/>
        </w:tcBorders>
      </w:tcPr>
    </w:tblStylePr>
  </w:style>
  <w:style w:type="table" w:styleId="ListTable3-Accent6">
    <w:name w:val="List Table 3 Accent 6"/>
    <w:basedOn w:val="TableNormal"/>
    <w:uiPriority w:val="48"/>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007DB6" w:themeColor="accent6"/>
        <w:left w:val="single" w:sz="4" w:space="0" w:color="007DB6" w:themeColor="accent6"/>
        <w:bottom w:val="single" w:sz="4" w:space="0" w:color="007DB6" w:themeColor="accent6"/>
        <w:right w:val="single" w:sz="4" w:space="0" w:color="007DB6" w:themeColor="accent6"/>
      </w:tblBorders>
    </w:tblPr>
    <w:tblStylePr w:type="firstRow">
      <w:rPr>
        <w:b/>
        <w:bCs/>
        <w:color w:val="FFFFFF" w:themeColor="background1"/>
      </w:rPr>
      <w:tblPr/>
      <w:tcPr>
        <w:shd w:val="clear" w:color="auto" w:fill="007DB6" w:themeFill="accent6"/>
      </w:tcPr>
    </w:tblStylePr>
    <w:tblStylePr w:type="lastRow">
      <w:rPr>
        <w:b/>
        <w:bCs/>
      </w:rPr>
      <w:tblPr/>
      <w:tcPr>
        <w:tcBorders>
          <w:top w:val="double" w:sz="4" w:space="0" w:color="007DB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DB6" w:themeColor="accent6"/>
          <w:right w:val="single" w:sz="4" w:space="0" w:color="007DB6" w:themeColor="accent6"/>
        </w:tcBorders>
      </w:tcPr>
    </w:tblStylePr>
    <w:tblStylePr w:type="band1Horz">
      <w:tblPr/>
      <w:tcPr>
        <w:tcBorders>
          <w:top w:val="single" w:sz="4" w:space="0" w:color="007DB6" w:themeColor="accent6"/>
          <w:bottom w:val="single" w:sz="4" w:space="0" w:color="007DB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DB6" w:themeColor="accent6"/>
          <w:left w:val="nil"/>
        </w:tcBorders>
      </w:tcPr>
    </w:tblStylePr>
    <w:tblStylePr w:type="swCell">
      <w:tblPr/>
      <w:tcPr>
        <w:tcBorders>
          <w:top w:val="double" w:sz="4" w:space="0" w:color="007DB6" w:themeColor="accent6"/>
          <w:right w:val="nil"/>
        </w:tcBorders>
      </w:tcPr>
    </w:tblStylePr>
  </w:style>
  <w:style w:type="table" w:styleId="ListTable4">
    <w:name w:val="List Table 4"/>
    <w:basedOn w:val="TableNormal"/>
    <w:uiPriority w:val="49"/>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E6E7E6" w:themeColor="accent1" w:themeTint="99"/>
        <w:left w:val="single" w:sz="4" w:space="0" w:color="E6E7E6" w:themeColor="accent1" w:themeTint="99"/>
        <w:bottom w:val="single" w:sz="4" w:space="0" w:color="E6E7E6" w:themeColor="accent1" w:themeTint="99"/>
        <w:right w:val="single" w:sz="4" w:space="0" w:color="E6E7E6" w:themeColor="accent1" w:themeTint="99"/>
        <w:insideH w:val="single" w:sz="4" w:space="0" w:color="E6E7E6" w:themeColor="accent1" w:themeTint="99"/>
      </w:tblBorders>
    </w:tblPr>
    <w:tblStylePr w:type="firstRow">
      <w:rPr>
        <w:b/>
        <w:bCs/>
        <w:color w:val="FFFFFF" w:themeColor="background1"/>
      </w:rPr>
      <w:tblPr/>
      <w:tcPr>
        <w:tcBorders>
          <w:top w:val="single" w:sz="4" w:space="0" w:color="D7D8D6" w:themeColor="accent1"/>
          <w:left w:val="single" w:sz="4" w:space="0" w:color="D7D8D6" w:themeColor="accent1"/>
          <w:bottom w:val="single" w:sz="4" w:space="0" w:color="D7D8D6" w:themeColor="accent1"/>
          <w:right w:val="single" w:sz="4" w:space="0" w:color="D7D8D6" w:themeColor="accent1"/>
          <w:insideH w:val="nil"/>
        </w:tcBorders>
        <w:shd w:val="clear" w:color="auto" w:fill="D7D8D6" w:themeFill="accent1"/>
      </w:tcPr>
    </w:tblStylePr>
    <w:tblStylePr w:type="lastRow">
      <w:rPr>
        <w:b/>
        <w:bCs/>
      </w:rPr>
      <w:tblPr/>
      <w:tcPr>
        <w:tcBorders>
          <w:top w:val="double" w:sz="4" w:space="0" w:color="E6E7E6" w:themeColor="accent1" w:themeTint="99"/>
        </w:tcBorders>
      </w:tcPr>
    </w:tblStylePr>
    <w:tblStylePr w:type="firstCol">
      <w:rPr>
        <w:b/>
        <w:bCs/>
      </w:rPr>
    </w:tblStylePr>
    <w:tblStylePr w:type="lastCol">
      <w:rPr>
        <w:b/>
        <w:bCs/>
      </w:rPr>
    </w:tblStylePr>
    <w:tblStylePr w:type="band1Vert">
      <w:tblPr/>
      <w:tcPr>
        <w:shd w:val="clear" w:color="auto" w:fill="F6F7F6" w:themeFill="accent1" w:themeFillTint="33"/>
      </w:tcPr>
    </w:tblStylePr>
    <w:tblStylePr w:type="band1Horz">
      <w:tblPr/>
      <w:tcPr>
        <w:shd w:val="clear" w:color="auto" w:fill="F6F7F6" w:themeFill="accent1" w:themeFillTint="33"/>
      </w:tcPr>
    </w:tblStylePr>
  </w:style>
  <w:style w:type="table" w:styleId="ListTable4-Accent2">
    <w:name w:val="List Table 4 Accent 2"/>
    <w:basedOn w:val="TableNormal"/>
    <w:uiPriority w:val="49"/>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FFDC6B" w:themeColor="accent2" w:themeTint="99"/>
        <w:left w:val="single" w:sz="4" w:space="0" w:color="FFDC6B" w:themeColor="accent2" w:themeTint="99"/>
        <w:bottom w:val="single" w:sz="4" w:space="0" w:color="FFDC6B" w:themeColor="accent2" w:themeTint="99"/>
        <w:right w:val="single" w:sz="4" w:space="0" w:color="FFDC6B" w:themeColor="accent2" w:themeTint="99"/>
        <w:insideH w:val="single" w:sz="4" w:space="0" w:color="FFDC6B" w:themeColor="accent2" w:themeTint="99"/>
      </w:tblBorders>
    </w:tblPr>
    <w:tblStylePr w:type="firstRow">
      <w:rPr>
        <w:b/>
        <w:bCs/>
        <w:color w:val="FFFFFF" w:themeColor="background1"/>
      </w:rPr>
      <w:tblPr/>
      <w:tcPr>
        <w:tcBorders>
          <w:top w:val="single" w:sz="4" w:space="0" w:color="FFC709" w:themeColor="accent2"/>
          <w:left w:val="single" w:sz="4" w:space="0" w:color="FFC709" w:themeColor="accent2"/>
          <w:bottom w:val="single" w:sz="4" w:space="0" w:color="FFC709" w:themeColor="accent2"/>
          <w:right w:val="single" w:sz="4" w:space="0" w:color="FFC709" w:themeColor="accent2"/>
          <w:insideH w:val="nil"/>
        </w:tcBorders>
        <w:shd w:val="clear" w:color="auto" w:fill="FFC709" w:themeFill="accent2"/>
      </w:tcPr>
    </w:tblStylePr>
    <w:tblStylePr w:type="lastRow">
      <w:rPr>
        <w:b/>
        <w:bCs/>
      </w:rPr>
      <w:tblPr/>
      <w:tcPr>
        <w:tcBorders>
          <w:top w:val="double" w:sz="4" w:space="0" w:color="FFDC6B" w:themeColor="accent2" w:themeTint="99"/>
        </w:tcBorders>
      </w:tcPr>
    </w:tblStylePr>
    <w:tblStylePr w:type="firstCol">
      <w:rPr>
        <w:b/>
        <w:bCs/>
      </w:rPr>
    </w:tblStylePr>
    <w:tblStylePr w:type="lastCol">
      <w:rPr>
        <w:b/>
        <w:bCs/>
      </w:rPr>
    </w:tblStylePr>
    <w:tblStylePr w:type="band1Vert">
      <w:tblPr/>
      <w:tcPr>
        <w:shd w:val="clear" w:color="auto" w:fill="FFF3CD" w:themeFill="accent2" w:themeFillTint="33"/>
      </w:tcPr>
    </w:tblStylePr>
    <w:tblStylePr w:type="band1Horz">
      <w:tblPr/>
      <w:tcPr>
        <w:shd w:val="clear" w:color="auto" w:fill="FFF3CD" w:themeFill="accent2" w:themeFillTint="33"/>
      </w:tcPr>
    </w:tblStylePr>
  </w:style>
  <w:style w:type="table" w:styleId="ListTable4-Accent3">
    <w:name w:val="List Table 4 Accent 3"/>
    <w:basedOn w:val="TableNormal"/>
    <w:uiPriority w:val="49"/>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EE6584" w:themeColor="accent3" w:themeTint="99"/>
        <w:left w:val="single" w:sz="4" w:space="0" w:color="EE6584" w:themeColor="accent3" w:themeTint="99"/>
        <w:bottom w:val="single" w:sz="4" w:space="0" w:color="EE6584" w:themeColor="accent3" w:themeTint="99"/>
        <w:right w:val="single" w:sz="4" w:space="0" w:color="EE6584" w:themeColor="accent3" w:themeTint="99"/>
        <w:insideH w:val="single" w:sz="4" w:space="0" w:color="EE6584" w:themeColor="accent3" w:themeTint="99"/>
      </w:tblBorders>
    </w:tblPr>
    <w:tblStylePr w:type="firstRow">
      <w:rPr>
        <w:b/>
        <w:bCs/>
        <w:color w:val="FFFFFF" w:themeColor="background1"/>
      </w:rPr>
      <w:tblPr/>
      <w:tcPr>
        <w:tcBorders>
          <w:top w:val="single" w:sz="4" w:space="0" w:color="CD163F" w:themeColor="accent3"/>
          <w:left w:val="single" w:sz="4" w:space="0" w:color="CD163F" w:themeColor="accent3"/>
          <w:bottom w:val="single" w:sz="4" w:space="0" w:color="CD163F" w:themeColor="accent3"/>
          <w:right w:val="single" w:sz="4" w:space="0" w:color="CD163F" w:themeColor="accent3"/>
          <w:insideH w:val="nil"/>
        </w:tcBorders>
        <w:shd w:val="clear" w:color="auto" w:fill="CD163F" w:themeFill="accent3"/>
      </w:tcPr>
    </w:tblStylePr>
    <w:tblStylePr w:type="lastRow">
      <w:rPr>
        <w:b/>
        <w:bCs/>
      </w:rPr>
      <w:tblPr/>
      <w:tcPr>
        <w:tcBorders>
          <w:top w:val="double" w:sz="4" w:space="0" w:color="EE6584" w:themeColor="accent3" w:themeTint="99"/>
        </w:tcBorders>
      </w:tcPr>
    </w:tblStylePr>
    <w:tblStylePr w:type="firstCol">
      <w:rPr>
        <w:b/>
        <w:bCs/>
      </w:rPr>
    </w:tblStylePr>
    <w:tblStylePr w:type="lastCol">
      <w:rPr>
        <w:b/>
        <w:bCs/>
      </w:rPr>
    </w:tblStylePr>
    <w:tblStylePr w:type="band1Vert">
      <w:tblPr/>
      <w:tcPr>
        <w:shd w:val="clear" w:color="auto" w:fill="F9CBD6" w:themeFill="accent3" w:themeFillTint="33"/>
      </w:tcPr>
    </w:tblStylePr>
    <w:tblStylePr w:type="band1Horz">
      <w:tblPr/>
      <w:tcPr>
        <w:shd w:val="clear" w:color="auto" w:fill="F9CBD6" w:themeFill="accent3" w:themeFillTint="33"/>
      </w:tcPr>
    </w:tblStylePr>
  </w:style>
  <w:style w:type="table" w:styleId="ListTable4-Accent4">
    <w:name w:val="List Table 4 Accent 4"/>
    <w:basedOn w:val="TableNormal"/>
    <w:uiPriority w:val="49"/>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AF60D2" w:themeColor="accent4" w:themeTint="99"/>
        <w:left w:val="single" w:sz="4" w:space="0" w:color="AF60D2" w:themeColor="accent4" w:themeTint="99"/>
        <w:bottom w:val="single" w:sz="4" w:space="0" w:color="AF60D2" w:themeColor="accent4" w:themeTint="99"/>
        <w:right w:val="single" w:sz="4" w:space="0" w:color="AF60D2" w:themeColor="accent4" w:themeTint="99"/>
        <w:insideH w:val="single" w:sz="4" w:space="0" w:color="AF60D2" w:themeColor="accent4" w:themeTint="99"/>
      </w:tblBorders>
    </w:tblPr>
    <w:tblStylePr w:type="firstRow">
      <w:rPr>
        <w:b/>
        <w:bCs/>
        <w:color w:val="FFFFFF" w:themeColor="background1"/>
      </w:rPr>
      <w:tblPr/>
      <w:tcPr>
        <w:tcBorders>
          <w:top w:val="single" w:sz="4" w:space="0" w:color="692686" w:themeColor="accent4"/>
          <w:left w:val="single" w:sz="4" w:space="0" w:color="692686" w:themeColor="accent4"/>
          <w:bottom w:val="single" w:sz="4" w:space="0" w:color="692686" w:themeColor="accent4"/>
          <w:right w:val="single" w:sz="4" w:space="0" w:color="692686" w:themeColor="accent4"/>
          <w:insideH w:val="nil"/>
        </w:tcBorders>
        <w:shd w:val="clear" w:color="auto" w:fill="692686" w:themeFill="accent4"/>
      </w:tcPr>
    </w:tblStylePr>
    <w:tblStylePr w:type="lastRow">
      <w:rPr>
        <w:b/>
        <w:bCs/>
      </w:rPr>
      <w:tblPr/>
      <w:tcPr>
        <w:tcBorders>
          <w:top w:val="double" w:sz="4" w:space="0" w:color="AF60D2" w:themeColor="accent4" w:themeTint="99"/>
        </w:tcBorders>
      </w:tcPr>
    </w:tblStylePr>
    <w:tblStylePr w:type="firstCol">
      <w:rPr>
        <w:b/>
        <w:bCs/>
      </w:rPr>
    </w:tblStylePr>
    <w:tblStylePr w:type="lastCol">
      <w:rPr>
        <w:b/>
        <w:bCs/>
      </w:rPr>
    </w:tblStylePr>
    <w:tblStylePr w:type="band1Vert">
      <w:tblPr/>
      <w:tcPr>
        <w:shd w:val="clear" w:color="auto" w:fill="E4CAF0" w:themeFill="accent4" w:themeFillTint="33"/>
      </w:tcPr>
    </w:tblStylePr>
    <w:tblStylePr w:type="band1Horz">
      <w:tblPr/>
      <w:tcPr>
        <w:shd w:val="clear" w:color="auto" w:fill="E4CAF0" w:themeFill="accent4" w:themeFillTint="33"/>
      </w:tcPr>
    </w:tblStylePr>
  </w:style>
  <w:style w:type="table" w:styleId="ListTable4-Accent5">
    <w:name w:val="List Table 4 Accent 5"/>
    <w:basedOn w:val="TableNormal"/>
    <w:uiPriority w:val="49"/>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63E18C" w:themeColor="accent5" w:themeTint="99"/>
        <w:left w:val="single" w:sz="4" w:space="0" w:color="63E18C" w:themeColor="accent5" w:themeTint="99"/>
        <w:bottom w:val="single" w:sz="4" w:space="0" w:color="63E18C" w:themeColor="accent5" w:themeTint="99"/>
        <w:right w:val="single" w:sz="4" w:space="0" w:color="63E18C" w:themeColor="accent5" w:themeTint="99"/>
        <w:insideH w:val="single" w:sz="4" w:space="0" w:color="63E18C" w:themeColor="accent5" w:themeTint="99"/>
      </w:tblBorders>
    </w:tblPr>
    <w:tblStylePr w:type="firstRow">
      <w:rPr>
        <w:b/>
        <w:bCs/>
        <w:color w:val="FFFFFF" w:themeColor="background1"/>
      </w:rPr>
      <w:tblPr/>
      <w:tcPr>
        <w:tcBorders>
          <w:top w:val="single" w:sz="4" w:space="0" w:color="20AA4D" w:themeColor="accent5"/>
          <w:left w:val="single" w:sz="4" w:space="0" w:color="20AA4D" w:themeColor="accent5"/>
          <w:bottom w:val="single" w:sz="4" w:space="0" w:color="20AA4D" w:themeColor="accent5"/>
          <w:right w:val="single" w:sz="4" w:space="0" w:color="20AA4D" w:themeColor="accent5"/>
          <w:insideH w:val="nil"/>
        </w:tcBorders>
        <w:shd w:val="clear" w:color="auto" w:fill="20AA4D" w:themeFill="accent5"/>
      </w:tcPr>
    </w:tblStylePr>
    <w:tblStylePr w:type="lastRow">
      <w:rPr>
        <w:b/>
        <w:bCs/>
      </w:rPr>
      <w:tblPr/>
      <w:tcPr>
        <w:tcBorders>
          <w:top w:val="double" w:sz="4" w:space="0" w:color="63E18C" w:themeColor="accent5" w:themeTint="99"/>
        </w:tcBorders>
      </w:tcPr>
    </w:tblStylePr>
    <w:tblStylePr w:type="firstCol">
      <w:rPr>
        <w:b/>
        <w:bCs/>
      </w:rPr>
    </w:tblStylePr>
    <w:tblStylePr w:type="lastCol">
      <w:rPr>
        <w:b/>
        <w:bCs/>
      </w:rPr>
    </w:tblStylePr>
    <w:tblStylePr w:type="band1Vert">
      <w:tblPr/>
      <w:tcPr>
        <w:shd w:val="clear" w:color="auto" w:fill="CBF5D8" w:themeFill="accent5" w:themeFillTint="33"/>
      </w:tcPr>
    </w:tblStylePr>
    <w:tblStylePr w:type="band1Horz">
      <w:tblPr/>
      <w:tcPr>
        <w:shd w:val="clear" w:color="auto" w:fill="CBF5D8" w:themeFill="accent5" w:themeFillTint="33"/>
      </w:tcPr>
    </w:tblStylePr>
  </w:style>
  <w:style w:type="table" w:styleId="ListTable4-Accent6">
    <w:name w:val="List Table 4 Accent 6"/>
    <w:basedOn w:val="TableNormal"/>
    <w:uiPriority w:val="49"/>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3AC1FF" w:themeColor="accent6" w:themeTint="99"/>
        <w:left w:val="single" w:sz="4" w:space="0" w:color="3AC1FF" w:themeColor="accent6" w:themeTint="99"/>
        <w:bottom w:val="single" w:sz="4" w:space="0" w:color="3AC1FF" w:themeColor="accent6" w:themeTint="99"/>
        <w:right w:val="single" w:sz="4" w:space="0" w:color="3AC1FF" w:themeColor="accent6" w:themeTint="99"/>
        <w:insideH w:val="single" w:sz="4" w:space="0" w:color="3AC1FF" w:themeColor="accent6" w:themeTint="99"/>
      </w:tblBorders>
    </w:tblPr>
    <w:tblStylePr w:type="firstRow">
      <w:rPr>
        <w:b/>
        <w:bCs/>
        <w:color w:val="FFFFFF" w:themeColor="background1"/>
      </w:rPr>
      <w:tblPr/>
      <w:tcPr>
        <w:tcBorders>
          <w:top w:val="single" w:sz="4" w:space="0" w:color="007DB6" w:themeColor="accent6"/>
          <w:left w:val="single" w:sz="4" w:space="0" w:color="007DB6" w:themeColor="accent6"/>
          <w:bottom w:val="single" w:sz="4" w:space="0" w:color="007DB6" w:themeColor="accent6"/>
          <w:right w:val="single" w:sz="4" w:space="0" w:color="007DB6" w:themeColor="accent6"/>
          <w:insideH w:val="nil"/>
        </w:tcBorders>
        <w:shd w:val="clear" w:color="auto" w:fill="007DB6" w:themeFill="accent6"/>
      </w:tcPr>
    </w:tblStylePr>
    <w:tblStylePr w:type="lastRow">
      <w:rPr>
        <w:b/>
        <w:bCs/>
      </w:rPr>
      <w:tblPr/>
      <w:tcPr>
        <w:tcBorders>
          <w:top w:val="double" w:sz="4" w:space="0" w:color="3AC1FF" w:themeColor="accent6" w:themeTint="99"/>
        </w:tcBorders>
      </w:tcPr>
    </w:tblStylePr>
    <w:tblStylePr w:type="firstCol">
      <w:rPr>
        <w:b/>
        <w:bCs/>
      </w:rPr>
    </w:tblStylePr>
    <w:tblStylePr w:type="lastCol">
      <w:rPr>
        <w:b/>
        <w:bCs/>
      </w:rPr>
    </w:tblStylePr>
    <w:tblStylePr w:type="band1Vert">
      <w:tblPr/>
      <w:tcPr>
        <w:shd w:val="clear" w:color="auto" w:fill="BDEAFF" w:themeFill="accent6" w:themeFillTint="33"/>
      </w:tcPr>
    </w:tblStylePr>
    <w:tblStylePr w:type="band1Horz">
      <w:tblPr/>
      <w:tcPr>
        <w:shd w:val="clear" w:color="auto" w:fill="BDEAFF" w:themeFill="accent6" w:themeFillTint="33"/>
      </w:tcPr>
    </w:tblStylePr>
  </w:style>
  <w:style w:type="table" w:styleId="ListTable5Dark">
    <w:name w:val="List Table 5 Dark"/>
    <w:basedOn w:val="TableNormal"/>
    <w:uiPriority w:val="50"/>
    <w:rsid w:val="006135B1"/>
    <w:pPr>
      <w:spacing w:after="0" w:line="240" w:lineRule="auto"/>
    </w:pPr>
    <w:rPr>
      <w:rFonts w:eastAsia="Times New Roman" w:cs="Times New Roman"/>
      <w:color w:val="FFFFFF" w:themeColor="background1"/>
      <w:sz w:val="20"/>
      <w:szCs w:val="20"/>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135B1"/>
    <w:pPr>
      <w:spacing w:after="0" w:line="240" w:lineRule="auto"/>
    </w:pPr>
    <w:rPr>
      <w:rFonts w:eastAsia="Times New Roman" w:cs="Times New Roman"/>
      <w:color w:val="FFFFFF" w:themeColor="background1"/>
      <w:sz w:val="20"/>
      <w:szCs w:val="20"/>
      <w:lang w:eastAsia="en-AU"/>
    </w:rPr>
    <w:tblPr>
      <w:tblStyleRowBandSize w:val="1"/>
      <w:tblStyleColBandSize w:val="1"/>
      <w:tblBorders>
        <w:top w:val="single" w:sz="24" w:space="0" w:color="D7D8D6" w:themeColor="accent1"/>
        <w:left w:val="single" w:sz="24" w:space="0" w:color="D7D8D6" w:themeColor="accent1"/>
        <w:bottom w:val="single" w:sz="24" w:space="0" w:color="D7D8D6" w:themeColor="accent1"/>
        <w:right w:val="single" w:sz="24" w:space="0" w:color="D7D8D6" w:themeColor="accent1"/>
      </w:tblBorders>
    </w:tblPr>
    <w:tcPr>
      <w:shd w:val="clear" w:color="auto" w:fill="D7D8D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135B1"/>
    <w:pPr>
      <w:spacing w:after="0" w:line="240" w:lineRule="auto"/>
    </w:pPr>
    <w:rPr>
      <w:rFonts w:eastAsia="Times New Roman" w:cs="Times New Roman"/>
      <w:color w:val="FFFFFF" w:themeColor="background1"/>
      <w:sz w:val="20"/>
      <w:szCs w:val="20"/>
      <w:lang w:eastAsia="en-AU"/>
    </w:rPr>
    <w:tblPr>
      <w:tblStyleRowBandSize w:val="1"/>
      <w:tblStyleColBandSize w:val="1"/>
      <w:tblBorders>
        <w:top w:val="single" w:sz="24" w:space="0" w:color="FFC709" w:themeColor="accent2"/>
        <w:left w:val="single" w:sz="24" w:space="0" w:color="FFC709" w:themeColor="accent2"/>
        <w:bottom w:val="single" w:sz="24" w:space="0" w:color="FFC709" w:themeColor="accent2"/>
        <w:right w:val="single" w:sz="24" w:space="0" w:color="FFC709" w:themeColor="accent2"/>
      </w:tblBorders>
    </w:tblPr>
    <w:tcPr>
      <w:shd w:val="clear" w:color="auto" w:fill="FFC70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135B1"/>
    <w:pPr>
      <w:spacing w:after="0" w:line="240" w:lineRule="auto"/>
    </w:pPr>
    <w:rPr>
      <w:rFonts w:eastAsia="Times New Roman" w:cs="Times New Roman"/>
      <w:color w:val="FFFFFF" w:themeColor="background1"/>
      <w:sz w:val="20"/>
      <w:szCs w:val="20"/>
      <w:lang w:eastAsia="en-AU"/>
    </w:rPr>
    <w:tblPr>
      <w:tblStyleRowBandSize w:val="1"/>
      <w:tblStyleColBandSize w:val="1"/>
      <w:tblBorders>
        <w:top w:val="single" w:sz="24" w:space="0" w:color="CD163F" w:themeColor="accent3"/>
        <w:left w:val="single" w:sz="24" w:space="0" w:color="CD163F" w:themeColor="accent3"/>
        <w:bottom w:val="single" w:sz="24" w:space="0" w:color="CD163F" w:themeColor="accent3"/>
        <w:right w:val="single" w:sz="24" w:space="0" w:color="CD163F" w:themeColor="accent3"/>
      </w:tblBorders>
    </w:tblPr>
    <w:tcPr>
      <w:shd w:val="clear" w:color="auto" w:fill="CD163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135B1"/>
    <w:pPr>
      <w:spacing w:after="0" w:line="240" w:lineRule="auto"/>
    </w:pPr>
    <w:rPr>
      <w:rFonts w:eastAsia="Times New Roman" w:cs="Times New Roman"/>
      <w:color w:val="FFFFFF" w:themeColor="background1"/>
      <w:sz w:val="20"/>
      <w:szCs w:val="20"/>
      <w:lang w:eastAsia="en-AU"/>
    </w:rPr>
    <w:tblPr>
      <w:tblStyleRowBandSize w:val="1"/>
      <w:tblStyleColBandSize w:val="1"/>
      <w:tblBorders>
        <w:top w:val="single" w:sz="24" w:space="0" w:color="692686" w:themeColor="accent4"/>
        <w:left w:val="single" w:sz="24" w:space="0" w:color="692686" w:themeColor="accent4"/>
        <w:bottom w:val="single" w:sz="24" w:space="0" w:color="692686" w:themeColor="accent4"/>
        <w:right w:val="single" w:sz="24" w:space="0" w:color="692686" w:themeColor="accent4"/>
      </w:tblBorders>
    </w:tblPr>
    <w:tcPr>
      <w:shd w:val="clear" w:color="auto" w:fill="69268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135B1"/>
    <w:pPr>
      <w:spacing w:after="0" w:line="240" w:lineRule="auto"/>
    </w:pPr>
    <w:rPr>
      <w:rFonts w:eastAsia="Times New Roman" w:cs="Times New Roman"/>
      <w:color w:val="FFFFFF" w:themeColor="background1"/>
      <w:sz w:val="20"/>
      <w:szCs w:val="20"/>
      <w:lang w:eastAsia="en-AU"/>
    </w:rPr>
    <w:tblPr>
      <w:tblStyleRowBandSize w:val="1"/>
      <w:tblStyleColBandSize w:val="1"/>
      <w:tblBorders>
        <w:top w:val="single" w:sz="24" w:space="0" w:color="20AA4D" w:themeColor="accent5"/>
        <w:left w:val="single" w:sz="24" w:space="0" w:color="20AA4D" w:themeColor="accent5"/>
        <w:bottom w:val="single" w:sz="24" w:space="0" w:color="20AA4D" w:themeColor="accent5"/>
        <w:right w:val="single" w:sz="24" w:space="0" w:color="20AA4D" w:themeColor="accent5"/>
      </w:tblBorders>
    </w:tblPr>
    <w:tcPr>
      <w:shd w:val="clear" w:color="auto" w:fill="20AA4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135B1"/>
    <w:pPr>
      <w:spacing w:after="0" w:line="240" w:lineRule="auto"/>
    </w:pPr>
    <w:rPr>
      <w:rFonts w:eastAsia="Times New Roman" w:cs="Times New Roman"/>
      <w:color w:val="FFFFFF" w:themeColor="background1"/>
      <w:sz w:val="20"/>
      <w:szCs w:val="20"/>
      <w:lang w:eastAsia="en-AU"/>
    </w:rPr>
    <w:tblPr>
      <w:tblStyleRowBandSize w:val="1"/>
      <w:tblStyleColBandSize w:val="1"/>
      <w:tblBorders>
        <w:top w:val="single" w:sz="24" w:space="0" w:color="007DB6" w:themeColor="accent6"/>
        <w:left w:val="single" w:sz="24" w:space="0" w:color="007DB6" w:themeColor="accent6"/>
        <w:bottom w:val="single" w:sz="24" w:space="0" w:color="007DB6" w:themeColor="accent6"/>
        <w:right w:val="single" w:sz="24" w:space="0" w:color="007DB6" w:themeColor="accent6"/>
      </w:tblBorders>
    </w:tblPr>
    <w:tcPr>
      <w:shd w:val="clear" w:color="auto" w:fill="007DB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135B1"/>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135B1"/>
    <w:pPr>
      <w:spacing w:after="0" w:line="240" w:lineRule="auto"/>
    </w:pPr>
    <w:rPr>
      <w:rFonts w:eastAsia="Times New Roman" w:cs="Times New Roman"/>
      <w:color w:val="A0A39E" w:themeColor="accent1" w:themeShade="BF"/>
      <w:sz w:val="20"/>
      <w:szCs w:val="20"/>
      <w:lang w:eastAsia="en-AU"/>
    </w:rPr>
    <w:tblPr>
      <w:tblStyleRowBandSize w:val="1"/>
      <w:tblStyleColBandSize w:val="1"/>
      <w:tblBorders>
        <w:top w:val="single" w:sz="4" w:space="0" w:color="D7D8D6" w:themeColor="accent1"/>
        <w:bottom w:val="single" w:sz="4" w:space="0" w:color="D7D8D6" w:themeColor="accent1"/>
      </w:tblBorders>
    </w:tblPr>
    <w:tblStylePr w:type="firstRow">
      <w:rPr>
        <w:b/>
        <w:bCs/>
      </w:rPr>
      <w:tblPr/>
      <w:tcPr>
        <w:tcBorders>
          <w:bottom w:val="single" w:sz="4" w:space="0" w:color="D7D8D6" w:themeColor="accent1"/>
        </w:tcBorders>
      </w:tcPr>
    </w:tblStylePr>
    <w:tblStylePr w:type="lastRow">
      <w:rPr>
        <w:b/>
        <w:bCs/>
      </w:rPr>
      <w:tblPr/>
      <w:tcPr>
        <w:tcBorders>
          <w:top w:val="double" w:sz="4" w:space="0" w:color="D7D8D6" w:themeColor="accent1"/>
        </w:tcBorders>
      </w:tcPr>
    </w:tblStylePr>
    <w:tblStylePr w:type="firstCol">
      <w:rPr>
        <w:b/>
        <w:bCs/>
      </w:rPr>
    </w:tblStylePr>
    <w:tblStylePr w:type="lastCol">
      <w:rPr>
        <w:b/>
        <w:bCs/>
      </w:rPr>
    </w:tblStylePr>
    <w:tblStylePr w:type="band1Vert">
      <w:tblPr/>
      <w:tcPr>
        <w:shd w:val="clear" w:color="auto" w:fill="F6F7F6" w:themeFill="accent1" w:themeFillTint="33"/>
      </w:tcPr>
    </w:tblStylePr>
    <w:tblStylePr w:type="band1Horz">
      <w:tblPr/>
      <w:tcPr>
        <w:shd w:val="clear" w:color="auto" w:fill="F6F7F6" w:themeFill="accent1" w:themeFillTint="33"/>
      </w:tcPr>
    </w:tblStylePr>
  </w:style>
  <w:style w:type="table" w:styleId="ListTable6Colorful-Accent2">
    <w:name w:val="List Table 6 Colorful Accent 2"/>
    <w:basedOn w:val="TableNormal"/>
    <w:uiPriority w:val="51"/>
    <w:rsid w:val="006135B1"/>
    <w:pPr>
      <w:spacing w:after="0" w:line="240" w:lineRule="auto"/>
    </w:pPr>
    <w:rPr>
      <w:rFonts w:eastAsia="Times New Roman" w:cs="Times New Roman"/>
      <w:color w:val="C59700" w:themeColor="accent2" w:themeShade="BF"/>
      <w:sz w:val="20"/>
      <w:szCs w:val="20"/>
      <w:lang w:eastAsia="en-AU"/>
    </w:rPr>
    <w:tblPr>
      <w:tblStyleRowBandSize w:val="1"/>
      <w:tblStyleColBandSize w:val="1"/>
      <w:tblBorders>
        <w:top w:val="single" w:sz="4" w:space="0" w:color="FFC709" w:themeColor="accent2"/>
        <w:bottom w:val="single" w:sz="4" w:space="0" w:color="FFC709" w:themeColor="accent2"/>
      </w:tblBorders>
    </w:tblPr>
    <w:tblStylePr w:type="firstRow">
      <w:rPr>
        <w:b/>
        <w:bCs/>
      </w:rPr>
      <w:tblPr/>
      <w:tcPr>
        <w:tcBorders>
          <w:bottom w:val="single" w:sz="4" w:space="0" w:color="FFC709" w:themeColor="accent2"/>
        </w:tcBorders>
      </w:tcPr>
    </w:tblStylePr>
    <w:tblStylePr w:type="lastRow">
      <w:rPr>
        <w:b/>
        <w:bCs/>
      </w:rPr>
      <w:tblPr/>
      <w:tcPr>
        <w:tcBorders>
          <w:top w:val="double" w:sz="4" w:space="0" w:color="FFC709" w:themeColor="accent2"/>
        </w:tcBorders>
      </w:tcPr>
    </w:tblStylePr>
    <w:tblStylePr w:type="firstCol">
      <w:rPr>
        <w:b/>
        <w:bCs/>
      </w:rPr>
    </w:tblStylePr>
    <w:tblStylePr w:type="lastCol">
      <w:rPr>
        <w:b/>
        <w:bCs/>
      </w:rPr>
    </w:tblStylePr>
    <w:tblStylePr w:type="band1Vert">
      <w:tblPr/>
      <w:tcPr>
        <w:shd w:val="clear" w:color="auto" w:fill="FFF3CD" w:themeFill="accent2" w:themeFillTint="33"/>
      </w:tcPr>
    </w:tblStylePr>
    <w:tblStylePr w:type="band1Horz">
      <w:tblPr/>
      <w:tcPr>
        <w:shd w:val="clear" w:color="auto" w:fill="FFF3CD" w:themeFill="accent2" w:themeFillTint="33"/>
      </w:tcPr>
    </w:tblStylePr>
  </w:style>
  <w:style w:type="table" w:styleId="ListTable6Colorful-Accent3">
    <w:name w:val="List Table 6 Colorful Accent 3"/>
    <w:basedOn w:val="TableNormal"/>
    <w:uiPriority w:val="51"/>
    <w:rsid w:val="006135B1"/>
    <w:pPr>
      <w:spacing w:after="0" w:line="240" w:lineRule="auto"/>
    </w:pPr>
    <w:rPr>
      <w:rFonts w:eastAsia="Times New Roman" w:cs="Times New Roman"/>
      <w:color w:val="99102F" w:themeColor="accent3" w:themeShade="BF"/>
      <w:sz w:val="20"/>
      <w:szCs w:val="20"/>
      <w:lang w:eastAsia="en-AU"/>
    </w:rPr>
    <w:tblPr>
      <w:tblStyleRowBandSize w:val="1"/>
      <w:tblStyleColBandSize w:val="1"/>
      <w:tblBorders>
        <w:top w:val="single" w:sz="4" w:space="0" w:color="CD163F" w:themeColor="accent3"/>
        <w:bottom w:val="single" w:sz="4" w:space="0" w:color="CD163F" w:themeColor="accent3"/>
      </w:tblBorders>
    </w:tblPr>
    <w:tblStylePr w:type="firstRow">
      <w:rPr>
        <w:b/>
        <w:bCs/>
      </w:rPr>
      <w:tblPr/>
      <w:tcPr>
        <w:tcBorders>
          <w:bottom w:val="single" w:sz="4" w:space="0" w:color="CD163F" w:themeColor="accent3"/>
        </w:tcBorders>
      </w:tcPr>
    </w:tblStylePr>
    <w:tblStylePr w:type="lastRow">
      <w:rPr>
        <w:b/>
        <w:bCs/>
      </w:rPr>
      <w:tblPr/>
      <w:tcPr>
        <w:tcBorders>
          <w:top w:val="double" w:sz="4" w:space="0" w:color="CD163F" w:themeColor="accent3"/>
        </w:tcBorders>
      </w:tcPr>
    </w:tblStylePr>
    <w:tblStylePr w:type="firstCol">
      <w:rPr>
        <w:b/>
        <w:bCs/>
      </w:rPr>
    </w:tblStylePr>
    <w:tblStylePr w:type="lastCol">
      <w:rPr>
        <w:b/>
        <w:bCs/>
      </w:rPr>
    </w:tblStylePr>
    <w:tblStylePr w:type="band1Vert">
      <w:tblPr/>
      <w:tcPr>
        <w:shd w:val="clear" w:color="auto" w:fill="F9CBD6" w:themeFill="accent3" w:themeFillTint="33"/>
      </w:tcPr>
    </w:tblStylePr>
    <w:tblStylePr w:type="band1Horz">
      <w:tblPr/>
      <w:tcPr>
        <w:shd w:val="clear" w:color="auto" w:fill="F9CBD6" w:themeFill="accent3" w:themeFillTint="33"/>
      </w:tcPr>
    </w:tblStylePr>
  </w:style>
  <w:style w:type="table" w:styleId="ListTable6Colorful-Accent4">
    <w:name w:val="List Table 6 Colorful Accent 4"/>
    <w:basedOn w:val="TableNormal"/>
    <w:uiPriority w:val="51"/>
    <w:rsid w:val="006135B1"/>
    <w:pPr>
      <w:spacing w:after="0" w:line="240" w:lineRule="auto"/>
    </w:pPr>
    <w:rPr>
      <w:rFonts w:eastAsia="Times New Roman" w:cs="Times New Roman"/>
      <w:color w:val="4E1C64" w:themeColor="accent4" w:themeShade="BF"/>
      <w:sz w:val="20"/>
      <w:szCs w:val="20"/>
      <w:lang w:eastAsia="en-AU"/>
    </w:rPr>
    <w:tblPr>
      <w:tblStyleRowBandSize w:val="1"/>
      <w:tblStyleColBandSize w:val="1"/>
      <w:tblBorders>
        <w:top w:val="single" w:sz="4" w:space="0" w:color="692686" w:themeColor="accent4"/>
        <w:bottom w:val="single" w:sz="4" w:space="0" w:color="692686" w:themeColor="accent4"/>
      </w:tblBorders>
    </w:tblPr>
    <w:tblStylePr w:type="firstRow">
      <w:rPr>
        <w:b/>
        <w:bCs/>
      </w:rPr>
      <w:tblPr/>
      <w:tcPr>
        <w:tcBorders>
          <w:bottom w:val="single" w:sz="4" w:space="0" w:color="692686" w:themeColor="accent4"/>
        </w:tcBorders>
      </w:tcPr>
    </w:tblStylePr>
    <w:tblStylePr w:type="lastRow">
      <w:rPr>
        <w:b/>
        <w:bCs/>
      </w:rPr>
      <w:tblPr/>
      <w:tcPr>
        <w:tcBorders>
          <w:top w:val="double" w:sz="4" w:space="0" w:color="692686" w:themeColor="accent4"/>
        </w:tcBorders>
      </w:tcPr>
    </w:tblStylePr>
    <w:tblStylePr w:type="firstCol">
      <w:rPr>
        <w:b/>
        <w:bCs/>
      </w:rPr>
    </w:tblStylePr>
    <w:tblStylePr w:type="lastCol">
      <w:rPr>
        <w:b/>
        <w:bCs/>
      </w:rPr>
    </w:tblStylePr>
    <w:tblStylePr w:type="band1Vert">
      <w:tblPr/>
      <w:tcPr>
        <w:shd w:val="clear" w:color="auto" w:fill="E4CAF0" w:themeFill="accent4" w:themeFillTint="33"/>
      </w:tcPr>
    </w:tblStylePr>
    <w:tblStylePr w:type="band1Horz">
      <w:tblPr/>
      <w:tcPr>
        <w:shd w:val="clear" w:color="auto" w:fill="E4CAF0" w:themeFill="accent4" w:themeFillTint="33"/>
      </w:tcPr>
    </w:tblStylePr>
  </w:style>
  <w:style w:type="table" w:styleId="ListTable6Colorful-Accent5">
    <w:name w:val="List Table 6 Colorful Accent 5"/>
    <w:basedOn w:val="TableNormal"/>
    <w:uiPriority w:val="51"/>
    <w:rsid w:val="006135B1"/>
    <w:pPr>
      <w:spacing w:after="0" w:line="240" w:lineRule="auto"/>
    </w:pPr>
    <w:rPr>
      <w:rFonts w:eastAsia="Times New Roman" w:cs="Times New Roman"/>
      <w:color w:val="187F39" w:themeColor="accent5" w:themeShade="BF"/>
      <w:sz w:val="20"/>
      <w:szCs w:val="20"/>
      <w:lang w:eastAsia="en-AU"/>
    </w:rPr>
    <w:tblPr>
      <w:tblStyleRowBandSize w:val="1"/>
      <w:tblStyleColBandSize w:val="1"/>
      <w:tblBorders>
        <w:top w:val="single" w:sz="4" w:space="0" w:color="20AA4D" w:themeColor="accent5"/>
        <w:bottom w:val="single" w:sz="4" w:space="0" w:color="20AA4D" w:themeColor="accent5"/>
      </w:tblBorders>
    </w:tblPr>
    <w:tblStylePr w:type="firstRow">
      <w:rPr>
        <w:b/>
        <w:bCs/>
      </w:rPr>
      <w:tblPr/>
      <w:tcPr>
        <w:tcBorders>
          <w:bottom w:val="single" w:sz="4" w:space="0" w:color="20AA4D" w:themeColor="accent5"/>
        </w:tcBorders>
      </w:tcPr>
    </w:tblStylePr>
    <w:tblStylePr w:type="lastRow">
      <w:rPr>
        <w:b/>
        <w:bCs/>
      </w:rPr>
      <w:tblPr/>
      <w:tcPr>
        <w:tcBorders>
          <w:top w:val="double" w:sz="4" w:space="0" w:color="20AA4D" w:themeColor="accent5"/>
        </w:tcBorders>
      </w:tcPr>
    </w:tblStylePr>
    <w:tblStylePr w:type="firstCol">
      <w:rPr>
        <w:b/>
        <w:bCs/>
      </w:rPr>
    </w:tblStylePr>
    <w:tblStylePr w:type="lastCol">
      <w:rPr>
        <w:b/>
        <w:bCs/>
      </w:rPr>
    </w:tblStylePr>
    <w:tblStylePr w:type="band1Vert">
      <w:tblPr/>
      <w:tcPr>
        <w:shd w:val="clear" w:color="auto" w:fill="CBF5D8" w:themeFill="accent5" w:themeFillTint="33"/>
      </w:tcPr>
    </w:tblStylePr>
    <w:tblStylePr w:type="band1Horz">
      <w:tblPr/>
      <w:tcPr>
        <w:shd w:val="clear" w:color="auto" w:fill="CBF5D8" w:themeFill="accent5" w:themeFillTint="33"/>
      </w:tcPr>
    </w:tblStylePr>
  </w:style>
  <w:style w:type="table" w:styleId="ListTable6Colorful-Accent6">
    <w:name w:val="List Table 6 Colorful Accent 6"/>
    <w:basedOn w:val="TableNormal"/>
    <w:uiPriority w:val="51"/>
    <w:rsid w:val="006135B1"/>
    <w:pPr>
      <w:spacing w:after="0" w:line="240" w:lineRule="auto"/>
    </w:pPr>
    <w:rPr>
      <w:rFonts w:eastAsia="Times New Roman" w:cs="Times New Roman"/>
      <w:color w:val="005D88" w:themeColor="accent6" w:themeShade="BF"/>
      <w:sz w:val="20"/>
      <w:szCs w:val="20"/>
      <w:lang w:eastAsia="en-AU"/>
    </w:rPr>
    <w:tblPr>
      <w:tblStyleRowBandSize w:val="1"/>
      <w:tblStyleColBandSize w:val="1"/>
      <w:tblBorders>
        <w:top w:val="single" w:sz="4" w:space="0" w:color="007DB6" w:themeColor="accent6"/>
        <w:bottom w:val="single" w:sz="4" w:space="0" w:color="007DB6" w:themeColor="accent6"/>
      </w:tblBorders>
    </w:tblPr>
    <w:tblStylePr w:type="firstRow">
      <w:rPr>
        <w:b/>
        <w:bCs/>
      </w:rPr>
      <w:tblPr/>
      <w:tcPr>
        <w:tcBorders>
          <w:bottom w:val="single" w:sz="4" w:space="0" w:color="007DB6" w:themeColor="accent6"/>
        </w:tcBorders>
      </w:tcPr>
    </w:tblStylePr>
    <w:tblStylePr w:type="lastRow">
      <w:rPr>
        <w:b/>
        <w:bCs/>
      </w:rPr>
      <w:tblPr/>
      <w:tcPr>
        <w:tcBorders>
          <w:top w:val="double" w:sz="4" w:space="0" w:color="007DB6" w:themeColor="accent6"/>
        </w:tcBorders>
      </w:tcPr>
    </w:tblStylePr>
    <w:tblStylePr w:type="firstCol">
      <w:rPr>
        <w:b/>
        <w:bCs/>
      </w:rPr>
    </w:tblStylePr>
    <w:tblStylePr w:type="lastCol">
      <w:rPr>
        <w:b/>
        <w:bCs/>
      </w:rPr>
    </w:tblStylePr>
    <w:tblStylePr w:type="band1Vert">
      <w:tblPr/>
      <w:tcPr>
        <w:shd w:val="clear" w:color="auto" w:fill="BDEAFF" w:themeFill="accent6" w:themeFillTint="33"/>
      </w:tcPr>
    </w:tblStylePr>
    <w:tblStylePr w:type="band1Horz">
      <w:tblPr/>
      <w:tcPr>
        <w:shd w:val="clear" w:color="auto" w:fill="BDEAFF" w:themeFill="accent6" w:themeFillTint="33"/>
      </w:tcPr>
    </w:tblStylePr>
  </w:style>
  <w:style w:type="table" w:styleId="ListTable7Colorful">
    <w:name w:val="List Table 7 Colorful"/>
    <w:basedOn w:val="TableNormal"/>
    <w:uiPriority w:val="52"/>
    <w:rsid w:val="006135B1"/>
    <w:pPr>
      <w:spacing w:after="0" w:line="240" w:lineRule="auto"/>
    </w:pPr>
    <w:rPr>
      <w:rFonts w:eastAsia="Times New Roman" w:cs="Times New Roman"/>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135B1"/>
    <w:pPr>
      <w:spacing w:after="0" w:line="240" w:lineRule="auto"/>
    </w:pPr>
    <w:rPr>
      <w:rFonts w:eastAsia="Times New Roman" w:cs="Times New Roman"/>
      <w:color w:val="A0A39E" w:themeColor="accent1"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7D8D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7D8D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7D8D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7D8D6" w:themeColor="accent1"/>
        </w:tcBorders>
        <w:shd w:val="clear" w:color="auto" w:fill="FFFFFF" w:themeFill="background1"/>
      </w:tcPr>
    </w:tblStylePr>
    <w:tblStylePr w:type="band1Vert">
      <w:tblPr/>
      <w:tcPr>
        <w:shd w:val="clear" w:color="auto" w:fill="F6F7F6" w:themeFill="accent1" w:themeFillTint="33"/>
      </w:tcPr>
    </w:tblStylePr>
    <w:tblStylePr w:type="band1Horz">
      <w:tblPr/>
      <w:tcPr>
        <w:shd w:val="clear" w:color="auto" w:fill="F6F7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135B1"/>
    <w:pPr>
      <w:spacing w:after="0" w:line="240" w:lineRule="auto"/>
    </w:pPr>
    <w:rPr>
      <w:rFonts w:eastAsia="Times New Roman" w:cs="Times New Roman"/>
      <w:color w:val="C59700" w:themeColor="accent2"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70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70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70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709" w:themeColor="accent2"/>
        </w:tcBorders>
        <w:shd w:val="clear" w:color="auto" w:fill="FFFFFF" w:themeFill="background1"/>
      </w:tcPr>
    </w:tblStylePr>
    <w:tblStylePr w:type="band1Vert">
      <w:tblPr/>
      <w:tcPr>
        <w:shd w:val="clear" w:color="auto" w:fill="FFF3CD" w:themeFill="accent2" w:themeFillTint="33"/>
      </w:tcPr>
    </w:tblStylePr>
    <w:tblStylePr w:type="band1Horz">
      <w:tblPr/>
      <w:tcPr>
        <w:shd w:val="clear" w:color="auto" w:fill="FFF3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135B1"/>
    <w:pPr>
      <w:spacing w:after="0" w:line="240" w:lineRule="auto"/>
    </w:pPr>
    <w:rPr>
      <w:rFonts w:eastAsia="Times New Roman" w:cs="Times New Roman"/>
      <w:color w:val="99102F" w:themeColor="accent3"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163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163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163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163F" w:themeColor="accent3"/>
        </w:tcBorders>
        <w:shd w:val="clear" w:color="auto" w:fill="FFFFFF" w:themeFill="background1"/>
      </w:tcPr>
    </w:tblStylePr>
    <w:tblStylePr w:type="band1Vert">
      <w:tblPr/>
      <w:tcPr>
        <w:shd w:val="clear" w:color="auto" w:fill="F9CBD6" w:themeFill="accent3" w:themeFillTint="33"/>
      </w:tcPr>
    </w:tblStylePr>
    <w:tblStylePr w:type="band1Horz">
      <w:tblPr/>
      <w:tcPr>
        <w:shd w:val="clear" w:color="auto" w:fill="F9CBD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135B1"/>
    <w:pPr>
      <w:spacing w:after="0" w:line="240" w:lineRule="auto"/>
    </w:pPr>
    <w:rPr>
      <w:rFonts w:eastAsia="Times New Roman" w:cs="Times New Roman"/>
      <w:color w:val="4E1C64" w:themeColor="accent4"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9268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9268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9268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92686" w:themeColor="accent4"/>
        </w:tcBorders>
        <w:shd w:val="clear" w:color="auto" w:fill="FFFFFF" w:themeFill="background1"/>
      </w:tcPr>
    </w:tblStylePr>
    <w:tblStylePr w:type="band1Vert">
      <w:tblPr/>
      <w:tcPr>
        <w:shd w:val="clear" w:color="auto" w:fill="E4CAF0" w:themeFill="accent4" w:themeFillTint="33"/>
      </w:tcPr>
    </w:tblStylePr>
    <w:tblStylePr w:type="band1Horz">
      <w:tblPr/>
      <w:tcPr>
        <w:shd w:val="clear" w:color="auto" w:fill="E4CAF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135B1"/>
    <w:pPr>
      <w:spacing w:after="0" w:line="240" w:lineRule="auto"/>
    </w:pPr>
    <w:rPr>
      <w:rFonts w:eastAsia="Times New Roman" w:cs="Times New Roman"/>
      <w:color w:val="187F39" w:themeColor="accent5"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AA4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AA4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AA4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AA4D" w:themeColor="accent5"/>
        </w:tcBorders>
        <w:shd w:val="clear" w:color="auto" w:fill="FFFFFF" w:themeFill="background1"/>
      </w:tcPr>
    </w:tblStylePr>
    <w:tblStylePr w:type="band1Vert">
      <w:tblPr/>
      <w:tcPr>
        <w:shd w:val="clear" w:color="auto" w:fill="CBF5D8" w:themeFill="accent5" w:themeFillTint="33"/>
      </w:tcPr>
    </w:tblStylePr>
    <w:tblStylePr w:type="band1Horz">
      <w:tblPr/>
      <w:tcPr>
        <w:shd w:val="clear" w:color="auto" w:fill="CBF5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135B1"/>
    <w:pPr>
      <w:spacing w:after="0" w:line="240" w:lineRule="auto"/>
    </w:pPr>
    <w:rPr>
      <w:rFonts w:eastAsia="Times New Roman" w:cs="Times New Roman"/>
      <w:color w:val="005D88" w:themeColor="accent6"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DB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DB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DB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DB6" w:themeColor="accent6"/>
        </w:tcBorders>
        <w:shd w:val="clear" w:color="auto" w:fill="FFFFFF" w:themeFill="background1"/>
      </w:tcPr>
    </w:tblStylePr>
    <w:tblStylePr w:type="band1Vert">
      <w:tblPr/>
      <w:tcPr>
        <w:shd w:val="clear" w:color="auto" w:fill="BDEAFF" w:themeFill="accent6" w:themeFillTint="33"/>
      </w:tcPr>
    </w:tblStylePr>
    <w:tblStylePr w:type="band1Horz">
      <w:tblPr/>
      <w:tcPr>
        <w:shd w:val="clear" w:color="auto" w:fill="BDEA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E0E1E0" w:themeColor="accent1" w:themeTint="BF"/>
        <w:left w:val="single" w:sz="8" w:space="0" w:color="E0E1E0" w:themeColor="accent1" w:themeTint="BF"/>
        <w:bottom w:val="single" w:sz="8" w:space="0" w:color="E0E1E0" w:themeColor="accent1" w:themeTint="BF"/>
        <w:right w:val="single" w:sz="8" w:space="0" w:color="E0E1E0" w:themeColor="accent1" w:themeTint="BF"/>
        <w:insideH w:val="single" w:sz="8" w:space="0" w:color="E0E1E0" w:themeColor="accent1" w:themeTint="BF"/>
        <w:insideV w:val="single" w:sz="8" w:space="0" w:color="E0E1E0" w:themeColor="accent1" w:themeTint="BF"/>
      </w:tblBorders>
    </w:tblPr>
    <w:tcPr>
      <w:shd w:val="clear" w:color="auto" w:fill="F4F5F4" w:themeFill="accent1" w:themeFillTint="3F"/>
    </w:tcPr>
    <w:tblStylePr w:type="firstRow">
      <w:rPr>
        <w:b/>
        <w:bCs/>
      </w:rPr>
    </w:tblStylePr>
    <w:tblStylePr w:type="lastRow">
      <w:rPr>
        <w:b/>
        <w:bCs/>
      </w:rPr>
      <w:tblPr/>
      <w:tcPr>
        <w:tcBorders>
          <w:top w:val="single" w:sz="18" w:space="0" w:color="E0E1E0" w:themeColor="accent1" w:themeTint="BF"/>
        </w:tcBorders>
      </w:tcPr>
    </w:tblStylePr>
    <w:tblStylePr w:type="firstCol">
      <w:rPr>
        <w:b/>
        <w:bCs/>
      </w:rPr>
    </w:tblStylePr>
    <w:tblStylePr w:type="lastCol">
      <w:rPr>
        <w:b/>
        <w:bCs/>
      </w:rPr>
    </w:tblStylePr>
    <w:tblStylePr w:type="band1Vert">
      <w:tblPr/>
      <w:tcPr>
        <w:shd w:val="clear" w:color="auto" w:fill="EAEBEA" w:themeFill="accent1" w:themeFillTint="7F"/>
      </w:tcPr>
    </w:tblStylePr>
    <w:tblStylePr w:type="band1Horz">
      <w:tblPr/>
      <w:tcPr>
        <w:shd w:val="clear" w:color="auto" w:fill="EAEBEA" w:themeFill="accent1" w:themeFillTint="7F"/>
      </w:tcPr>
    </w:tblStylePr>
  </w:style>
  <w:style w:type="table" w:styleId="MediumGrid1-Accent2">
    <w:name w:val="Medium Grid 1 Accent 2"/>
    <w:basedOn w:val="TableNormal"/>
    <w:uiPriority w:val="67"/>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FFD446" w:themeColor="accent2" w:themeTint="BF"/>
        <w:left w:val="single" w:sz="8" w:space="0" w:color="FFD446" w:themeColor="accent2" w:themeTint="BF"/>
        <w:bottom w:val="single" w:sz="8" w:space="0" w:color="FFD446" w:themeColor="accent2" w:themeTint="BF"/>
        <w:right w:val="single" w:sz="8" w:space="0" w:color="FFD446" w:themeColor="accent2" w:themeTint="BF"/>
        <w:insideH w:val="single" w:sz="8" w:space="0" w:color="FFD446" w:themeColor="accent2" w:themeTint="BF"/>
        <w:insideV w:val="single" w:sz="8" w:space="0" w:color="FFD446" w:themeColor="accent2" w:themeTint="BF"/>
      </w:tblBorders>
    </w:tblPr>
    <w:tcPr>
      <w:shd w:val="clear" w:color="auto" w:fill="FFF0C2" w:themeFill="accent2" w:themeFillTint="3F"/>
    </w:tcPr>
    <w:tblStylePr w:type="firstRow">
      <w:rPr>
        <w:b/>
        <w:bCs/>
      </w:rPr>
    </w:tblStylePr>
    <w:tblStylePr w:type="lastRow">
      <w:rPr>
        <w:b/>
        <w:bCs/>
      </w:rPr>
      <w:tblPr/>
      <w:tcPr>
        <w:tcBorders>
          <w:top w:val="single" w:sz="18" w:space="0" w:color="FFD446" w:themeColor="accent2" w:themeTint="BF"/>
        </w:tcBorders>
      </w:tcPr>
    </w:tblStylePr>
    <w:tblStylePr w:type="firstCol">
      <w:rPr>
        <w:b/>
        <w:bCs/>
      </w:rPr>
    </w:tblStylePr>
    <w:tblStylePr w:type="lastCol">
      <w:rPr>
        <w:b/>
        <w:bCs/>
      </w:rPr>
    </w:tblStylePr>
    <w:tblStylePr w:type="band1Vert">
      <w:tblPr/>
      <w:tcPr>
        <w:shd w:val="clear" w:color="auto" w:fill="FFE284" w:themeFill="accent2" w:themeFillTint="7F"/>
      </w:tcPr>
    </w:tblStylePr>
    <w:tblStylePr w:type="band1Horz">
      <w:tblPr/>
      <w:tcPr>
        <w:shd w:val="clear" w:color="auto" w:fill="FFE284" w:themeFill="accent2" w:themeFillTint="7F"/>
      </w:tcPr>
    </w:tblStylePr>
  </w:style>
  <w:style w:type="table" w:styleId="MediumGrid1-Accent3">
    <w:name w:val="Medium Grid 1 Accent 3"/>
    <w:basedOn w:val="TableNormal"/>
    <w:uiPriority w:val="67"/>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EA3F65" w:themeColor="accent3" w:themeTint="BF"/>
        <w:left w:val="single" w:sz="8" w:space="0" w:color="EA3F65" w:themeColor="accent3" w:themeTint="BF"/>
        <w:bottom w:val="single" w:sz="8" w:space="0" w:color="EA3F65" w:themeColor="accent3" w:themeTint="BF"/>
        <w:right w:val="single" w:sz="8" w:space="0" w:color="EA3F65" w:themeColor="accent3" w:themeTint="BF"/>
        <w:insideH w:val="single" w:sz="8" w:space="0" w:color="EA3F65" w:themeColor="accent3" w:themeTint="BF"/>
        <w:insideV w:val="single" w:sz="8" w:space="0" w:color="EA3F65" w:themeColor="accent3" w:themeTint="BF"/>
      </w:tblBorders>
    </w:tblPr>
    <w:tcPr>
      <w:shd w:val="clear" w:color="auto" w:fill="F8BFCC" w:themeFill="accent3" w:themeFillTint="3F"/>
    </w:tcPr>
    <w:tblStylePr w:type="firstRow">
      <w:rPr>
        <w:b/>
        <w:bCs/>
      </w:rPr>
    </w:tblStylePr>
    <w:tblStylePr w:type="lastRow">
      <w:rPr>
        <w:b/>
        <w:bCs/>
      </w:rPr>
      <w:tblPr/>
      <w:tcPr>
        <w:tcBorders>
          <w:top w:val="single" w:sz="18" w:space="0" w:color="EA3F65" w:themeColor="accent3" w:themeTint="BF"/>
        </w:tcBorders>
      </w:tcPr>
    </w:tblStylePr>
    <w:tblStylePr w:type="firstCol">
      <w:rPr>
        <w:b/>
        <w:bCs/>
      </w:rPr>
    </w:tblStylePr>
    <w:tblStylePr w:type="lastCol">
      <w:rPr>
        <w:b/>
        <w:bCs/>
      </w:rPr>
    </w:tblStylePr>
    <w:tblStylePr w:type="band1Vert">
      <w:tblPr/>
      <w:tcPr>
        <w:shd w:val="clear" w:color="auto" w:fill="F17F99" w:themeFill="accent3" w:themeFillTint="7F"/>
      </w:tcPr>
    </w:tblStylePr>
    <w:tblStylePr w:type="band1Horz">
      <w:tblPr/>
      <w:tcPr>
        <w:shd w:val="clear" w:color="auto" w:fill="F17F99" w:themeFill="accent3" w:themeFillTint="7F"/>
      </w:tcPr>
    </w:tblStylePr>
  </w:style>
  <w:style w:type="table" w:styleId="MediumGrid1-Accent4">
    <w:name w:val="Medium Grid 1 Accent 4"/>
    <w:basedOn w:val="TableNormal"/>
    <w:uiPriority w:val="67"/>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9B39C7" w:themeColor="accent4" w:themeTint="BF"/>
        <w:left w:val="single" w:sz="8" w:space="0" w:color="9B39C7" w:themeColor="accent4" w:themeTint="BF"/>
        <w:bottom w:val="single" w:sz="8" w:space="0" w:color="9B39C7" w:themeColor="accent4" w:themeTint="BF"/>
        <w:right w:val="single" w:sz="8" w:space="0" w:color="9B39C7" w:themeColor="accent4" w:themeTint="BF"/>
        <w:insideH w:val="single" w:sz="8" w:space="0" w:color="9B39C7" w:themeColor="accent4" w:themeTint="BF"/>
        <w:insideV w:val="single" w:sz="8" w:space="0" w:color="9B39C7" w:themeColor="accent4" w:themeTint="BF"/>
      </w:tblBorders>
    </w:tblPr>
    <w:tcPr>
      <w:shd w:val="clear" w:color="auto" w:fill="DEBDEC" w:themeFill="accent4" w:themeFillTint="3F"/>
    </w:tcPr>
    <w:tblStylePr w:type="firstRow">
      <w:rPr>
        <w:b/>
        <w:bCs/>
      </w:rPr>
    </w:tblStylePr>
    <w:tblStylePr w:type="lastRow">
      <w:rPr>
        <w:b/>
        <w:bCs/>
      </w:rPr>
      <w:tblPr/>
      <w:tcPr>
        <w:tcBorders>
          <w:top w:val="single" w:sz="18" w:space="0" w:color="9B39C7" w:themeColor="accent4" w:themeTint="BF"/>
        </w:tcBorders>
      </w:tcPr>
    </w:tblStylePr>
    <w:tblStylePr w:type="firstCol">
      <w:rPr>
        <w:b/>
        <w:bCs/>
      </w:rPr>
    </w:tblStylePr>
    <w:tblStylePr w:type="lastCol">
      <w:rPr>
        <w:b/>
        <w:bCs/>
      </w:rPr>
    </w:tblStylePr>
    <w:tblStylePr w:type="band1Vert">
      <w:tblPr/>
      <w:tcPr>
        <w:shd w:val="clear" w:color="auto" w:fill="BC7BD9" w:themeFill="accent4" w:themeFillTint="7F"/>
      </w:tcPr>
    </w:tblStylePr>
    <w:tblStylePr w:type="band1Horz">
      <w:tblPr/>
      <w:tcPr>
        <w:shd w:val="clear" w:color="auto" w:fill="BC7BD9" w:themeFill="accent4" w:themeFillTint="7F"/>
      </w:tcPr>
    </w:tblStylePr>
  </w:style>
  <w:style w:type="table" w:styleId="MediumGrid1-Accent5">
    <w:name w:val="Medium Grid 1 Accent 5"/>
    <w:basedOn w:val="TableNormal"/>
    <w:uiPriority w:val="67"/>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3CDA6F" w:themeColor="accent5" w:themeTint="BF"/>
        <w:left w:val="single" w:sz="8" w:space="0" w:color="3CDA6F" w:themeColor="accent5" w:themeTint="BF"/>
        <w:bottom w:val="single" w:sz="8" w:space="0" w:color="3CDA6F" w:themeColor="accent5" w:themeTint="BF"/>
        <w:right w:val="single" w:sz="8" w:space="0" w:color="3CDA6F" w:themeColor="accent5" w:themeTint="BF"/>
        <w:insideH w:val="single" w:sz="8" w:space="0" w:color="3CDA6F" w:themeColor="accent5" w:themeTint="BF"/>
        <w:insideV w:val="single" w:sz="8" w:space="0" w:color="3CDA6F" w:themeColor="accent5" w:themeTint="BF"/>
      </w:tblBorders>
    </w:tblPr>
    <w:tcPr>
      <w:shd w:val="clear" w:color="auto" w:fill="BEF3CF" w:themeFill="accent5" w:themeFillTint="3F"/>
    </w:tcPr>
    <w:tblStylePr w:type="firstRow">
      <w:rPr>
        <w:b/>
        <w:bCs/>
      </w:rPr>
    </w:tblStylePr>
    <w:tblStylePr w:type="lastRow">
      <w:rPr>
        <w:b/>
        <w:bCs/>
      </w:rPr>
      <w:tblPr/>
      <w:tcPr>
        <w:tcBorders>
          <w:top w:val="single" w:sz="18" w:space="0" w:color="3CDA6F" w:themeColor="accent5" w:themeTint="BF"/>
        </w:tcBorders>
      </w:tcPr>
    </w:tblStylePr>
    <w:tblStylePr w:type="firstCol">
      <w:rPr>
        <w:b/>
        <w:bCs/>
      </w:rPr>
    </w:tblStylePr>
    <w:tblStylePr w:type="lastCol">
      <w:rPr>
        <w:b/>
        <w:bCs/>
      </w:rPr>
    </w:tblStylePr>
    <w:tblStylePr w:type="band1Vert">
      <w:tblPr/>
      <w:tcPr>
        <w:shd w:val="clear" w:color="auto" w:fill="7DE69F" w:themeFill="accent5" w:themeFillTint="7F"/>
      </w:tcPr>
    </w:tblStylePr>
    <w:tblStylePr w:type="band1Horz">
      <w:tblPr/>
      <w:tcPr>
        <w:shd w:val="clear" w:color="auto" w:fill="7DE69F" w:themeFill="accent5" w:themeFillTint="7F"/>
      </w:tcPr>
    </w:tblStylePr>
  </w:style>
  <w:style w:type="table" w:styleId="MediumGrid1-Accent6">
    <w:name w:val="Medium Grid 1 Accent 6"/>
    <w:basedOn w:val="TableNormal"/>
    <w:uiPriority w:val="67"/>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09B1FF" w:themeColor="accent6" w:themeTint="BF"/>
        <w:left w:val="single" w:sz="8" w:space="0" w:color="09B1FF" w:themeColor="accent6" w:themeTint="BF"/>
        <w:bottom w:val="single" w:sz="8" w:space="0" w:color="09B1FF" w:themeColor="accent6" w:themeTint="BF"/>
        <w:right w:val="single" w:sz="8" w:space="0" w:color="09B1FF" w:themeColor="accent6" w:themeTint="BF"/>
        <w:insideH w:val="single" w:sz="8" w:space="0" w:color="09B1FF" w:themeColor="accent6" w:themeTint="BF"/>
        <w:insideV w:val="single" w:sz="8" w:space="0" w:color="09B1FF" w:themeColor="accent6" w:themeTint="BF"/>
      </w:tblBorders>
    </w:tblPr>
    <w:tcPr>
      <w:shd w:val="clear" w:color="auto" w:fill="ADE5FF" w:themeFill="accent6" w:themeFillTint="3F"/>
    </w:tcPr>
    <w:tblStylePr w:type="firstRow">
      <w:rPr>
        <w:b/>
        <w:bCs/>
      </w:rPr>
    </w:tblStylePr>
    <w:tblStylePr w:type="lastRow">
      <w:rPr>
        <w:b/>
        <w:bCs/>
      </w:rPr>
      <w:tblPr/>
      <w:tcPr>
        <w:tcBorders>
          <w:top w:val="single" w:sz="18" w:space="0" w:color="09B1FF" w:themeColor="accent6" w:themeTint="BF"/>
        </w:tcBorders>
      </w:tcPr>
    </w:tblStylePr>
    <w:tblStylePr w:type="firstCol">
      <w:rPr>
        <w:b/>
        <w:bCs/>
      </w:rPr>
    </w:tblStylePr>
    <w:tblStylePr w:type="lastCol">
      <w:rPr>
        <w:b/>
        <w:bCs/>
      </w:rPr>
    </w:tblStylePr>
    <w:tblStylePr w:type="band1Vert">
      <w:tblPr/>
      <w:tcPr>
        <w:shd w:val="clear" w:color="auto" w:fill="5BCBFF" w:themeFill="accent6" w:themeFillTint="7F"/>
      </w:tcPr>
    </w:tblStylePr>
    <w:tblStylePr w:type="band1Horz">
      <w:tblPr/>
      <w:tcPr>
        <w:shd w:val="clear" w:color="auto" w:fill="5BCBFF" w:themeFill="accent6" w:themeFillTint="7F"/>
      </w:tcPr>
    </w:tblStylePr>
  </w:style>
  <w:style w:type="table" w:styleId="MediumGrid2">
    <w:name w:val="Medium Grid 2"/>
    <w:basedOn w:val="TableNormal"/>
    <w:uiPriority w:val="68"/>
    <w:semiHidden/>
    <w:unhideWhenUsed/>
    <w:rsid w:val="006135B1"/>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135B1"/>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D7D8D6" w:themeColor="accent1"/>
        <w:left w:val="single" w:sz="8" w:space="0" w:color="D7D8D6" w:themeColor="accent1"/>
        <w:bottom w:val="single" w:sz="8" w:space="0" w:color="D7D8D6" w:themeColor="accent1"/>
        <w:right w:val="single" w:sz="8" w:space="0" w:color="D7D8D6" w:themeColor="accent1"/>
        <w:insideH w:val="single" w:sz="8" w:space="0" w:color="D7D8D6" w:themeColor="accent1"/>
        <w:insideV w:val="single" w:sz="8" w:space="0" w:color="D7D8D6" w:themeColor="accent1"/>
      </w:tblBorders>
    </w:tblPr>
    <w:tcPr>
      <w:shd w:val="clear" w:color="auto" w:fill="F4F5F4" w:themeFill="accent1" w:themeFillTint="3F"/>
    </w:tcPr>
    <w:tblStylePr w:type="firstRow">
      <w:rPr>
        <w:b/>
        <w:bCs/>
        <w:color w:val="000000" w:themeColor="text1"/>
      </w:rPr>
      <w:tblPr/>
      <w:tcPr>
        <w:shd w:val="clear" w:color="auto" w:fill="FAFB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7F6" w:themeFill="accent1" w:themeFillTint="33"/>
      </w:tcPr>
    </w:tblStylePr>
    <w:tblStylePr w:type="band1Vert">
      <w:tblPr/>
      <w:tcPr>
        <w:shd w:val="clear" w:color="auto" w:fill="EAEBEA" w:themeFill="accent1" w:themeFillTint="7F"/>
      </w:tcPr>
    </w:tblStylePr>
    <w:tblStylePr w:type="band1Horz">
      <w:tblPr/>
      <w:tcPr>
        <w:tcBorders>
          <w:insideH w:val="single" w:sz="6" w:space="0" w:color="D7D8D6" w:themeColor="accent1"/>
          <w:insideV w:val="single" w:sz="6" w:space="0" w:color="D7D8D6" w:themeColor="accent1"/>
        </w:tcBorders>
        <w:shd w:val="clear" w:color="auto" w:fill="EAEB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135B1"/>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FFC709" w:themeColor="accent2"/>
        <w:left w:val="single" w:sz="8" w:space="0" w:color="FFC709" w:themeColor="accent2"/>
        <w:bottom w:val="single" w:sz="8" w:space="0" w:color="FFC709" w:themeColor="accent2"/>
        <w:right w:val="single" w:sz="8" w:space="0" w:color="FFC709" w:themeColor="accent2"/>
        <w:insideH w:val="single" w:sz="8" w:space="0" w:color="FFC709" w:themeColor="accent2"/>
        <w:insideV w:val="single" w:sz="8" w:space="0" w:color="FFC709" w:themeColor="accent2"/>
      </w:tblBorders>
    </w:tblPr>
    <w:tcPr>
      <w:shd w:val="clear" w:color="auto" w:fill="FFF0C2" w:themeFill="accent2" w:themeFillTint="3F"/>
    </w:tcPr>
    <w:tblStylePr w:type="firstRow">
      <w:rPr>
        <w:b/>
        <w:bCs/>
        <w:color w:val="000000" w:themeColor="text1"/>
      </w:rPr>
      <w:tblPr/>
      <w:tcPr>
        <w:shd w:val="clear" w:color="auto" w:fill="FFF9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3CD" w:themeFill="accent2" w:themeFillTint="33"/>
      </w:tcPr>
    </w:tblStylePr>
    <w:tblStylePr w:type="band1Vert">
      <w:tblPr/>
      <w:tcPr>
        <w:shd w:val="clear" w:color="auto" w:fill="FFE284" w:themeFill="accent2" w:themeFillTint="7F"/>
      </w:tcPr>
    </w:tblStylePr>
    <w:tblStylePr w:type="band1Horz">
      <w:tblPr/>
      <w:tcPr>
        <w:tcBorders>
          <w:insideH w:val="single" w:sz="6" w:space="0" w:color="FFC709" w:themeColor="accent2"/>
          <w:insideV w:val="single" w:sz="6" w:space="0" w:color="FFC709" w:themeColor="accent2"/>
        </w:tcBorders>
        <w:shd w:val="clear" w:color="auto" w:fill="FFE28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135B1"/>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CD163F" w:themeColor="accent3"/>
        <w:left w:val="single" w:sz="8" w:space="0" w:color="CD163F" w:themeColor="accent3"/>
        <w:bottom w:val="single" w:sz="8" w:space="0" w:color="CD163F" w:themeColor="accent3"/>
        <w:right w:val="single" w:sz="8" w:space="0" w:color="CD163F" w:themeColor="accent3"/>
        <w:insideH w:val="single" w:sz="8" w:space="0" w:color="CD163F" w:themeColor="accent3"/>
        <w:insideV w:val="single" w:sz="8" w:space="0" w:color="CD163F" w:themeColor="accent3"/>
      </w:tblBorders>
    </w:tblPr>
    <w:tcPr>
      <w:shd w:val="clear" w:color="auto" w:fill="F8BFCC" w:themeFill="accent3" w:themeFillTint="3F"/>
    </w:tcPr>
    <w:tblStylePr w:type="firstRow">
      <w:rPr>
        <w:b/>
        <w:bCs/>
        <w:color w:val="000000" w:themeColor="text1"/>
      </w:rPr>
      <w:tblPr/>
      <w:tcPr>
        <w:shd w:val="clear" w:color="auto" w:fill="FCE5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BD6" w:themeFill="accent3" w:themeFillTint="33"/>
      </w:tcPr>
    </w:tblStylePr>
    <w:tblStylePr w:type="band1Vert">
      <w:tblPr/>
      <w:tcPr>
        <w:shd w:val="clear" w:color="auto" w:fill="F17F99" w:themeFill="accent3" w:themeFillTint="7F"/>
      </w:tcPr>
    </w:tblStylePr>
    <w:tblStylePr w:type="band1Horz">
      <w:tblPr/>
      <w:tcPr>
        <w:tcBorders>
          <w:insideH w:val="single" w:sz="6" w:space="0" w:color="CD163F" w:themeColor="accent3"/>
          <w:insideV w:val="single" w:sz="6" w:space="0" w:color="CD163F" w:themeColor="accent3"/>
        </w:tcBorders>
        <w:shd w:val="clear" w:color="auto" w:fill="F17F9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135B1"/>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692686" w:themeColor="accent4"/>
        <w:left w:val="single" w:sz="8" w:space="0" w:color="692686" w:themeColor="accent4"/>
        <w:bottom w:val="single" w:sz="8" w:space="0" w:color="692686" w:themeColor="accent4"/>
        <w:right w:val="single" w:sz="8" w:space="0" w:color="692686" w:themeColor="accent4"/>
        <w:insideH w:val="single" w:sz="8" w:space="0" w:color="692686" w:themeColor="accent4"/>
        <w:insideV w:val="single" w:sz="8" w:space="0" w:color="692686" w:themeColor="accent4"/>
      </w:tblBorders>
    </w:tblPr>
    <w:tcPr>
      <w:shd w:val="clear" w:color="auto" w:fill="DEBDEC" w:themeFill="accent4" w:themeFillTint="3F"/>
    </w:tcPr>
    <w:tblStylePr w:type="firstRow">
      <w:rPr>
        <w:b/>
        <w:bCs/>
        <w:color w:val="000000" w:themeColor="text1"/>
      </w:rPr>
      <w:tblPr/>
      <w:tcPr>
        <w:shd w:val="clear" w:color="auto" w:fill="F1E5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AF0" w:themeFill="accent4" w:themeFillTint="33"/>
      </w:tcPr>
    </w:tblStylePr>
    <w:tblStylePr w:type="band1Vert">
      <w:tblPr/>
      <w:tcPr>
        <w:shd w:val="clear" w:color="auto" w:fill="BC7BD9" w:themeFill="accent4" w:themeFillTint="7F"/>
      </w:tcPr>
    </w:tblStylePr>
    <w:tblStylePr w:type="band1Horz">
      <w:tblPr/>
      <w:tcPr>
        <w:tcBorders>
          <w:insideH w:val="single" w:sz="6" w:space="0" w:color="692686" w:themeColor="accent4"/>
          <w:insideV w:val="single" w:sz="6" w:space="0" w:color="692686" w:themeColor="accent4"/>
        </w:tcBorders>
        <w:shd w:val="clear" w:color="auto" w:fill="BC7BD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135B1"/>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20AA4D" w:themeColor="accent5"/>
        <w:left w:val="single" w:sz="8" w:space="0" w:color="20AA4D" w:themeColor="accent5"/>
        <w:bottom w:val="single" w:sz="8" w:space="0" w:color="20AA4D" w:themeColor="accent5"/>
        <w:right w:val="single" w:sz="8" w:space="0" w:color="20AA4D" w:themeColor="accent5"/>
        <w:insideH w:val="single" w:sz="8" w:space="0" w:color="20AA4D" w:themeColor="accent5"/>
        <w:insideV w:val="single" w:sz="8" w:space="0" w:color="20AA4D" w:themeColor="accent5"/>
      </w:tblBorders>
    </w:tblPr>
    <w:tcPr>
      <w:shd w:val="clear" w:color="auto" w:fill="BEF3CF" w:themeFill="accent5" w:themeFillTint="3F"/>
    </w:tcPr>
    <w:tblStylePr w:type="firstRow">
      <w:rPr>
        <w:b/>
        <w:bCs/>
        <w:color w:val="000000" w:themeColor="text1"/>
      </w:rPr>
      <w:tblPr/>
      <w:tcPr>
        <w:shd w:val="clear" w:color="auto" w:fill="E5FA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BF5D8" w:themeFill="accent5" w:themeFillTint="33"/>
      </w:tcPr>
    </w:tblStylePr>
    <w:tblStylePr w:type="band1Vert">
      <w:tblPr/>
      <w:tcPr>
        <w:shd w:val="clear" w:color="auto" w:fill="7DE69F" w:themeFill="accent5" w:themeFillTint="7F"/>
      </w:tcPr>
    </w:tblStylePr>
    <w:tblStylePr w:type="band1Horz">
      <w:tblPr/>
      <w:tcPr>
        <w:tcBorders>
          <w:insideH w:val="single" w:sz="6" w:space="0" w:color="20AA4D" w:themeColor="accent5"/>
          <w:insideV w:val="single" w:sz="6" w:space="0" w:color="20AA4D" w:themeColor="accent5"/>
        </w:tcBorders>
        <w:shd w:val="clear" w:color="auto" w:fill="7DE6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135B1"/>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7DB6" w:themeColor="accent6"/>
        <w:left w:val="single" w:sz="8" w:space="0" w:color="007DB6" w:themeColor="accent6"/>
        <w:bottom w:val="single" w:sz="8" w:space="0" w:color="007DB6" w:themeColor="accent6"/>
        <w:right w:val="single" w:sz="8" w:space="0" w:color="007DB6" w:themeColor="accent6"/>
        <w:insideH w:val="single" w:sz="8" w:space="0" w:color="007DB6" w:themeColor="accent6"/>
        <w:insideV w:val="single" w:sz="8" w:space="0" w:color="007DB6" w:themeColor="accent6"/>
      </w:tblBorders>
    </w:tblPr>
    <w:tcPr>
      <w:shd w:val="clear" w:color="auto" w:fill="ADE5FF" w:themeFill="accent6" w:themeFillTint="3F"/>
    </w:tcPr>
    <w:tblStylePr w:type="firstRow">
      <w:rPr>
        <w:b/>
        <w:bCs/>
        <w:color w:val="000000" w:themeColor="text1"/>
      </w:rPr>
      <w:tblPr/>
      <w:tcPr>
        <w:shd w:val="clear" w:color="auto" w:fill="DEF4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EAFF" w:themeFill="accent6" w:themeFillTint="33"/>
      </w:tcPr>
    </w:tblStylePr>
    <w:tblStylePr w:type="band1Vert">
      <w:tblPr/>
      <w:tcPr>
        <w:shd w:val="clear" w:color="auto" w:fill="5BCBFF" w:themeFill="accent6" w:themeFillTint="7F"/>
      </w:tcPr>
    </w:tblStylePr>
    <w:tblStylePr w:type="band1Horz">
      <w:tblPr/>
      <w:tcPr>
        <w:tcBorders>
          <w:insideH w:val="single" w:sz="6" w:space="0" w:color="007DB6" w:themeColor="accent6"/>
          <w:insideV w:val="single" w:sz="6" w:space="0" w:color="007DB6" w:themeColor="accent6"/>
        </w:tcBorders>
        <w:shd w:val="clear" w:color="auto" w:fill="5BCB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5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D8D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D8D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D8D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D8D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EB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EBEA" w:themeFill="accent1" w:themeFillTint="7F"/>
      </w:tcPr>
    </w:tblStylePr>
  </w:style>
  <w:style w:type="table" w:styleId="MediumGrid3-Accent2">
    <w:name w:val="Medium Grid 3 Accent 2"/>
    <w:basedOn w:val="TableNormal"/>
    <w:uiPriority w:val="69"/>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0C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70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70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70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70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2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284" w:themeFill="accent2" w:themeFillTint="7F"/>
      </w:tcPr>
    </w:tblStylePr>
  </w:style>
  <w:style w:type="table" w:styleId="MediumGrid3-Accent3">
    <w:name w:val="Medium Grid 3 Accent 3"/>
    <w:basedOn w:val="TableNormal"/>
    <w:uiPriority w:val="69"/>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BFC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163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163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163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163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7F9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7F99" w:themeFill="accent3" w:themeFillTint="7F"/>
      </w:tcPr>
    </w:tblStylePr>
  </w:style>
  <w:style w:type="table" w:styleId="MediumGrid3-Accent4">
    <w:name w:val="Medium Grid 3 Accent 4"/>
    <w:basedOn w:val="TableNormal"/>
    <w:uiPriority w:val="69"/>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BDE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268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268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268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268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7BD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7BD9" w:themeFill="accent4" w:themeFillTint="7F"/>
      </w:tcPr>
    </w:tblStylePr>
  </w:style>
  <w:style w:type="table" w:styleId="MediumGrid3-Accent5">
    <w:name w:val="Medium Grid 3 Accent 5"/>
    <w:basedOn w:val="TableNormal"/>
    <w:uiPriority w:val="69"/>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F3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AA4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AA4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AA4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AA4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E6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E69F" w:themeFill="accent5" w:themeFillTint="7F"/>
      </w:tcPr>
    </w:tblStylePr>
  </w:style>
  <w:style w:type="table" w:styleId="MediumGrid3-Accent6">
    <w:name w:val="Medium Grid 3 Accent 6"/>
    <w:basedOn w:val="TableNormal"/>
    <w:uiPriority w:val="69"/>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E5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DB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DB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DB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DB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CB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CBFF" w:themeFill="accent6" w:themeFillTint="7F"/>
      </w:tcPr>
    </w:tblStylePr>
  </w:style>
  <w:style w:type="table" w:styleId="MediumList1">
    <w:name w:val="Medium List 1"/>
    <w:basedOn w:val="TableNormal"/>
    <w:uiPriority w:val="65"/>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C2B3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8" w:space="0" w:color="D7D8D6" w:themeColor="accent1"/>
        <w:bottom w:val="single" w:sz="8" w:space="0" w:color="D7D8D6" w:themeColor="accent1"/>
      </w:tblBorders>
    </w:tblPr>
    <w:tblStylePr w:type="firstRow">
      <w:rPr>
        <w:rFonts w:asciiTheme="majorHAnsi" w:eastAsiaTheme="majorEastAsia" w:hAnsiTheme="majorHAnsi" w:cstheme="majorBidi"/>
      </w:rPr>
      <w:tblPr/>
      <w:tcPr>
        <w:tcBorders>
          <w:top w:val="nil"/>
          <w:bottom w:val="single" w:sz="8" w:space="0" w:color="D7D8D6" w:themeColor="accent1"/>
        </w:tcBorders>
      </w:tcPr>
    </w:tblStylePr>
    <w:tblStylePr w:type="lastRow">
      <w:rPr>
        <w:b/>
        <w:bCs/>
        <w:color w:val="1C2B39" w:themeColor="text2"/>
      </w:rPr>
      <w:tblPr/>
      <w:tcPr>
        <w:tcBorders>
          <w:top w:val="single" w:sz="8" w:space="0" w:color="D7D8D6" w:themeColor="accent1"/>
          <w:bottom w:val="single" w:sz="8" w:space="0" w:color="D7D8D6" w:themeColor="accent1"/>
        </w:tcBorders>
      </w:tcPr>
    </w:tblStylePr>
    <w:tblStylePr w:type="firstCol">
      <w:rPr>
        <w:b/>
        <w:bCs/>
      </w:rPr>
    </w:tblStylePr>
    <w:tblStylePr w:type="lastCol">
      <w:rPr>
        <w:b/>
        <w:bCs/>
      </w:rPr>
      <w:tblPr/>
      <w:tcPr>
        <w:tcBorders>
          <w:top w:val="single" w:sz="8" w:space="0" w:color="D7D8D6" w:themeColor="accent1"/>
          <w:bottom w:val="single" w:sz="8" w:space="0" w:color="D7D8D6" w:themeColor="accent1"/>
        </w:tcBorders>
      </w:tcPr>
    </w:tblStylePr>
    <w:tblStylePr w:type="band1Vert">
      <w:tblPr/>
      <w:tcPr>
        <w:shd w:val="clear" w:color="auto" w:fill="F4F5F4" w:themeFill="accent1" w:themeFillTint="3F"/>
      </w:tcPr>
    </w:tblStylePr>
    <w:tblStylePr w:type="band1Horz">
      <w:tblPr/>
      <w:tcPr>
        <w:shd w:val="clear" w:color="auto" w:fill="F4F5F4" w:themeFill="accent1" w:themeFillTint="3F"/>
      </w:tcPr>
    </w:tblStylePr>
  </w:style>
  <w:style w:type="table" w:styleId="MediumList1-Accent2">
    <w:name w:val="Medium List 1 Accent 2"/>
    <w:basedOn w:val="TableNormal"/>
    <w:uiPriority w:val="65"/>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8" w:space="0" w:color="FFC709" w:themeColor="accent2"/>
        <w:bottom w:val="single" w:sz="8" w:space="0" w:color="FFC709" w:themeColor="accent2"/>
      </w:tblBorders>
    </w:tblPr>
    <w:tblStylePr w:type="firstRow">
      <w:rPr>
        <w:rFonts w:asciiTheme="majorHAnsi" w:eastAsiaTheme="majorEastAsia" w:hAnsiTheme="majorHAnsi" w:cstheme="majorBidi"/>
      </w:rPr>
      <w:tblPr/>
      <w:tcPr>
        <w:tcBorders>
          <w:top w:val="nil"/>
          <w:bottom w:val="single" w:sz="8" w:space="0" w:color="FFC709" w:themeColor="accent2"/>
        </w:tcBorders>
      </w:tcPr>
    </w:tblStylePr>
    <w:tblStylePr w:type="lastRow">
      <w:rPr>
        <w:b/>
        <w:bCs/>
        <w:color w:val="1C2B39" w:themeColor="text2"/>
      </w:rPr>
      <w:tblPr/>
      <w:tcPr>
        <w:tcBorders>
          <w:top w:val="single" w:sz="8" w:space="0" w:color="FFC709" w:themeColor="accent2"/>
          <w:bottom w:val="single" w:sz="8" w:space="0" w:color="FFC709" w:themeColor="accent2"/>
        </w:tcBorders>
      </w:tcPr>
    </w:tblStylePr>
    <w:tblStylePr w:type="firstCol">
      <w:rPr>
        <w:b/>
        <w:bCs/>
      </w:rPr>
    </w:tblStylePr>
    <w:tblStylePr w:type="lastCol">
      <w:rPr>
        <w:b/>
        <w:bCs/>
      </w:rPr>
      <w:tblPr/>
      <w:tcPr>
        <w:tcBorders>
          <w:top w:val="single" w:sz="8" w:space="0" w:color="FFC709" w:themeColor="accent2"/>
          <w:bottom w:val="single" w:sz="8" w:space="0" w:color="FFC709" w:themeColor="accent2"/>
        </w:tcBorders>
      </w:tcPr>
    </w:tblStylePr>
    <w:tblStylePr w:type="band1Vert">
      <w:tblPr/>
      <w:tcPr>
        <w:shd w:val="clear" w:color="auto" w:fill="FFF0C2" w:themeFill="accent2" w:themeFillTint="3F"/>
      </w:tcPr>
    </w:tblStylePr>
    <w:tblStylePr w:type="band1Horz">
      <w:tblPr/>
      <w:tcPr>
        <w:shd w:val="clear" w:color="auto" w:fill="FFF0C2" w:themeFill="accent2" w:themeFillTint="3F"/>
      </w:tcPr>
    </w:tblStylePr>
  </w:style>
  <w:style w:type="table" w:styleId="MediumList1-Accent3">
    <w:name w:val="Medium List 1 Accent 3"/>
    <w:basedOn w:val="TableNormal"/>
    <w:uiPriority w:val="65"/>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8" w:space="0" w:color="CD163F" w:themeColor="accent3"/>
        <w:bottom w:val="single" w:sz="8" w:space="0" w:color="CD163F" w:themeColor="accent3"/>
      </w:tblBorders>
    </w:tblPr>
    <w:tblStylePr w:type="firstRow">
      <w:rPr>
        <w:rFonts w:asciiTheme="majorHAnsi" w:eastAsiaTheme="majorEastAsia" w:hAnsiTheme="majorHAnsi" w:cstheme="majorBidi"/>
      </w:rPr>
      <w:tblPr/>
      <w:tcPr>
        <w:tcBorders>
          <w:top w:val="nil"/>
          <w:bottom w:val="single" w:sz="8" w:space="0" w:color="CD163F" w:themeColor="accent3"/>
        </w:tcBorders>
      </w:tcPr>
    </w:tblStylePr>
    <w:tblStylePr w:type="lastRow">
      <w:rPr>
        <w:b/>
        <w:bCs/>
        <w:color w:val="1C2B39" w:themeColor="text2"/>
      </w:rPr>
      <w:tblPr/>
      <w:tcPr>
        <w:tcBorders>
          <w:top w:val="single" w:sz="8" w:space="0" w:color="CD163F" w:themeColor="accent3"/>
          <w:bottom w:val="single" w:sz="8" w:space="0" w:color="CD163F" w:themeColor="accent3"/>
        </w:tcBorders>
      </w:tcPr>
    </w:tblStylePr>
    <w:tblStylePr w:type="firstCol">
      <w:rPr>
        <w:b/>
        <w:bCs/>
      </w:rPr>
    </w:tblStylePr>
    <w:tblStylePr w:type="lastCol">
      <w:rPr>
        <w:b/>
        <w:bCs/>
      </w:rPr>
      <w:tblPr/>
      <w:tcPr>
        <w:tcBorders>
          <w:top w:val="single" w:sz="8" w:space="0" w:color="CD163F" w:themeColor="accent3"/>
          <w:bottom w:val="single" w:sz="8" w:space="0" w:color="CD163F" w:themeColor="accent3"/>
        </w:tcBorders>
      </w:tcPr>
    </w:tblStylePr>
    <w:tblStylePr w:type="band1Vert">
      <w:tblPr/>
      <w:tcPr>
        <w:shd w:val="clear" w:color="auto" w:fill="F8BFCC" w:themeFill="accent3" w:themeFillTint="3F"/>
      </w:tcPr>
    </w:tblStylePr>
    <w:tblStylePr w:type="band1Horz">
      <w:tblPr/>
      <w:tcPr>
        <w:shd w:val="clear" w:color="auto" w:fill="F8BFCC" w:themeFill="accent3" w:themeFillTint="3F"/>
      </w:tcPr>
    </w:tblStylePr>
  </w:style>
  <w:style w:type="table" w:styleId="MediumList1-Accent4">
    <w:name w:val="Medium List 1 Accent 4"/>
    <w:basedOn w:val="TableNormal"/>
    <w:uiPriority w:val="65"/>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8" w:space="0" w:color="692686" w:themeColor="accent4"/>
        <w:bottom w:val="single" w:sz="8" w:space="0" w:color="692686" w:themeColor="accent4"/>
      </w:tblBorders>
    </w:tblPr>
    <w:tblStylePr w:type="firstRow">
      <w:rPr>
        <w:rFonts w:asciiTheme="majorHAnsi" w:eastAsiaTheme="majorEastAsia" w:hAnsiTheme="majorHAnsi" w:cstheme="majorBidi"/>
      </w:rPr>
      <w:tblPr/>
      <w:tcPr>
        <w:tcBorders>
          <w:top w:val="nil"/>
          <w:bottom w:val="single" w:sz="8" w:space="0" w:color="692686" w:themeColor="accent4"/>
        </w:tcBorders>
      </w:tcPr>
    </w:tblStylePr>
    <w:tblStylePr w:type="lastRow">
      <w:rPr>
        <w:b/>
        <w:bCs/>
        <w:color w:val="1C2B39" w:themeColor="text2"/>
      </w:rPr>
      <w:tblPr/>
      <w:tcPr>
        <w:tcBorders>
          <w:top w:val="single" w:sz="8" w:space="0" w:color="692686" w:themeColor="accent4"/>
          <w:bottom w:val="single" w:sz="8" w:space="0" w:color="692686" w:themeColor="accent4"/>
        </w:tcBorders>
      </w:tcPr>
    </w:tblStylePr>
    <w:tblStylePr w:type="firstCol">
      <w:rPr>
        <w:b/>
        <w:bCs/>
      </w:rPr>
    </w:tblStylePr>
    <w:tblStylePr w:type="lastCol">
      <w:rPr>
        <w:b/>
        <w:bCs/>
      </w:rPr>
      <w:tblPr/>
      <w:tcPr>
        <w:tcBorders>
          <w:top w:val="single" w:sz="8" w:space="0" w:color="692686" w:themeColor="accent4"/>
          <w:bottom w:val="single" w:sz="8" w:space="0" w:color="692686" w:themeColor="accent4"/>
        </w:tcBorders>
      </w:tcPr>
    </w:tblStylePr>
    <w:tblStylePr w:type="band1Vert">
      <w:tblPr/>
      <w:tcPr>
        <w:shd w:val="clear" w:color="auto" w:fill="DEBDEC" w:themeFill="accent4" w:themeFillTint="3F"/>
      </w:tcPr>
    </w:tblStylePr>
    <w:tblStylePr w:type="band1Horz">
      <w:tblPr/>
      <w:tcPr>
        <w:shd w:val="clear" w:color="auto" w:fill="DEBDEC" w:themeFill="accent4" w:themeFillTint="3F"/>
      </w:tcPr>
    </w:tblStylePr>
  </w:style>
  <w:style w:type="table" w:styleId="MediumList1-Accent5">
    <w:name w:val="Medium List 1 Accent 5"/>
    <w:basedOn w:val="TableNormal"/>
    <w:uiPriority w:val="65"/>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8" w:space="0" w:color="20AA4D" w:themeColor="accent5"/>
        <w:bottom w:val="single" w:sz="8" w:space="0" w:color="20AA4D" w:themeColor="accent5"/>
      </w:tblBorders>
    </w:tblPr>
    <w:tblStylePr w:type="firstRow">
      <w:rPr>
        <w:rFonts w:asciiTheme="majorHAnsi" w:eastAsiaTheme="majorEastAsia" w:hAnsiTheme="majorHAnsi" w:cstheme="majorBidi"/>
      </w:rPr>
      <w:tblPr/>
      <w:tcPr>
        <w:tcBorders>
          <w:top w:val="nil"/>
          <w:bottom w:val="single" w:sz="8" w:space="0" w:color="20AA4D" w:themeColor="accent5"/>
        </w:tcBorders>
      </w:tcPr>
    </w:tblStylePr>
    <w:tblStylePr w:type="lastRow">
      <w:rPr>
        <w:b/>
        <w:bCs/>
        <w:color w:val="1C2B39" w:themeColor="text2"/>
      </w:rPr>
      <w:tblPr/>
      <w:tcPr>
        <w:tcBorders>
          <w:top w:val="single" w:sz="8" w:space="0" w:color="20AA4D" w:themeColor="accent5"/>
          <w:bottom w:val="single" w:sz="8" w:space="0" w:color="20AA4D" w:themeColor="accent5"/>
        </w:tcBorders>
      </w:tcPr>
    </w:tblStylePr>
    <w:tblStylePr w:type="firstCol">
      <w:rPr>
        <w:b/>
        <w:bCs/>
      </w:rPr>
    </w:tblStylePr>
    <w:tblStylePr w:type="lastCol">
      <w:rPr>
        <w:b/>
        <w:bCs/>
      </w:rPr>
      <w:tblPr/>
      <w:tcPr>
        <w:tcBorders>
          <w:top w:val="single" w:sz="8" w:space="0" w:color="20AA4D" w:themeColor="accent5"/>
          <w:bottom w:val="single" w:sz="8" w:space="0" w:color="20AA4D" w:themeColor="accent5"/>
        </w:tcBorders>
      </w:tcPr>
    </w:tblStylePr>
    <w:tblStylePr w:type="band1Vert">
      <w:tblPr/>
      <w:tcPr>
        <w:shd w:val="clear" w:color="auto" w:fill="BEF3CF" w:themeFill="accent5" w:themeFillTint="3F"/>
      </w:tcPr>
    </w:tblStylePr>
    <w:tblStylePr w:type="band1Horz">
      <w:tblPr/>
      <w:tcPr>
        <w:shd w:val="clear" w:color="auto" w:fill="BEF3CF" w:themeFill="accent5" w:themeFillTint="3F"/>
      </w:tcPr>
    </w:tblStylePr>
  </w:style>
  <w:style w:type="table" w:styleId="MediumList1-Accent6">
    <w:name w:val="Medium List 1 Accent 6"/>
    <w:basedOn w:val="TableNormal"/>
    <w:uiPriority w:val="65"/>
    <w:semiHidden/>
    <w:unhideWhenUsed/>
    <w:rsid w:val="006135B1"/>
    <w:pPr>
      <w:spacing w:after="0" w:line="240" w:lineRule="auto"/>
    </w:pPr>
    <w:rPr>
      <w:rFonts w:eastAsia="Times New Roman" w:cs="Times New Roman"/>
      <w:color w:val="000000" w:themeColor="text1"/>
      <w:sz w:val="20"/>
      <w:szCs w:val="20"/>
      <w:lang w:eastAsia="en-AU"/>
    </w:rPr>
    <w:tblPr>
      <w:tblStyleRowBandSize w:val="1"/>
      <w:tblStyleColBandSize w:val="1"/>
      <w:tblBorders>
        <w:top w:val="single" w:sz="8" w:space="0" w:color="007DB6" w:themeColor="accent6"/>
        <w:bottom w:val="single" w:sz="8" w:space="0" w:color="007DB6" w:themeColor="accent6"/>
      </w:tblBorders>
    </w:tblPr>
    <w:tblStylePr w:type="firstRow">
      <w:rPr>
        <w:rFonts w:asciiTheme="majorHAnsi" w:eastAsiaTheme="majorEastAsia" w:hAnsiTheme="majorHAnsi" w:cstheme="majorBidi"/>
      </w:rPr>
      <w:tblPr/>
      <w:tcPr>
        <w:tcBorders>
          <w:top w:val="nil"/>
          <w:bottom w:val="single" w:sz="8" w:space="0" w:color="007DB6" w:themeColor="accent6"/>
        </w:tcBorders>
      </w:tcPr>
    </w:tblStylePr>
    <w:tblStylePr w:type="lastRow">
      <w:rPr>
        <w:b/>
        <w:bCs/>
        <w:color w:val="1C2B39" w:themeColor="text2"/>
      </w:rPr>
      <w:tblPr/>
      <w:tcPr>
        <w:tcBorders>
          <w:top w:val="single" w:sz="8" w:space="0" w:color="007DB6" w:themeColor="accent6"/>
          <w:bottom w:val="single" w:sz="8" w:space="0" w:color="007DB6" w:themeColor="accent6"/>
        </w:tcBorders>
      </w:tcPr>
    </w:tblStylePr>
    <w:tblStylePr w:type="firstCol">
      <w:rPr>
        <w:b/>
        <w:bCs/>
      </w:rPr>
    </w:tblStylePr>
    <w:tblStylePr w:type="lastCol">
      <w:rPr>
        <w:b/>
        <w:bCs/>
      </w:rPr>
      <w:tblPr/>
      <w:tcPr>
        <w:tcBorders>
          <w:top w:val="single" w:sz="8" w:space="0" w:color="007DB6" w:themeColor="accent6"/>
          <w:bottom w:val="single" w:sz="8" w:space="0" w:color="007DB6" w:themeColor="accent6"/>
        </w:tcBorders>
      </w:tcPr>
    </w:tblStylePr>
    <w:tblStylePr w:type="band1Vert">
      <w:tblPr/>
      <w:tcPr>
        <w:shd w:val="clear" w:color="auto" w:fill="ADE5FF" w:themeFill="accent6" w:themeFillTint="3F"/>
      </w:tcPr>
    </w:tblStylePr>
    <w:tblStylePr w:type="band1Horz">
      <w:tblPr/>
      <w:tcPr>
        <w:shd w:val="clear" w:color="auto" w:fill="ADE5FF" w:themeFill="accent6" w:themeFillTint="3F"/>
      </w:tcPr>
    </w:tblStylePr>
  </w:style>
  <w:style w:type="table" w:styleId="MediumList2">
    <w:name w:val="Medium List 2"/>
    <w:basedOn w:val="TableNormal"/>
    <w:uiPriority w:val="66"/>
    <w:semiHidden/>
    <w:unhideWhenUsed/>
    <w:rsid w:val="006135B1"/>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135B1"/>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D7D8D6" w:themeColor="accent1"/>
        <w:left w:val="single" w:sz="8" w:space="0" w:color="D7D8D6" w:themeColor="accent1"/>
        <w:bottom w:val="single" w:sz="8" w:space="0" w:color="D7D8D6" w:themeColor="accent1"/>
        <w:right w:val="single" w:sz="8" w:space="0" w:color="D7D8D6" w:themeColor="accent1"/>
      </w:tblBorders>
    </w:tblPr>
    <w:tblStylePr w:type="firstRow">
      <w:rPr>
        <w:sz w:val="24"/>
        <w:szCs w:val="24"/>
      </w:rPr>
      <w:tblPr/>
      <w:tcPr>
        <w:tcBorders>
          <w:top w:val="nil"/>
          <w:left w:val="nil"/>
          <w:bottom w:val="single" w:sz="24" w:space="0" w:color="D7D8D6" w:themeColor="accent1"/>
          <w:right w:val="nil"/>
          <w:insideH w:val="nil"/>
          <w:insideV w:val="nil"/>
        </w:tcBorders>
        <w:shd w:val="clear" w:color="auto" w:fill="FFFFFF" w:themeFill="background1"/>
      </w:tcPr>
    </w:tblStylePr>
    <w:tblStylePr w:type="lastRow">
      <w:tblPr/>
      <w:tcPr>
        <w:tcBorders>
          <w:top w:val="single" w:sz="8" w:space="0" w:color="D7D8D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7D8D6" w:themeColor="accent1"/>
          <w:insideH w:val="nil"/>
          <w:insideV w:val="nil"/>
        </w:tcBorders>
        <w:shd w:val="clear" w:color="auto" w:fill="FFFFFF" w:themeFill="background1"/>
      </w:tcPr>
    </w:tblStylePr>
    <w:tblStylePr w:type="lastCol">
      <w:tblPr/>
      <w:tcPr>
        <w:tcBorders>
          <w:top w:val="nil"/>
          <w:left w:val="single" w:sz="8" w:space="0" w:color="D7D8D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5F4" w:themeFill="accent1" w:themeFillTint="3F"/>
      </w:tcPr>
    </w:tblStylePr>
    <w:tblStylePr w:type="band1Horz">
      <w:tblPr/>
      <w:tcPr>
        <w:tcBorders>
          <w:top w:val="nil"/>
          <w:bottom w:val="nil"/>
          <w:insideH w:val="nil"/>
          <w:insideV w:val="nil"/>
        </w:tcBorders>
        <w:shd w:val="clear" w:color="auto" w:fill="F4F5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135B1"/>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FFC709" w:themeColor="accent2"/>
        <w:left w:val="single" w:sz="8" w:space="0" w:color="FFC709" w:themeColor="accent2"/>
        <w:bottom w:val="single" w:sz="8" w:space="0" w:color="FFC709" w:themeColor="accent2"/>
        <w:right w:val="single" w:sz="8" w:space="0" w:color="FFC709" w:themeColor="accent2"/>
      </w:tblBorders>
    </w:tblPr>
    <w:tblStylePr w:type="firstRow">
      <w:rPr>
        <w:sz w:val="24"/>
        <w:szCs w:val="24"/>
      </w:rPr>
      <w:tblPr/>
      <w:tcPr>
        <w:tcBorders>
          <w:top w:val="nil"/>
          <w:left w:val="nil"/>
          <w:bottom w:val="single" w:sz="24" w:space="0" w:color="FFC709" w:themeColor="accent2"/>
          <w:right w:val="nil"/>
          <w:insideH w:val="nil"/>
          <w:insideV w:val="nil"/>
        </w:tcBorders>
        <w:shd w:val="clear" w:color="auto" w:fill="FFFFFF" w:themeFill="background1"/>
      </w:tcPr>
    </w:tblStylePr>
    <w:tblStylePr w:type="lastRow">
      <w:tblPr/>
      <w:tcPr>
        <w:tcBorders>
          <w:top w:val="single" w:sz="8" w:space="0" w:color="FFC70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709" w:themeColor="accent2"/>
          <w:insideH w:val="nil"/>
          <w:insideV w:val="nil"/>
        </w:tcBorders>
        <w:shd w:val="clear" w:color="auto" w:fill="FFFFFF" w:themeFill="background1"/>
      </w:tcPr>
    </w:tblStylePr>
    <w:tblStylePr w:type="lastCol">
      <w:tblPr/>
      <w:tcPr>
        <w:tcBorders>
          <w:top w:val="nil"/>
          <w:left w:val="single" w:sz="8" w:space="0" w:color="FFC70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0C2" w:themeFill="accent2" w:themeFillTint="3F"/>
      </w:tcPr>
    </w:tblStylePr>
    <w:tblStylePr w:type="band1Horz">
      <w:tblPr/>
      <w:tcPr>
        <w:tcBorders>
          <w:top w:val="nil"/>
          <w:bottom w:val="nil"/>
          <w:insideH w:val="nil"/>
          <w:insideV w:val="nil"/>
        </w:tcBorders>
        <w:shd w:val="clear" w:color="auto" w:fill="FFF0C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135B1"/>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CD163F" w:themeColor="accent3"/>
        <w:left w:val="single" w:sz="8" w:space="0" w:color="CD163F" w:themeColor="accent3"/>
        <w:bottom w:val="single" w:sz="8" w:space="0" w:color="CD163F" w:themeColor="accent3"/>
        <w:right w:val="single" w:sz="8" w:space="0" w:color="CD163F" w:themeColor="accent3"/>
      </w:tblBorders>
    </w:tblPr>
    <w:tblStylePr w:type="firstRow">
      <w:rPr>
        <w:sz w:val="24"/>
        <w:szCs w:val="24"/>
      </w:rPr>
      <w:tblPr/>
      <w:tcPr>
        <w:tcBorders>
          <w:top w:val="nil"/>
          <w:left w:val="nil"/>
          <w:bottom w:val="single" w:sz="24" w:space="0" w:color="CD163F" w:themeColor="accent3"/>
          <w:right w:val="nil"/>
          <w:insideH w:val="nil"/>
          <w:insideV w:val="nil"/>
        </w:tcBorders>
        <w:shd w:val="clear" w:color="auto" w:fill="FFFFFF" w:themeFill="background1"/>
      </w:tcPr>
    </w:tblStylePr>
    <w:tblStylePr w:type="lastRow">
      <w:tblPr/>
      <w:tcPr>
        <w:tcBorders>
          <w:top w:val="single" w:sz="8" w:space="0" w:color="CD163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163F" w:themeColor="accent3"/>
          <w:insideH w:val="nil"/>
          <w:insideV w:val="nil"/>
        </w:tcBorders>
        <w:shd w:val="clear" w:color="auto" w:fill="FFFFFF" w:themeFill="background1"/>
      </w:tcPr>
    </w:tblStylePr>
    <w:tblStylePr w:type="lastCol">
      <w:tblPr/>
      <w:tcPr>
        <w:tcBorders>
          <w:top w:val="nil"/>
          <w:left w:val="single" w:sz="8" w:space="0" w:color="CD163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BFCC" w:themeFill="accent3" w:themeFillTint="3F"/>
      </w:tcPr>
    </w:tblStylePr>
    <w:tblStylePr w:type="band1Horz">
      <w:tblPr/>
      <w:tcPr>
        <w:tcBorders>
          <w:top w:val="nil"/>
          <w:bottom w:val="nil"/>
          <w:insideH w:val="nil"/>
          <w:insideV w:val="nil"/>
        </w:tcBorders>
        <w:shd w:val="clear" w:color="auto" w:fill="F8BFC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135B1"/>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692686" w:themeColor="accent4"/>
        <w:left w:val="single" w:sz="8" w:space="0" w:color="692686" w:themeColor="accent4"/>
        <w:bottom w:val="single" w:sz="8" w:space="0" w:color="692686" w:themeColor="accent4"/>
        <w:right w:val="single" w:sz="8" w:space="0" w:color="692686" w:themeColor="accent4"/>
      </w:tblBorders>
    </w:tblPr>
    <w:tblStylePr w:type="firstRow">
      <w:rPr>
        <w:sz w:val="24"/>
        <w:szCs w:val="24"/>
      </w:rPr>
      <w:tblPr/>
      <w:tcPr>
        <w:tcBorders>
          <w:top w:val="nil"/>
          <w:left w:val="nil"/>
          <w:bottom w:val="single" w:sz="24" w:space="0" w:color="692686" w:themeColor="accent4"/>
          <w:right w:val="nil"/>
          <w:insideH w:val="nil"/>
          <w:insideV w:val="nil"/>
        </w:tcBorders>
        <w:shd w:val="clear" w:color="auto" w:fill="FFFFFF" w:themeFill="background1"/>
      </w:tcPr>
    </w:tblStylePr>
    <w:tblStylePr w:type="lastRow">
      <w:tblPr/>
      <w:tcPr>
        <w:tcBorders>
          <w:top w:val="single" w:sz="8" w:space="0" w:color="69268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2686" w:themeColor="accent4"/>
          <w:insideH w:val="nil"/>
          <w:insideV w:val="nil"/>
        </w:tcBorders>
        <w:shd w:val="clear" w:color="auto" w:fill="FFFFFF" w:themeFill="background1"/>
      </w:tcPr>
    </w:tblStylePr>
    <w:tblStylePr w:type="lastCol">
      <w:tblPr/>
      <w:tcPr>
        <w:tcBorders>
          <w:top w:val="nil"/>
          <w:left w:val="single" w:sz="8" w:space="0" w:color="69268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BDEC" w:themeFill="accent4" w:themeFillTint="3F"/>
      </w:tcPr>
    </w:tblStylePr>
    <w:tblStylePr w:type="band1Horz">
      <w:tblPr/>
      <w:tcPr>
        <w:tcBorders>
          <w:top w:val="nil"/>
          <w:bottom w:val="nil"/>
          <w:insideH w:val="nil"/>
          <w:insideV w:val="nil"/>
        </w:tcBorders>
        <w:shd w:val="clear" w:color="auto" w:fill="DEBDE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135B1"/>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20AA4D" w:themeColor="accent5"/>
        <w:left w:val="single" w:sz="8" w:space="0" w:color="20AA4D" w:themeColor="accent5"/>
        <w:bottom w:val="single" w:sz="8" w:space="0" w:color="20AA4D" w:themeColor="accent5"/>
        <w:right w:val="single" w:sz="8" w:space="0" w:color="20AA4D" w:themeColor="accent5"/>
      </w:tblBorders>
    </w:tblPr>
    <w:tblStylePr w:type="firstRow">
      <w:rPr>
        <w:sz w:val="24"/>
        <w:szCs w:val="24"/>
      </w:rPr>
      <w:tblPr/>
      <w:tcPr>
        <w:tcBorders>
          <w:top w:val="nil"/>
          <w:left w:val="nil"/>
          <w:bottom w:val="single" w:sz="24" w:space="0" w:color="20AA4D" w:themeColor="accent5"/>
          <w:right w:val="nil"/>
          <w:insideH w:val="nil"/>
          <w:insideV w:val="nil"/>
        </w:tcBorders>
        <w:shd w:val="clear" w:color="auto" w:fill="FFFFFF" w:themeFill="background1"/>
      </w:tcPr>
    </w:tblStylePr>
    <w:tblStylePr w:type="lastRow">
      <w:tblPr/>
      <w:tcPr>
        <w:tcBorders>
          <w:top w:val="single" w:sz="8" w:space="0" w:color="20AA4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AA4D" w:themeColor="accent5"/>
          <w:insideH w:val="nil"/>
          <w:insideV w:val="nil"/>
        </w:tcBorders>
        <w:shd w:val="clear" w:color="auto" w:fill="FFFFFF" w:themeFill="background1"/>
      </w:tcPr>
    </w:tblStylePr>
    <w:tblStylePr w:type="lastCol">
      <w:tblPr/>
      <w:tcPr>
        <w:tcBorders>
          <w:top w:val="nil"/>
          <w:left w:val="single" w:sz="8" w:space="0" w:color="20AA4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F3CF" w:themeFill="accent5" w:themeFillTint="3F"/>
      </w:tcPr>
    </w:tblStylePr>
    <w:tblStylePr w:type="band1Horz">
      <w:tblPr/>
      <w:tcPr>
        <w:tcBorders>
          <w:top w:val="nil"/>
          <w:bottom w:val="nil"/>
          <w:insideH w:val="nil"/>
          <w:insideV w:val="nil"/>
        </w:tcBorders>
        <w:shd w:val="clear" w:color="auto" w:fill="BEF3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135B1"/>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7DB6" w:themeColor="accent6"/>
        <w:left w:val="single" w:sz="8" w:space="0" w:color="007DB6" w:themeColor="accent6"/>
        <w:bottom w:val="single" w:sz="8" w:space="0" w:color="007DB6" w:themeColor="accent6"/>
        <w:right w:val="single" w:sz="8" w:space="0" w:color="007DB6" w:themeColor="accent6"/>
      </w:tblBorders>
    </w:tblPr>
    <w:tblStylePr w:type="firstRow">
      <w:rPr>
        <w:sz w:val="24"/>
        <w:szCs w:val="24"/>
      </w:rPr>
      <w:tblPr/>
      <w:tcPr>
        <w:tcBorders>
          <w:top w:val="nil"/>
          <w:left w:val="nil"/>
          <w:bottom w:val="single" w:sz="24" w:space="0" w:color="007DB6" w:themeColor="accent6"/>
          <w:right w:val="nil"/>
          <w:insideH w:val="nil"/>
          <w:insideV w:val="nil"/>
        </w:tcBorders>
        <w:shd w:val="clear" w:color="auto" w:fill="FFFFFF" w:themeFill="background1"/>
      </w:tcPr>
    </w:tblStylePr>
    <w:tblStylePr w:type="lastRow">
      <w:tblPr/>
      <w:tcPr>
        <w:tcBorders>
          <w:top w:val="single" w:sz="8" w:space="0" w:color="007DB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DB6" w:themeColor="accent6"/>
          <w:insideH w:val="nil"/>
          <w:insideV w:val="nil"/>
        </w:tcBorders>
        <w:shd w:val="clear" w:color="auto" w:fill="FFFFFF" w:themeFill="background1"/>
      </w:tcPr>
    </w:tblStylePr>
    <w:tblStylePr w:type="lastCol">
      <w:tblPr/>
      <w:tcPr>
        <w:tcBorders>
          <w:top w:val="nil"/>
          <w:left w:val="single" w:sz="8" w:space="0" w:color="007DB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E5FF" w:themeFill="accent6" w:themeFillTint="3F"/>
      </w:tcPr>
    </w:tblStylePr>
    <w:tblStylePr w:type="band1Horz">
      <w:tblPr/>
      <w:tcPr>
        <w:tcBorders>
          <w:top w:val="nil"/>
          <w:bottom w:val="nil"/>
          <w:insideH w:val="nil"/>
          <w:insideV w:val="nil"/>
        </w:tcBorders>
        <w:shd w:val="clear" w:color="auto" w:fill="ADE5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E0E1E0" w:themeColor="accent1" w:themeTint="BF"/>
        <w:left w:val="single" w:sz="8" w:space="0" w:color="E0E1E0" w:themeColor="accent1" w:themeTint="BF"/>
        <w:bottom w:val="single" w:sz="8" w:space="0" w:color="E0E1E0" w:themeColor="accent1" w:themeTint="BF"/>
        <w:right w:val="single" w:sz="8" w:space="0" w:color="E0E1E0" w:themeColor="accent1" w:themeTint="BF"/>
        <w:insideH w:val="single" w:sz="8" w:space="0" w:color="E0E1E0" w:themeColor="accent1" w:themeTint="BF"/>
      </w:tblBorders>
    </w:tblPr>
    <w:tblStylePr w:type="firstRow">
      <w:pPr>
        <w:spacing w:before="0" w:after="0" w:line="240" w:lineRule="auto"/>
      </w:pPr>
      <w:rPr>
        <w:b/>
        <w:bCs/>
        <w:color w:val="FFFFFF" w:themeColor="background1"/>
      </w:rPr>
      <w:tblPr/>
      <w:tcPr>
        <w:tcBorders>
          <w:top w:val="single" w:sz="8" w:space="0" w:color="E0E1E0" w:themeColor="accent1" w:themeTint="BF"/>
          <w:left w:val="single" w:sz="8" w:space="0" w:color="E0E1E0" w:themeColor="accent1" w:themeTint="BF"/>
          <w:bottom w:val="single" w:sz="8" w:space="0" w:color="E0E1E0" w:themeColor="accent1" w:themeTint="BF"/>
          <w:right w:val="single" w:sz="8" w:space="0" w:color="E0E1E0" w:themeColor="accent1" w:themeTint="BF"/>
          <w:insideH w:val="nil"/>
          <w:insideV w:val="nil"/>
        </w:tcBorders>
        <w:shd w:val="clear" w:color="auto" w:fill="D7D8D6" w:themeFill="accent1"/>
      </w:tcPr>
    </w:tblStylePr>
    <w:tblStylePr w:type="lastRow">
      <w:pPr>
        <w:spacing w:before="0" w:after="0" w:line="240" w:lineRule="auto"/>
      </w:pPr>
      <w:rPr>
        <w:b/>
        <w:bCs/>
      </w:rPr>
      <w:tblPr/>
      <w:tcPr>
        <w:tcBorders>
          <w:top w:val="double" w:sz="6" w:space="0" w:color="E0E1E0" w:themeColor="accent1" w:themeTint="BF"/>
          <w:left w:val="single" w:sz="8" w:space="0" w:color="E0E1E0" w:themeColor="accent1" w:themeTint="BF"/>
          <w:bottom w:val="single" w:sz="8" w:space="0" w:color="E0E1E0" w:themeColor="accent1" w:themeTint="BF"/>
          <w:right w:val="single" w:sz="8" w:space="0" w:color="E0E1E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4F5F4" w:themeFill="accent1" w:themeFillTint="3F"/>
      </w:tcPr>
    </w:tblStylePr>
    <w:tblStylePr w:type="band1Horz">
      <w:tblPr/>
      <w:tcPr>
        <w:tcBorders>
          <w:insideH w:val="nil"/>
          <w:insideV w:val="nil"/>
        </w:tcBorders>
        <w:shd w:val="clear" w:color="auto" w:fill="F4F5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FFD446" w:themeColor="accent2" w:themeTint="BF"/>
        <w:left w:val="single" w:sz="8" w:space="0" w:color="FFD446" w:themeColor="accent2" w:themeTint="BF"/>
        <w:bottom w:val="single" w:sz="8" w:space="0" w:color="FFD446" w:themeColor="accent2" w:themeTint="BF"/>
        <w:right w:val="single" w:sz="8" w:space="0" w:color="FFD446" w:themeColor="accent2" w:themeTint="BF"/>
        <w:insideH w:val="single" w:sz="8" w:space="0" w:color="FFD446" w:themeColor="accent2" w:themeTint="BF"/>
      </w:tblBorders>
    </w:tblPr>
    <w:tblStylePr w:type="firstRow">
      <w:pPr>
        <w:spacing w:before="0" w:after="0" w:line="240" w:lineRule="auto"/>
      </w:pPr>
      <w:rPr>
        <w:b/>
        <w:bCs/>
        <w:color w:val="FFFFFF" w:themeColor="background1"/>
      </w:rPr>
      <w:tblPr/>
      <w:tcPr>
        <w:tcBorders>
          <w:top w:val="single" w:sz="8" w:space="0" w:color="FFD446" w:themeColor="accent2" w:themeTint="BF"/>
          <w:left w:val="single" w:sz="8" w:space="0" w:color="FFD446" w:themeColor="accent2" w:themeTint="BF"/>
          <w:bottom w:val="single" w:sz="8" w:space="0" w:color="FFD446" w:themeColor="accent2" w:themeTint="BF"/>
          <w:right w:val="single" w:sz="8" w:space="0" w:color="FFD446" w:themeColor="accent2" w:themeTint="BF"/>
          <w:insideH w:val="nil"/>
          <w:insideV w:val="nil"/>
        </w:tcBorders>
        <w:shd w:val="clear" w:color="auto" w:fill="FFC709" w:themeFill="accent2"/>
      </w:tcPr>
    </w:tblStylePr>
    <w:tblStylePr w:type="lastRow">
      <w:pPr>
        <w:spacing w:before="0" w:after="0" w:line="240" w:lineRule="auto"/>
      </w:pPr>
      <w:rPr>
        <w:b/>
        <w:bCs/>
      </w:rPr>
      <w:tblPr/>
      <w:tcPr>
        <w:tcBorders>
          <w:top w:val="double" w:sz="6" w:space="0" w:color="FFD446" w:themeColor="accent2" w:themeTint="BF"/>
          <w:left w:val="single" w:sz="8" w:space="0" w:color="FFD446" w:themeColor="accent2" w:themeTint="BF"/>
          <w:bottom w:val="single" w:sz="8" w:space="0" w:color="FFD446" w:themeColor="accent2" w:themeTint="BF"/>
          <w:right w:val="single" w:sz="8" w:space="0" w:color="FFD44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F0C2" w:themeFill="accent2" w:themeFillTint="3F"/>
      </w:tcPr>
    </w:tblStylePr>
    <w:tblStylePr w:type="band1Horz">
      <w:tblPr/>
      <w:tcPr>
        <w:tcBorders>
          <w:insideH w:val="nil"/>
          <w:insideV w:val="nil"/>
        </w:tcBorders>
        <w:shd w:val="clear" w:color="auto" w:fill="FFF0C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EA3F65" w:themeColor="accent3" w:themeTint="BF"/>
        <w:left w:val="single" w:sz="8" w:space="0" w:color="EA3F65" w:themeColor="accent3" w:themeTint="BF"/>
        <w:bottom w:val="single" w:sz="8" w:space="0" w:color="EA3F65" w:themeColor="accent3" w:themeTint="BF"/>
        <w:right w:val="single" w:sz="8" w:space="0" w:color="EA3F65" w:themeColor="accent3" w:themeTint="BF"/>
        <w:insideH w:val="single" w:sz="8" w:space="0" w:color="EA3F65" w:themeColor="accent3" w:themeTint="BF"/>
      </w:tblBorders>
    </w:tblPr>
    <w:tblStylePr w:type="firstRow">
      <w:pPr>
        <w:spacing w:before="0" w:after="0" w:line="240" w:lineRule="auto"/>
      </w:pPr>
      <w:rPr>
        <w:b/>
        <w:bCs/>
        <w:color w:val="FFFFFF" w:themeColor="background1"/>
      </w:rPr>
      <w:tblPr/>
      <w:tcPr>
        <w:tcBorders>
          <w:top w:val="single" w:sz="8" w:space="0" w:color="EA3F65" w:themeColor="accent3" w:themeTint="BF"/>
          <w:left w:val="single" w:sz="8" w:space="0" w:color="EA3F65" w:themeColor="accent3" w:themeTint="BF"/>
          <w:bottom w:val="single" w:sz="8" w:space="0" w:color="EA3F65" w:themeColor="accent3" w:themeTint="BF"/>
          <w:right w:val="single" w:sz="8" w:space="0" w:color="EA3F65" w:themeColor="accent3" w:themeTint="BF"/>
          <w:insideH w:val="nil"/>
          <w:insideV w:val="nil"/>
        </w:tcBorders>
        <w:shd w:val="clear" w:color="auto" w:fill="CD163F" w:themeFill="accent3"/>
      </w:tcPr>
    </w:tblStylePr>
    <w:tblStylePr w:type="lastRow">
      <w:pPr>
        <w:spacing w:before="0" w:after="0" w:line="240" w:lineRule="auto"/>
      </w:pPr>
      <w:rPr>
        <w:b/>
        <w:bCs/>
      </w:rPr>
      <w:tblPr/>
      <w:tcPr>
        <w:tcBorders>
          <w:top w:val="double" w:sz="6" w:space="0" w:color="EA3F65" w:themeColor="accent3" w:themeTint="BF"/>
          <w:left w:val="single" w:sz="8" w:space="0" w:color="EA3F65" w:themeColor="accent3" w:themeTint="BF"/>
          <w:bottom w:val="single" w:sz="8" w:space="0" w:color="EA3F65" w:themeColor="accent3" w:themeTint="BF"/>
          <w:right w:val="single" w:sz="8" w:space="0" w:color="EA3F6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8BFCC" w:themeFill="accent3" w:themeFillTint="3F"/>
      </w:tcPr>
    </w:tblStylePr>
    <w:tblStylePr w:type="band1Horz">
      <w:tblPr/>
      <w:tcPr>
        <w:tcBorders>
          <w:insideH w:val="nil"/>
          <w:insideV w:val="nil"/>
        </w:tcBorders>
        <w:shd w:val="clear" w:color="auto" w:fill="F8BFC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9B39C7" w:themeColor="accent4" w:themeTint="BF"/>
        <w:left w:val="single" w:sz="8" w:space="0" w:color="9B39C7" w:themeColor="accent4" w:themeTint="BF"/>
        <w:bottom w:val="single" w:sz="8" w:space="0" w:color="9B39C7" w:themeColor="accent4" w:themeTint="BF"/>
        <w:right w:val="single" w:sz="8" w:space="0" w:color="9B39C7" w:themeColor="accent4" w:themeTint="BF"/>
        <w:insideH w:val="single" w:sz="8" w:space="0" w:color="9B39C7" w:themeColor="accent4" w:themeTint="BF"/>
      </w:tblBorders>
    </w:tblPr>
    <w:tblStylePr w:type="firstRow">
      <w:pPr>
        <w:spacing w:before="0" w:after="0" w:line="240" w:lineRule="auto"/>
      </w:pPr>
      <w:rPr>
        <w:b/>
        <w:bCs/>
        <w:color w:val="FFFFFF" w:themeColor="background1"/>
      </w:rPr>
      <w:tblPr/>
      <w:tcPr>
        <w:tcBorders>
          <w:top w:val="single" w:sz="8" w:space="0" w:color="9B39C7" w:themeColor="accent4" w:themeTint="BF"/>
          <w:left w:val="single" w:sz="8" w:space="0" w:color="9B39C7" w:themeColor="accent4" w:themeTint="BF"/>
          <w:bottom w:val="single" w:sz="8" w:space="0" w:color="9B39C7" w:themeColor="accent4" w:themeTint="BF"/>
          <w:right w:val="single" w:sz="8" w:space="0" w:color="9B39C7" w:themeColor="accent4" w:themeTint="BF"/>
          <w:insideH w:val="nil"/>
          <w:insideV w:val="nil"/>
        </w:tcBorders>
        <w:shd w:val="clear" w:color="auto" w:fill="692686" w:themeFill="accent4"/>
      </w:tcPr>
    </w:tblStylePr>
    <w:tblStylePr w:type="lastRow">
      <w:pPr>
        <w:spacing w:before="0" w:after="0" w:line="240" w:lineRule="auto"/>
      </w:pPr>
      <w:rPr>
        <w:b/>
        <w:bCs/>
      </w:rPr>
      <w:tblPr/>
      <w:tcPr>
        <w:tcBorders>
          <w:top w:val="double" w:sz="6" w:space="0" w:color="9B39C7" w:themeColor="accent4" w:themeTint="BF"/>
          <w:left w:val="single" w:sz="8" w:space="0" w:color="9B39C7" w:themeColor="accent4" w:themeTint="BF"/>
          <w:bottom w:val="single" w:sz="8" w:space="0" w:color="9B39C7" w:themeColor="accent4" w:themeTint="BF"/>
          <w:right w:val="single" w:sz="8" w:space="0" w:color="9B39C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BDEC" w:themeFill="accent4" w:themeFillTint="3F"/>
      </w:tcPr>
    </w:tblStylePr>
    <w:tblStylePr w:type="band1Horz">
      <w:tblPr/>
      <w:tcPr>
        <w:tcBorders>
          <w:insideH w:val="nil"/>
          <w:insideV w:val="nil"/>
        </w:tcBorders>
        <w:shd w:val="clear" w:color="auto" w:fill="DEBDE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3CDA6F" w:themeColor="accent5" w:themeTint="BF"/>
        <w:left w:val="single" w:sz="8" w:space="0" w:color="3CDA6F" w:themeColor="accent5" w:themeTint="BF"/>
        <w:bottom w:val="single" w:sz="8" w:space="0" w:color="3CDA6F" w:themeColor="accent5" w:themeTint="BF"/>
        <w:right w:val="single" w:sz="8" w:space="0" w:color="3CDA6F" w:themeColor="accent5" w:themeTint="BF"/>
        <w:insideH w:val="single" w:sz="8" w:space="0" w:color="3CDA6F" w:themeColor="accent5" w:themeTint="BF"/>
      </w:tblBorders>
    </w:tblPr>
    <w:tblStylePr w:type="firstRow">
      <w:pPr>
        <w:spacing w:before="0" w:after="0" w:line="240" w:lineRule="auto"/>
      </w:pPr>
      <w:rPr>
        <w:b/>
        <w:bCs/>
        <w:color w:val="FFFFFF" w:themeColor="background1"/>
      </w:rPr>
      <w:tblPr/>
      <w:tcPr>
        <w:tcBorders>
          <w:top w:val="single" w:sz="8" w:space="0" w:color="3CDA6F" w:themeColor="accent5" w:themeTint="BF"/>
          <w:left w:val="single" w:sz="8" w:space="0" w:color="3CDA6F" w:themeColor="accent5" w:themeTint="BF"/>
          <w:bottom w:val="single" w:sz="8" w:space="0" w:color="3CDA6F" w:themeColor="accent5" w:themeTint="BF"/>
          <w:right w:val="single" w:sz="8" w:space="0" w:color="3CDA6F" w:themeColor="accent5" w:themeTint="BF"/>
          <w:insideH w:val="nil"/>
          <w:insideV w:val="nil"/>
        </w:tcBorders>
        <w:shd w:val="clear" w:color="auto" w:fill="20AA4D" w:themeFill="accent5"/>
      </w:tcPr>
    </w:tblStylePr>
    <w:tblStylePr w:type="lastRow">
      <w:pPr>
        <w:spacing w:before="0" w:after="0" w:line="240" w:lineRule="auto"/>
      </w:pPr>
      <w:rPr>
        <w:b/>
        <w:bCs/>
      </w:rPr>
      <w:tblPr/>
      <w:tcPr>
        <w:tcBorders>
          <w:top w:val="double" w:sz="6" w:space="0" w:color="3CDA6F" w:themeColor="accent5" w:themeTint="BF"/>
          <w:left w:val="single" w:sz="8" w:space="0" w:color="3CDA6F" w:themeColor="accent5" w:themeTint="BF"/>
          <w:bottom w:val="single" w:sz="8" w:space="0" w:color="3CDA6F" w:themeColor="accent5" w:themeTint="BF"/>
          <w:right w:val="single" w:sz="8" w:space="0" w:color="3CDA6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EF3CF" w:themeFill="accent5" w:themeFillTint="3F"/>
      </w:tcPr>
    </w:tblStylePr>
    <w:tblStylePr w:type="band1Horz">
      <w:tblPr/>
      <w:tcPr>
        <w:tcBorders>
          <w:insideH w:val="nil"/>
          <w:insideV w:val="nil"/>
        </w:tcBorders>
        <w:shd w:val="clear" w:color="auto" w:fill="BEF3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8" w:space="0" w:color="09B1FF" w:themeColor="accent6" w:themeTint="BF"/>
        <w:left w:val="single" w:sz="8" w:space="0" w:color="09B1FF" w:themeColor="accent6" w:themeTint="BF"/>
        <w:bottom w:val="single" w:sz="8" w:space="0" w:color="09B1FF" w:themeColor="accent6" w:themeTint="BF"/>
        <w:right w:val="single" w:sz="8" w:space="0" w:color="09B1FF" w:themeColor="accent6" w:themeTint="BF"/>
        <w:insideH w:val="single" w:sz="8" w:space="0" w:color="09B1FF" w:themeColor="accent6" w:themeTint="BF"/>
      </w:tblBorders>
    </w:tblPr>
    <w:tblStylePr w:type="firstRow">
      <w:pPr>
        <w:spacing w:before="0" w:after="0" w:line="240" w:lineRule="auto"/>
      </w:pPr>
      <w:rPr>
        <w:b/>
        <w:bCs/>
        <w:color w:val="FFFFFF" w:themeColor="background1"/>
      </w:rPr>
      <w:tblPr/>
      <w:tcPr>
        <w:tcBorders>
          <w:top w:val="single" w:sz="8" w:space="0" w:color="09B1FF" w:themeColor="accent6" w:themeTint="BF"/>
          <w:left w:val="single" w:sz="8" w:space="0" w:color="09B1FF" w:themeColor="accent6" w:themeTint="BF"/>
          <w:bottom w:val="single" w:sz="8" w:space="0" w:color="09B1FF" w:themeColor="accent6" w:themeTint="BF"/>
          <w:right w:val="single" w:sz="8" w:space="0" w:color="09B1FF" w:themeColor="accent6" w:themeTint="BF"/>
          <w:insideH w:val="nil"/>
          <w:insideV w:val="nil"/>
        </w:tcBorders>
        <w:shd w:val="clear" w:color="auto" w:fill="007DB6" w:themeFill="accent6"/>
      </w:tcPr>
    </w:tblStylePr>
    <w:tblStylePr w:type="lastRow">
      <w:pPr>
        <w:spacing w:before="0" w:after="0" w:line="240" w:lineRule="auto"/>
      </w:pPr>
      <w:rPr>
        <w:b/>
        <w:bCs/>
      </w:rPr>
      <w:tblPr/>
      <w:tcPr>
        <w:tcBorders>
          <w:top w:val="double" w:sz="6" w:space="0" w:color="09B1FF" w:themeColor="accent6" w:themeTint="BF"/>
          <w:left w:val="single" w:sz="8" w:space="0" w:color="09B1FF" w:themeColor="accent6" w:themeTint="BF"/>
          <w:bottom w:val="single" w:sz="8" w:space="0" w:color="09B1FF" w:themeColor="accent6" w:themeTint="BF"/>
          <w:right w:val="single" w:sz="8" w:space="0" w:color="09B1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ADE5FF" w:themeFill="accent6" w:themeFillTint="3F"/>
      </w:tcPr>
    </w:tblStylePr>
    <w:tblStylePr w:type="band1Horz">
      <w:tblPr/>
      <w:tcPr>
        <w:tcBorders>
          <w:insideH w:val="nil"/>
          <w:insideV w:val="nil"/>
        </w:tcBorders>
        <w:shd w:val="clear" w:color="auto" w:fill="ADE5FF" w:themeFill="accent6"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D8D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D8D6" w:themeFill="accent1"/>
      </w:tcPr>
    </w:tblStylePr>
    <w:tblStylePr w:type="lastCol">
      <w:rPr>
        <w:b/>
        <w:bCs/>
        <w:color w:val="FFFFFF" w:themeColor="background1"/>
      </w:rPr>
      <w:tblPr/>
      <w:tcPr>
        <w:tcBorders>
          <w:left w:val="nil"/>
          <w:right w:val="nil"/>
          <w:insideH w:val="nil"/>
          <w:insideV w:val="nil"/>
        </w:tcBorders>
        <w:shd w:val="clear" w:color="auto" w:fill="D7D8D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70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709" w:themeFill="accent2"/>
      </w:tcPr>
    </w:tblStylePr>
    <w:tblStylePr w:type="lastCol">
      <w:rPr>
        <w:b/>
        <w:bCs/>
        <w:color w:val="FFFFFF" w:themeColor="background1"/>
      </w:rPr>
      <w:tblPr/>
      <w:tcPr>
        <w:tcBorders>
          <w:left w:val="nil"/>
          <w:right w:val="nil"/>
          <w:insideH w:val="nil"/>
          <w:insideV w:val="nil"/>
        </w:tcBorders>
        <w:shd w:val="clear" w:color="auto" w:fill="FFC70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163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163F" w:themeFill="accent3"/>
      </w:tcPr>
    </w:tblStylePr>
    <w:tblStylePr w:type="lastCol">
      <w:rPr>
        <w:b/>
        <w:bCs/>
        <w:color w:val="FFFFFF" w:themeColor="background1"/>
      </w:rPr>
      <w:tblPr/>
      <w:tcPr>
        <w:tcBorders>
          <w:left w:val="nil"/>
          <w:right w:val="nil"/>
          <w:insideH w:val="nil"/>
          <w:insideV w:val="nil"/>
        </w:tcBorders>
        <w:shd w:val="clear" w:color="auto" w:fill="CD163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9268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92686" w:themeFill="accent4"/>
      </w:tcPr>
    </w:tblStylePr>
    <w:tblStylePr w:type="lastCol">
      <w:rPr>
        <w:b/>
        <w:bCs/>
        <w:color w:val="FFFFFF" w:themeColor="background1"/>
      </w:rPr>
      <w:tblPr/>
      <w:tcPr>
        <w:tcBorders>
          <w:left w:val="nil"/>
          <w:right w:val="nil"/>
          <w:insideH w:val="nil"/>
          <w:insideV w:val="nil"/>
        </w:tcBorders>
        <w:shd w:val="clear" w:color="auto" w:fill="69268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AA4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AA4D" w:themeFill="accent5"/>
      </w:tcPr>
    </w:tblStylePr>
    <w:tblStylePr w:type="lastCol">
      <w:rPr>
        <w:b/>
        <w:bCs/>
        <w:color w:val="FFFFFF" w:themeColor="background1"/>
      </w:rPr>
      <w:tblPr/>
      <w:tcPr>
        <w:tcBorders>
          <w:left w:val="nil"/>
          <w:right w:val="nil"/>
          <w:insideH w:val="nil"/>
          <w:insideV w:val="nil"/>
        </w:tcBorders>
        <w:shd w:val="clear" w:color="auto" w:fill="20AA4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6135B1"/>
    <w:pPr>
      <w:spacing w:after="0" w:line="240" w:lineRule="auto"/>
    </w:pPr>
    <w:rPr>
      <w:rFonts w:eastAsia="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DB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DB6" w:themeFill="accent6"/>
      </w:tcPr>
    </w:tblStylePr>
    <w:tblStylePr w:type="lastCol">
      <w:rPr>
        <w:b/>
        <w:bCs/>
        <w:color w:val="FFFFFF" w:themeColor="background1"/>
      </w:rPr>
      <w:tblPr/>
      <w:tcPr>
        <w:tcBorders>
          <w:left w:val="nil"/>
          <w:right w:val="nil"/>
          <w:insideH w:val="nil"/>
          <w:insideV w:val="nil"/>
        </w:tcBorders>
        <w:shd w:val="clear" w:color="auto" w:fill="007DB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ageNumber">
    <w:name w:val="page number"/>
    <w:basedOn w:val="DefaultParagraphFont"/>
    <w:semiHidden/>
    <w:unhideWhenUsed/>
    <w:rsid w:val="006135B1"/>
  </w:style>
  <w:style w:type="table" w:styleId="PlainTable1">
    <w:name w:val="Plain Table 1"/>
    <w:basedOn w:val="TableNormal"/>
    <w:uiPriority w:val="41"/>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135B1"/>
    <w:pPr>
      <w:spacing w:after="0" w:line="240" w:lineRule="auto"/>
    </w:pPr>
    <w:rPr>
      <w:rFonts w:eastAsia="Times New Roman" w:cs="Times New Roman"/>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135B1"/>
    <w:pPr>
      <w:spacing w:after="0" w:line="240" w:lineRule="auto"/>
    </w:pPr>
    <w:rPr>
      <w:rFonts w:eastAsia="Times New Roman" w:cs="Times New Roman"/>
      <w:sz w:val="20"/>
      <w:szCs w:val="20"/>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135B1"/>
    <w:pPr>
      <w:spacing w:after="0" w:line="240" w:lineRule="auto"/>
    </w:pPr>
    <w:rPr>
      <w:rFonts w:eastAsia="Times New Roman"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135B1"/>
    <w:pPr>
      <w:spacing w:after="0" w:line="240" w:lineRule="auto"/>
    </w:pPr>
    <w:rPr>
      <w:rFonts w:eastAsia="Times New Roman" w:cs="Times New Roman"/>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ubtleReference">
    <w:name w:val="Subtle Reference"/>
    <w:basedOn w:val="DefaultParagraphFont"/>
    <w:uiPriority w:val="31"/>
    <w:rsid w:val="006135B1"/>
    <w:rPr>
      <w:smallCaps/>
      <w:color w:val="5A5A5A" w:themeColor="text1" w:themeTint="A5"/>
    </w:rPr>
  </w:style>
  <w:style w:type="table" w:styleId="Table3Deffects1">
    <w:name w:val="Table 3D effects 1"/>
    <w:basedOn w:val="TableNormal"/>
    <w:unhideWhenUsed/>
    <w:rsid w:val="006135B1"/>
    <w:pPr>
      <w:spacing w:after="0" w:line="288" w:lineRule="auto"/>
    </w:pPr>
    <w:rPr>
      <w:rFonts w:eastAsia="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6135B1"/>
    <w:pPr>
      <w:spacing w:after="0" w:line="288" w:lineRule="auto"/>
    </w:pPr>
    <w:rPr>
      <w:rFonts w:eastAsia="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6135B1"/>
    <w:pPr>
      <w:spacing w:after="0" w:line="288" w:lineRule="auto"/>
    </w:pPr>
    <w:rPr>
      <w:rFonts w:eastAsia="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6135B1"/>
    <w:pPr>
      <w:spacing w:after="0" w:line="288" w:lineRule="auto"/>
    </w:pPr>
    <w:rPr>
      <w:rFonts w:eastAsia="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6135B1"/>
    <w:pPr>
      <w:spacing w:after="0" w:line="288" w:lineRule="auto"/>
    </w:pPr>
    <w:rPr>
      <w:rFonts w:eastAsia="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6135B1"/>
    <w:pPr>
      <w:spacing w:after="0" w:line="288" w:lineRule="auto"/>
    </w:pPr>
    <w:rPr>
      <w:rFonts w:eastAsia="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6135B1"/>
    <w:pPr>
      <w:spacing w:after="0" w:line="288" w:lineRule="auto"/>
    </w:pPr>
    <w:rPr>
      <w:rFonts w:eastAsia="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6135B1"/>
    <w:pPr>
      <w:spacing w:after="0" w:line="288" w:lineRule="auto"/>
    </w:pPr>
    <w:rPr>
      <w:rFonts w:eastAsia="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6135B1"/>
    <w:pPr>
      <w:spacing w:after="0" w:line="288" w:lineRule="auto"/>
    </w:pPr>
    <w:rPr>
      <w:rFonts w:eastAsia="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6135B1"/>
    <w:pPr>
      <w:spacing w:after="0" w:line="288" w:lineRule="auto"/>
    </w:pPr>
    <w:rPr>
      <w:rFonts w:eastAsia="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6135B1"/>
    <w:pPr>
      <w:spacing w:after="0" w:line="288" w:lineRule="auto"/>
    </w:pPr>
    <w:rPr>
      <w:rFonts w:eastAsia="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6135B1"/>
    <w:pPr>
      <w:spacing w:after="0" w:line="288" w:lineRule="auto"/>
    </w:pPr>
    <w:rPr>
      <w:rFonts w:eastAsia="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6135B1"/>
    <w:pPr>
      <w:spacing w:after="0" w:line="288" w:lineRule="auto"/>
    </w:pPr>
    <w:rPr>
      <w:rFonts w:eastAsia="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6135B1"/>
    <w:pPr>
      <w:spacing w:after="0" w:line="288" w:lineRule="auto"/>
    </w:pPr>
    <w:rPr>
      <w:rFonts w:eastAsia="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6135B1"/>
    <w:pPr>
      <w:spacing w:after="0" w:line="288" w:lineRule="auto"/>
    </w:pPr>
    <w:rPr>
      <w:rFonts w:eastAsia="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6135B1"/>
    <w:pPr>
      <w:spacing w:after="0" w:line="288" w:lineRule="auto"/>
    </w:pPr>
    <w:rPr>
      <w:rFonts w:eastAsia="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6135B1"/>
    <w:pPr>
      <w:spacing w:after="0" w:line="288" w:lineRule="auto"/>
    </w:pPr>
    <w:rPr>
      <w:rFonts w:eastAsia="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6135B1"/>
    <w:pPr>
      <w:spacing w:after="0" w:line="288" w:lineRule="auto"/>
    </w:pPr>
    <w:rPr>
      <w:rFonts w:eastAsia="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6135B1"/>
    <w:pPr>
      <w:spacing w:after="0" w:line="288" w:lineRule="auto"/>
    </w:pPr>
    <w:rPr>
      <w:rFonts w:eastAsia="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6135B1"/>
    <w:pPr>
      <w:spacing w:after="0" w:line="288" w:lineRule="auto"/>
    </w:pPr>
    <w:rPr>
      <w:rFonts w:eastAsia="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6135B1"/>
    <w:pPr>
      <w:spacing w:after="0" w:line="288" w:lineRule="auto"/>
    </w:pPr>
    <w:rPr>
      <w:rFonts w:eastAsia="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6135B1"/>
    <w:pPr>
      <w:spacing w:after="0" w:line="288" w:lineRule="auto"/>
    </w:pPr>
    <w:rPr>
      <w:rFonts w:eastAsia="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6135B1"/>
    <w:pPr>
      <w:spacing w:after="0" w:line="288" w:lineRule="auto"/>
    </w:pPr>
    <w:rPr>
      <w:rFonts w:eastAsia="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6135B1"/>
    <w:pPr>
      <w:spacing w:after="0" w:line="288" w:lineRule="auto"/>
    </w:pPr>
    <w:rPr>
      <w:rFonts w:eastAsia="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6135B1"/>
    <w:pPr>
      <w:spacing w:after="0" w:line="288" w:lineRule="auto"/>
    </w:pPr>
    <w:rPr>
      <w:rFonts w:eastAsia="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135B1"/>
    <w:pPr>
      <w:spacing w:after="0" w:line="240" w:lineRule="auto"/>
    </w:pPr>
    <w:rPr>
      <w:rFonts w:eastAsia="Times New Roman"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4">
    <w:name w:val="Table List 4"/>
    <w:basedOn w:val="TableNormal"/>
    <w:semiHidden/>
    <w:unhideWhenUsed/>
    <w:rsid w:val="006135B1"/>
    <w:pPr>
      <w:spacing w:after="0" w:line="288" w:lineRule="auto"/>
    </w:pPr>
    <w:rPr>
      <w:rFonts w:eastAsia="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6135B1"/>
    <w:pPr>
      <w:spacing w:after="0" w:line="288" w:lineRule="auto"/>
    </w:pPr>
    <w:rPr>
      <w:rFonts w:eastAsia="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6135B1"/>
    <w:pPr>
      <w:spacing w:after="0" w:line="288" w:lineRule="auto"/>
    </w:pPr>
    <w:rPr>
      <w:rFonts w:eastAsia="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6135B1"/>
    <w:pPr>
      <w:spacing w:after="0" w:line="288" w:lineRule="auto"/>
    </w:pPr>
    <w:rPr>
      <w:rFonts w:eastAsia="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6135B1"/>
    <w:pPr>
      <w:spacing w:after="0" w:line="288" w:lineRule="auto"/>
    </w:pPr>
    <w:rPr>
      <w:rFonts w:eastAsia="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unhideWhenUsed/>
    <w:rsid w:val="006135B1"/>
    <w:pPr>
      <w:spacing w:after="0" w:line="288" w:lineRule="auto"/>
    </w:pPr>
    <w:rPr>
      <w:rFonts w:eastAsia="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6135B1"/>
    <w:pPr>
      <w:spacing w:after="0" w:line="288" w:lineRule="auto"/>
    </w:pPr>
    <w:rPr>
      <w:rFonts w:eastAsia="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6135B1"/>
    <w:pPr>
      <w:spacing w:after="0" w:line="288" w:lineRule="auto"/>
    </w:pPr>
    <w:rPr>
      <w:rFonts w:eastAsia="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6135B1"/>
    <w:pPr>
      <w:spacing w:after="0" w:line="288" w:lineRule="auto"/>
    </w:pPr>
    <w:rPr>
      <w:rFonts w:eastAsia="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6135B1"/>
    <w:pPr>
      <w:spacing w:after="0" w:line="288" w:lineRule="auto"/>
    </w:pPr>
    <w:rPr>
      <w:rFonts w:eastAsia="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6135B1"/>
    <w:pPr>
      <w:spacing w:after="0" w:line="288" w:lineRule="auto"/>
    </w:pPr>
    <w:rPr>
      <w:rFonts w:eastAsia="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6135B1"/>
    <w:pPr>
      <w:spacing w:after="0" w:line="288" w:lineRule="auto"/>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6135B1"/>
    <w:pPr>
      <w:spacing w:after="0" w:line="288" w:lineRule="auto"/>
    </w:pPr>
    <w:rPr>
      <w:rFonts w:eastAsia="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6135B1"/>
    <w:pPr>
      <w:spacing w:after="0" w:line="288" w:lineRule="auto"/>
    </w:pPr>
    <w:rPr>
      <w:rFonts w:eastAsia="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6135B1"/>
    <w:pPr>
      <w:spacing w:after="0" w:line="288" w:lineRule="auto"/>
    </w:pPr>
    <w:rPr>
      <w:rFonts w:eastAsia="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6135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2670">
      <w:bodyDiv w:val="1"/>
      <w:marLeft w:val="0"/>
      <w:marRight w:val="0"/>
      <w:marTop w:val="0"/>
      <w:marBottom w:val="0"/>
      <w:divBdr>
        <w:top w:val="none" w:sz="0" w:space="0" w:color="auto"/>
        <w:left w:val="none" w:sz="0" w:space="0" w:color="auto"/>
        <w:bottom w:val="none" w:sz="0" w:space="0" w:color="auto"/>
        <w:right w:val="none" w:sz="0" w:space="0" w:color="auto"/>
      </w:divBdr>
    </w:div>
    <w:div w:id="348917670">
      <w:bodyDiv w:val="1"/>
      <w:marLeft w:val="0"/>
      <w:marRight w:val="0"/>
      <w:marTop w:val="0"/>
      <w:marBottom w:val="0"/>
      <w:divBdr>
        <w:top w:val="none" w:sz="0" w:space="0" w:color="auto"/>
        <w:left w:val="none" w:sz="0" w:space="0" w:color="auto"/>
        <w:bottom w:val="none" w:sz="0" w:space="0" w:color="auto"/>
        <w:right w:val="none" w:sz="0" w:space="0" w:color="auto"/>
      </w:divBdr>
    </w:div>
    <w:div w:id="623393728">
      <w:bodyDiv w:val="1"/>
      <w:marLeft w:val="0"/>
      <w:marRight w:val="0"/>
      <w:marTop w:val="0"/>
      <w:marBottom w:val="0"/>
      <w:divBdr>
        <w:top w:val="none" w:sz="0" w:space="0" w:color="auto"/>
        <w:left w:val="none" w:sz="0" w:space="0" w:color="auto"/>
        <w:bottom w:val="none" w:sz="0" w:space="0" w:color="auto"/>
        <w:right w:val="none" w:sz="0" w:space="0" w:color="auto"/>
      </w:divBdr>
    </w:div>
    <w:div w:id="928737049">
      <w:bodyDiv w:val="1"/>
      <w:marLeft w:val="0"/>
      <w:marRight w:val="0"/>
      <w:marTop w:val="0"/>
      <w:marBottom w:val="0"/>
      <w:divBdr>
        <w:top w:val="none" w:sz="0" w:space="0" w:color="auto"/>
        <w:left w:val="none" w:sz="0" w:space="0" w:color="auto"/>
        <w:bottom w:val="none" w:sz="0" w:space="0" w:color="auto"/>
        <w:right w:val="none" w:sz="0" w:space="0" w:color="auto"/>
      </w:divBdr>
    </w:div>
    <w:div w:id="1569925688">
      <w:bodyDiv w:val="1"/>
      <w:marLeft w:val="0"/>
      <w:marRight w:val="0"/>
      <w:marTop w:val="0"/>
      <w:marBottom w:val="0"/>
      <w:divBdr>
        <w:top w:val="none" w:sz="0" w:space="0" w:color="auto"/>
        <w:left w:val="none" w:sz="0" w:space="0" w:color="auto"/>
        <w:bottom w:val="none" w:sz="0" w:space="0" w:color="auto"/>
        <w:right w:val="none" w:sz="0" w:space="0" w:color="auto"/>
      </w:divBdr>
    </w:div>
    <w:div w:id="1587108613">
      <w:bodyDiv w:val="1"/>
      <w:marLeft w:val="0"/>
      <w:marRight w:val="0"/>
      <w:marTop w:val="0"/>
      <w:marBottom w:val="0"/>
      <w:divBdr>
        <w:top w:val="none" w:sz="0" w:space="0" w:color="auto"/>
        <w:left w:val="none" w:sz="0" w:space="0" w:color="auto"/>
        <w:bottom w:val="none" w:sz="0" w:space="0" w:color="auto"/>
        <w:right w:val="none" w:sz="0" w:space="0" w:color="auto"/>
      </w:divBdr>
    </w:div>
    <w:div w:id="1863322092">
      <w:bodyDiv w:val="1"/>
      <w:marLeft w:val="0"/>
      <w:marRight w:val="0"/>
      <w:marTop w:val="0"/>
      <w:marBottom w:val="0"/>
      <w:divBdr>
        <w:top w:val="none" w:sz="0" w:space="0" w:color="auto"/>
        <w:left w:val="none" w:sz="0" w:space="0" w:color="auto"/>
        <w:bottom w:val="none" w:sz="0" w:space="0" w:color="auto"/>
        <w:right w:val="none" w:sz="0" w:space="0" w:color="auto"/>
      </w:divBdr>
    </w:div>
    <w:div w:id="1932153017">
      <w:bodyDiv w:val="1"/>
      <w:marLeft w:val="0"/>
      <w:marRight w:val="0"/>
      <w:marTop w:val="0"/>
      <w:marBottom w:val="0"/>
      <w:divBdr>
        <w:top w:val="none" w:sz="0" w:space="0" w:color="auto"/>
        <w:left w:val="none" w:sz="0" w:space="0" w:color="auto"/>
        <w:bottom w:val="none" w:sz="0" w:space="0" w:color="auto"/>
        <w:right w:val="none" w:sz="0" w:space="0" w:color="auto"/>
      </w:divBdr>
    </w:div>
    <w:div w:id="207023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MRPA Colours">
      <a:dk1>
        <a:sysClr val="windowText" lastClr="000000"/>
      </a:dk1>
      <a:lt1>
        <a:sysClr val="window" lastClr="FFFFFF"/>
      </a:lt1>
      <a:dk2>
        <a:srgbClr val="1C2B39"/>
      </a:dk2>
      <a:lt2>
        <a:srgbClr val="F99D1C"/>
      </a:lt2>
      <a:accent1>
        <a:srgbClr val="D7D8D6"/>
      </a:accent1>
      <a:accent2>
        <a:srgbClr val="FFC709"/>
      </a:accent2>
      <a:accent3>
        <a:srgbClr val="CD163F"/>
      </a:accent3>
      <a:accent4>
        <a:srgbClr val="692686"/>
      </a:accent4>
      <a:accent5>
        <a:srgbClr val="20AA4D"/>
      </a:accent5>
      <a:accent6>
        <a:srgbClr val="007DB6"/>
      </a:accent6>
      <a:hlink>
        <a:srgbClr val="005C97"/>
      </a:hlink>
      <a:folHlink>
        <a:srgbClr val="595959"/>
      </a:folHlink>
    </a:clrScheme>
    <a:fontScheme name="JASANZ">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D9E7D1"/>
        </a:solidFill>
        <a:ln w="9525">
          <a:solidFill>
            <a:srgbClr val="A7CC96"/>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fc483388-c719-4eff-8694-752d3a0d233e" xsi:nil="true"/>
    <lcf76f155ced4ddcb4097134ff3c332f xmlns="360f8a96-9000-4ccb-a847-6089494e693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26BE69E2769843AA9BA05A8F8FC7A3" ma:contentTypeVersion="16" ma:contentTypeDescription="Create a new document." ma:contentTypeScope="" ma:versionID="ac5cb4f5dcd35dd85952c3558a9f7110">
  <xsd:schema xmlns:xsd="http://www.w3.org/2001/XMLSchema" xmlns:xs="http://www.w3.org/2001/XMLSchema" xmlns:p="http://schemas.microsoft.com/office/2006/metadata/properties" xmlns:ns2="360f8a96-9000-4ccb-a847-6089494e6936" xmlns:ns3="fc483388-c719-4eff-8694-752d3a0d233e" targetNamespace="http://schemas.microsoft.com/office/2006/metadata/properties" ma:root="true" ma:fieldsID="07d1761228dd44b0f473a74dfb77ccb9" ns2:_="" ns3:_="">
    <xsd:import namespace="360f8a96-9000-4ccb-a847-6089494e6936"/>
    <xsd:import namespace="fc483388-c719-4eff-8694-752d3a0d23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f8a96-9000-4ccb-a847-6089494e69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b97fea4-d4d7-456e-87c5-5983e4a7035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c483388-c719-4eff-8694-752d3a0d233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e6e6075-c28e-44f6-b135-161ff4e0c180}" ma:internalName="TaxCatchAll" ma:showField="CatchAllData" ma:web="fc483388-c719-4eff-8694-752d3a0d23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388F9B-565C-4D7F-B58D-23219270E8D6}">
  <ds:schemaRefs>
    <ds:schemaRef ds:uri="http://schemas.openxmlformats.org/officeDocument/2006/bibliography"/>
  </ds:schemaRefs>
</ds:datastoreItem>
</file>

<file path=customXml/itemProps2.xml><?xml version="1.0" encoding="utf-8"?>
<ds:datastoreItem xmlns:ds="http://schemas.openxmlformats.org/officeDocument/2006/customXml" ds:itemID="{9AB1D43F-75DA-4AAB-877A-FE9C9E6B9910}">
  <ds:schemaRef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2006/metadata/properties"/>
    <ds:schemaRef ds:uri="http://schemas.microsoft.com/office/infopath/2007/PartnerControls"/>
    <ds:schemaRef ds:uri="5bb23b05-46fc-419b-820b-0fe42645b320"/>
    <ds:schemaRef ds:uri="http://www.w3.org/XML/1998/namespace"/>
    <ds:schemaRef ds:uri="http://purl.org/dc/terms/"/>
  </ds:schemaRefs>
</ds:datastoreItem>
</file>

<file path=customXml/itemProps3.xml><?xml version="1.0" encoding="utf-8"?>
<ds:datastoreItem xmlns:ds="http://schemas.openxmlformats.org/officeDocument/2006/customXml" ds:itemID="{AA3FA317-F44A-4F07-82CB-C059A329583D}">
  <ds:schemaRefs>
    <ds:schemaRef ds:uri="http://schemas.microsoft.com/sharepoint/v3/contenttype/forms"/>
  </ds:schemaRefs>
</ds:datastoreItem>
</file>

<file path=customXml/itemProps4.xml><?xml version="1.0" encoding="utf-8"?>
<ds:datastoreItem xmlns:ds="http://schemas.openxmlformats.org/officeDocument/2006/customXml" ds:itemID="{6E571398-72A6-419F-93E1-029620AE929B}"/>
</file>

<file path=docProps/app.xml><?xml version="1.0" encoding="utf-8"?>
<Properties xmlns="http://schemas.openxmlformats.org/officeDocument/2006/extended-properties" xmlns:vt="http://schemas.openxmlformats.org/officeDocument/2006/docPropsVTypes">
  <Template>Normal.dotm</Template>
  <TotalTime>14</TotalTime>
  <Pages>13</Pages>
  <Words>6317</Words>
  <Characters>35633</Characters>
  <Application>Microsoft Office Word</Application>
  <DocSecurity>0</DocSecurity>
  <Lines>774</Lines>
  <Paragraphs>352</Paragraphs>
  <ScaleCrop>false</ScaleCrop>
  <HeadingPairs>
    <vt:vector size="2" baseType="variant">
      <vt:variant>
        <vt:lpstr>Title</vt:lpstr>
      </vt:variant>
      <vt:variant>
        <vt:i4>1</vt:i4>
      </vt:variant>
    </vt:vector>
  </HeadingPairs>
  <TitlesOfParts>
    <vt:vector size="1" baseType="lpstr">
      <vt:lpstr>Willatook Wind Farm | Environment Effects Statement</vt:lpstr>
    </vt:vector>
  </TitlesOfParts>
  <Company>Wind Prospect</Company>
  <LinksUpToDate>false</LinksUpToDate>
  <CharactersWithSpaces>41598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Willatook Wind Farm | Environment Effects Statement</dc:title>
  <dc:subject/>
  <dc:creator>Gassner Kerry</dc:creator>
  <cp:keywords/>
  <cp:lastModifiedBy>Michael Sale</cp:lastModifiedBy>
  <cp:revision>5</cp:revision>
  <cp:lastPrinted>2022-04-06T04:26:00Z</cp:lastPrinted>
  <dcterms:created xsi:type="dcterms:W3CDTF">2022-05-30T02:47:00Z</dcterms:created>
  <dcterms:modified xsi:type="dcterms:W3CDTF">2022-06-06T05:09:00Z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0x010100869B548BC37728498E23A9A9B80FFE3B</vt:lpwstr>
  </property>
</Properties>
</file>