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9FCE" w14:textId="77777777" w:rsidR="00A775DA" w:rsidRPr="00D204B9" w:rsidRDefault="00A775DA" w:rsidP="00A775DA">
      <w:pPr>
        <w:pStyle w:val="Heading1"/>
        <w:spacing w:after="720"/>
      </w:pPr>
      <w:bookmarkStart w:id="0" w:name="_Toc523131536"/>
      <w:bookmarkStart w:id="1" w:name="_Toc515959622"/>
      <w:r>
        <w:br/>
      </w:r>
      <w:bookmarkStart w:id="2" w:name="_Ref103332006"/>
      <w:bookmarkStart w:id="3" w:name="_Toc105159957"/>
      <w:r>
        <w:t>Environmental management framework</w:t>
      </w:r>
      <w:bookmarkEnd w:id="2"/>
      <w:bookmarkEnd w:id="3"/>
    </w:p>
    <w:p w14:paraId="12AB6644" w14:textId="421B2597" w:rsidR="00156875" w:rsidRPr="00FC7FE4" w:rsidRDefault="00397857" w:rsidP="00FC7FE4">
      <w:pPr>
        <w:pStyle w:val="Heading2"/>
      </w:pPr>
      <w:bookmarkStart w:id="4" w:name="_Toc105159958"/>
      <w:r w:rsidRPr="00FC7FE4">
        <w:t>Overview</w:t>
      </w:r>
      <w:bookmarkEnd w:id="0"/>
      <w:bookmarkEnd w:id="4"/>
      <w:r w:rsidR="00156875" w:rsidRPr="00FC7FE4">
        <w:t xml:space="preserve"> </w:t>
      </w:r>
    </w:p>
    <w:p w14:paraId="165656D6" w14:textId="44F3F410" w:rsidR="00397857" w:rsidRPr="00D7107A" w:rsidRDefault="00397857" w:rsidP="00397857">
      <w:pPr>
        <w:pStyle w:val="BodyText"/>
      </w:pPr>
      <w:r w:rsidRPr="00D7107A">
        <w:t xml:space="preserve">This Environmental Management Framework (EMF) has been developed to provide the project with a transparent and integrated framework for managing environmental risk and mitigating adverse effects. It contains the environmental management measures </w:t>
      </w:r>
      <w:r w:rsidR="00153D46">
        <w:t xml:space="preserve">(EMMs) </w:t>
      </w:r>
      <w:r w:rsidRPr="00D7107A">
        <w:t xml:space="preserve">developed with </w:t>
      </w:r>
      <w:r w:rsidR="002B4803">
        <w:t>subject matter experts</w:t>
      </w:r>
      <w:r w:rsidRPr="00D7107A">
        <w:t xml:space="preserve"> during the preparation of this EES. </w:t>
      </w:r>
    </w:p>
    <w:p w14:paraId="094DFC54" w14:textId="3ECF46BC" w:rsidR="00397857" w:rsidRPr="00D7107A" w:rsidRDefault="00397857" w:rsidP="00397857">
      <w:pPr>
        <w:pStyle w:val="BodyText"/>
      </w:pPr>
      <w:r w:rsidRPr="00D7107A">
        <w:t xml:space="preserve">The EMF outlines clear accountabilities for the delivery of the project in accordance with the </w:t>
      </w:r>
      <w:r w:rsidR="00E07D40">
        <w:t>EMMs</w:t>
      </w:r>
      <w:r w:rsidRPr="00D7107A">
        <w:t xml:space="preserve"> and compliance with all relevant environmental laws, approvals, approval conditions</w:t>
      </w:r>
      <w:r w:rsidR="00E07D40">
        <w:t>,</w:t>
      </w:r>
      <w:r w:rsidRPr="00D7107A">
        <w:t xml:space="preserve"> and environmental management plans and procedures to ensure that the environmental risks and potential impacts of the project are effectively managed.</w:t>
      </w:r>
    </w:p>
    <w:p w14:paraId="0FD5D8EB" w14:textId="30056FC1" w:rsidR="00397857" w:rsidRPr="00D7107A" w:rsidRDefault="00397857" w:rsidP="00397857">
      <w:pPr>
        <w:pStyle w:val="BodyText"/>
      </w:pPr>
      <w:r w:rsidRPr="00D7107A">
        <w:t>The EMF also outlines the processes to be followed in the preparation, review, approval and implementation of environmental management plans and procedures. It provides for the regular review and updating of these plans and procedures</w:t>
      </w:r>
      <w:r w:rsidR="00D8220D">
        <w:t>,</w:t>
      </w:r>
      <w:r w:rsidRPr="00D7107A">
        <w:t xml:space="preserve"> as well as independent monitoring, auditing and reporting of compliance.</w:t>
      </w:r>
    </w:p>
    <w:p w14:paraId="19EF5DE7" w14:textId="77777777" w:rsidR="00397857" w:rsidRPr="00D7107A" w:rsidRDefault="00397857" w:rsidP="00397857">
      <w:pPr>
        <w:pStyle w:val="BodyText"/>
      </w:pPr>
      <w:r w:rsidRPr="00D7107A">
        <w:t xml:space="preserve">The EMF applies to the whole of the project, as described in Chapter 5 – </w:t>
      </w:r>
      <w:r w:rsidRPr="00D7107A">
        <w:rPr>
          <w:i/>
        </w:rPr>
        <w:t>Project description</w:t>
      </w:r>
      <w:r w:rsidRPr="00D7107A">
        <w:t>.</w:t>
      </w:r>
    </w:p>
    <w:p w14:paraId="0EF2390B" w14:textId="77777777" w:rsidR="00397857" w:rsidRPr="00FC7FE4" w:rsidRDefault="00397857" w:rsidP="00FC7FE4">
      <w:pPr>
        <w:pStyle w:val="Heading2"/>
      </w:pPr>
      <w:bookmarkStart w:id="5" w:name="_Toc87023752"/>
      <w:bookmarkStart w:id="6" w:name="_Toc105159959"/>
      <w:r w:rsidRPr="00FC7FE4">
        <w:t>Scoping requirements</w:t>
      </w:r>
      <w:bookmarkEnd w:id="5"/>
      <w:bookmarkEnd w:id="6"/>
    </w:p>
    <w:p w14:paraId="7D831177" w14:textId="112DE95E" w:rsidR="00397857" w:rsidRDefault="00397857" w:rsidP="00397857">
      <w:pPr>
        <w:pStyle w:val="BodyText"/>
      </w:pPr>
      <w:r w:rsidRPr="00D7107A">
        <w:t xml:space="preserve">The EES scoping requirements, including draft evaluation objectives, were set out by the Minister for Planning in August 2019. This chapter responds to Section 3.7 of the EES </w:t>
      </w:r>
      <w:r w:rsidR="00D8220D">
        <w:t>s</w:t>
      </w:r>
      <w:r w:rsidRPr="00D7107A">
        <w:t xml:space="preserve">coping </w:t>
      </w:r>
      <w:r w:rsidR="00D8220D">
        <w:t>r</w:t>
      </w:r>
      <w:r w:rsidRPr="00D7107A">
        <w:t>equirements (refer to extract below), which requires an EMF to be prepared for the project.</w:t>
      </w:r>
    </w:p>
    <w:p w14:paraId="768E8893" w14:textId="1DCE2B3B" w:rsidR="00397857" w:rsidRPr="00397857" w:rsidRDefault="00397857" w:rsidP="00397857">
      <w:r>
        <w:rPr>
          <w:noProof/>
          <w:lang w:eastAsia="fr-CA"/>
        </w:rPr>
        <w:lastRenderedPageBreak/>
        <mc:AlternateContent>
          <mc:Choice Requires="wps">
            <w:drawing>
              <wp:inline distT="0" distB="0" distL="0" distR="0" wp14:anchorId="095D3A06" wp14:editId="3856DCF0">
                <wp:extent cx="5760000" cy="6981825"/>
                <wp:effectExtent l="0" t="0" r="12700" b="28575"/>
                <wp:docPr id="217" name="Text Box 2" descr="Environmental Management Framework (from Section 3.7 of the EES scoping requirements)&#10;The EMF should describe the baseline environmental conditions to allow evaluation of the residual environmental effects of the project, as well as the efficacy of applied environmental management and contingency measures. The framework should include:&#10;• the context of required approvals and consents&#10;• the proposed environmental management system to be adopted&#10;• organisational responsibilities and accountabilities for environmental management&#10;• an environmental risk register that is maintained during project implementation&#10;• the environmental management measures proposed in the EES to address specific issues, including commitments to mitigate adverse effects and enhance environmental outcomes.&#10;An important aspect of the EMF is community consultation, stakeholder engagement and communications during the construction and operation of the project. As the project proceeds it will largely be the EMF that outlines opportunities for local stakeholders to engage with the proponent to seek responses to issues that might arise during construction or operation. To this end the EMF will set out procedures for:&#10;• complaints recording and resolution&#10;• auditing and reporting of performance including compliance with relevant statutory conditions and standards, and&#10;• review of the effectiveness of the EMF for continuous improvement.&#10;Management measures proposed in the EES to address specific issues, including commitments to mitigate adverse effects and enhance environmental outcomes should be clearly described in the EMF. The EMF should describe proposed objectives, indicators and monitoring requirements, including for (but not limited to) managing or addressing:&#10;• biodiversity values (including MNES)&#10;• surface water and groundwater values&#10;• landscape and visual values, including blade glint and shadow flicker&#10;• noise and vibration, including during construction, decommissioning, and from operational turbines&#10;• air quality during construction&#10;• cultural heritage values&#10;• aviation (including with respect to aerial firefighting) and electromagnetic interference&#10;• land use and socioeconomic values, and&#10;• traffic, particularly during construction, including managing temporary disruption and changed accessi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6981825"/>
                        </a:xfrm>
                        <a:prstGeom prst="roundRect">
                          <a:avLst/>
                        </a:prstGeom>
                        <a:solidFill>
                          <a:schemeClr val="tx2">
                            <a:lumMod val="10000"/>
                            <a:lumOff val="90000"/>
                          </a:schemeClr>
                        </a:solidFill>
                        <a:ln w="9525">
                          <a:solidFill>
                            <a:srgbClr val="9E9E9D"/>
                          </a:solidFill>
                          <a:miter lim="800000"/>
                          <a:headEnd/>
                          <a:tailEnd/>
                        </a:ln>
                      </wps:spPr>
                      <wps:txbx>
                        <w:txbxContent>
                          <w:p w14:paraId="6B8B350F" w14:textId="1B0EF378" w:rsidR="00071A1A" w:rsidRPr="00961F28" w:rsidRDefault="00071A1A" w:rsidP="00397857">
                            <w:pPr>
                              <w:pStyle w:val="PullOutBoxHeading"/>
                            </w:pPr>
                            <w:r w:rsidRPr="00961F28">
                              <w:t>Environmental Management Framework</w:t>
                            </w:r>
                            <w:r>
                              <w:t xml:space="preserve"> (from </w:t>
                            </w:r>
                            <w:r w:rsidR="00D8220D">
                              <w:t xml:space="preserve">Section 3.7 of </w:t>
                            </w:r>
                            <w:r>
                              <w:t>the EES scoping requirements)</w:t>
                            </w:r>
                          </w:p>
                          <w:p w14:paraId="567F68AC" w14:textId="77777777" w:rsidR="00071A1A" w:rsidRDefault="00071A1A" w:rsidP="00397857">
                            <w:pPr>
                              <w:pStyle w:val="PullOutBoxText"/>
                            </w:pPr>
                            <w:r>
                              <w:t>The EMF should describe the baseline environmental conditions to allow evaluation of the residual environmental effects of the project, as well as the efficacy of applied environmental management and contingency measures. The framework should include:</w:t>
                            </w:r>
                          </w:p>
                          <w:p w14:paraId="70DF81CC" w14:textId="77777777" w:rsidR="00071A1A" w:rsidRPr="00397857" w:rsidRDefault="00071A1A" w:rsidP="00397857">
                            <w:pPr>
                              <w:pStyle w:val="ListBullet"/>
                              <w:contextualSpacing/>
                              <w:rPr>
                                <w:color w:val="004F9E"/>
                              </w:rPr>
                            </w:pPr>
                            <w:r w:rsidRPr="00397857">
                              <w:rPr>
                                <w:color w:val="004F9E"/>
                              </w:rPr>
                              <w:t>the context of required approvals and consents</w:t>
                            </w:r>
                          </w:p>
                          <w:p w14:paraId="49835DDA" w14:textId="77777777" w:rsidR="00071A1A" w:rsidRPr="00397857" w:rsidRDefault="00071A1A" w:rsidP="00397857">
                            <w:pPr>
                              <w:pStyle w:val="ListBullet"/>
                              <w:contextualSpacing/>
                              <w:rPr>
                                <w:color w:val="004F9E"/>
                              </w:rPr>
                            </w:pPr>
                            <w:r w:rsidRPr="00397857">
                              <w:rPr>
                                <w:color w:val="004F9E"/>
                              </w:rPr>
                              <w:t>the proposed environmental management system to be adopted</w:t>
                            </w:r>
                          </w:p>
                          <w:p w14:paraId="4FB46004" w14:textId="77777777" w:rsidR="00071A1A" w:rsidRPr="00397857" w:rsidRDefault="00071A1A" w:rsidP="00397857">
                            <w:pPr>
                              <w:pStyle w:val="ListBullet"/>
                              <w:contextualSpacing/>
                              <w:rPr>
                                <w:color w:val="004F9E"/>
                              </w:rPr>
                            </w:pPr>
                            <w:r w:rsidRPr="00397857">
                              <w:rPr>
                                <w:color w:val="004F9E"/>
                              </w:rPr>
                              <w:t>organisational responsibilities and accountabilities for environmental management</w:t>
                            </w:r>
                          </w:p>
                          <w:p w14:paraId="55D461E7" w14:textId="77777777" w:rsidR="00071A1A" w:rsidRPr="00397857" w:rsidRDefault="00071A1A" w:rsidP="00397857">
                            <w:pPr>
                              <w:pStyle w:val="ListBullet"/>
                              <w:contextualSpacing/>
                              <w:rPr>
                                <w:color w:val="004F9E"/>
                              </w:rPr>
                            </w:pPr>
                            <w:r w:rsidRPr="00397857">
                              <w:rPr>
                                <w:color w:val="004F9E"/>
                              </w:rPr>
                              <w:t>an environmental risk register that is maintained during project implementation</w:t>
                            </w:r>
                          </w:p>
                          <w:p w14:paraId="4FBCBCB3" w14:textId="09BB1B24" w:rsidR="00071A1A" w:rsidRPr="00397857" w:rsidRDefault="00071A1A" w:rsidP="00397857">
                            <w:pPr>
                              <w:pStyle w:val="ListBullet"/>
                              <w:contextualSpacing/>
                              <w:rPr>
                                <w:color w:val="004F9E"/>
                              </w:rPr>
                            </w:pPr>
                            <w:r w:rsidRPr="00397857">
                              <w:rPr>
                                <w:color w:val="004F9E"/>
                              </w:rPr>
                              <w:t>the environmental management measures proposed in the EES to address specific issues, including commitments to mitigate adverse effects and enhance environmental outcomes</w:t>
                            </w:r>
                            <w:r>
                              <w:rPr>
                                <w:color w:val="004F9E"/>
                              </w:rPr>
                              <w:t>.</w:t>
                            </w:r>
                          </w:p>
                          <w:p w14:paraId="169FFA71" w14:textId="77777777" w:rsidR="00071A1A" w:rsidRDefault="00071A1A" w:rsidP="00397857">
                            <w:pPr>
                              <w:pStyle w:val="PullOutBoxText"/>
                            </w:pPr>
                            <w:r>
                              <w:t>An important aspect of the EMF is community consultation, stakeholder engagement and communications during the constru</w:t>
                            </w:r>
                            <w:r w:rsidRPr="00397857">
                              <w:t>ction</w:t>
                            </w:r>
                            <w:r>
                              <w:t xml:space="preserve"> and operation of the project. As the project proceeds it will largely be the EMF that outlines opportunities for local stakeholders to engage with the proponent to seek responses to issues that might arise during construction or operation. To this end the EMF will set out procedures for:</w:t>
                            </w:r>
                          </w:p>
                          <w:p w14:paraId="12578B9C" w14:textId="77777777" w:rsidR="00071A1A" w:rsidRPr="00FC7FE4" w:rsidRDefault="00071A1A" w:rsidP="00FC7FE4">
                            <w:pPr>
                              <w:pStyle w:val="ListBullet"/>
                              <w:contextualSpacing/>
                              <w:rPr>
                                <w:color w:val="004F9E"/>
                              </w:rPr>
                            </w:pPr>
                            <w:r w:rsidRPr="00FC7FE4">
                              <w:rPr>
                                <w:color w:val="004F9E"/>
                              </w:rPr>
                              <w:t>complaints recording and resolution</w:t>
                            </w:r>
                          </w:p>
                          <w:p w14:paraId="439388E2" w14:textId="77777777" w:rsidR="00071A1A" w:rsidRPr="00FC7FE4" w:rsidRDefault="00071A1A" w:rsidP="00FC7FE4">
                            <w:pPr>
                              <w:pStyle w:val="ListBullet"/>
                              <w:contextualSpacing/>
                              <w:rPr>
                                <w:color w:val="004F9E"/>
                              </w:rPr>
                            </w:pPr>
                            <w:r w:rsidRPr="00FC7FE4">
                              <w:rPr>
                                <w:color w:val="004F9E"/>
                              </w:rPr>
                              <w:t>auditing and reporting of performance including compliance with relevant statutory conditions and standards, and</w:t>
                            </w:r>
                          </w:p>
                          <w:p w14:paraId="0DF71C33" w14:textId="77777777" w:rsidR="00071A1A" w:rsidRPr="00FC7FE4" w:rsidRDefault="00071A1A" w:rsidP="00FC7FE4">
                            <w:pPr>
                              <w:pStyle w:val="ListBullet"/>
                              <w:contextualSpacing/>
                              <w:rPr>
                                <w:color w:val="004F9E"/>
                              </w:rPr>
                            </w:pPr>
                            <w:r w:rsidRPr="00FC7FE4">
                              <w:rPr>
                                <w:color w:val="004F9E"/>
                              </w:rPr>
                              <w:t>review of the effectiveness of the EMF for continuous improvement.</w:t>
                            </w:r>
                          </w:p>
                          <w:p w14:paraId="5C0178B0" w14:textId="77777777" w:rsidR="00071A1A" w:rsidRDefault="00071A1A" w:rsidP="00FC7FE4">
                            <w:pPr>
                              <w:pStyle w:val="PullOutBoxText"/>
                            </w:pPr>
                            <w:r>
                              <w:t>Management measures proposed in the EES to address specific issues, including commitments to mitigate adverse effects and enhance environmental outcomes should be clearly described in the EMF. The EMF should describe proposed objectives, indicators and monitoring requ</w:t>
                            </w:r>
                            <w:r w:rsidRPr="00A775DA">
                              <w:t>irem</w:t>
                            </w:r>
                            <w:r>
                              <w:t>ents, including for (but not limited to) managing or addressing:</w:t>
                            </w:r>
                          </w:p>
                          <w:p w14:paraId="3F7FDF90" w14:textId="77777777" w:rsidR="00071A1A" w:rsidRPr="00FC7FE4" w:rsidRDefault="00071A1A" w:rsidP="00FC7FE4">
                            <w:pPr>
                              <w:pStyle w:val="ListBullet"/>
                              <w:contextualSpacing/>
                              <w:rPr>
                                <w:color w:val="004F9E"/>
                              </w:rPr>
                            </w:pPr>
                            <w:r w:rsidRPr="00FC7FE4">
                              <w:rPr>
                                <w:color w:val="004F9E"/>
                              </w:rPr>
                              <w:t>biodiversity values (including MNES)</w:t>
                            </w:r>
                          </w:p>
                          <w:p w14:paraId="27B0792C" w14:textId="77777777" w:rsidR="00071A1A" w:rsidRPr="00FC7FE4" w:rsidRDefault="00071A1A" w:rsidP="00FC7FE4">
                            <w:pPr>
                              <w:pStyle w:val="ListBullet"/>
                              <w:contextualSpacing/>
                              <w:rPr>
                                <w:color w:val="004F9E"/>
                              </w:rPr>
                            </w:pPr>
                            <w:r w:rsidRPr="00FC7FE4">
                              <w:rPr>
                                <w:color w:val="004F9E"/>
                              </w:rPr>
                              <w:t>surface water and groundwater values</w:t>
                            </w:r>
                          </w:p>
                          <w:p w14:paraId="38254901" w14:textId="77777777" w:rsidR="00071A1A" w:rsidRPr="00FC7FE4" w:rsidRDefault="00071A1A" w:rsidP="00FC7FE4">
                            <w:pPr>
                              <w:pStyle w:val="ListBullet"/>
                              <w:contextualSpacing/>
                              <w:rPr>
                                <w:color w:val="004F9E"/>
                              </w:rPr>
                            </w:pPr>
                            <w:r w:rsidRPr="00FC7FE4">
                              <w:rPr>
                                <w:color w:val="004F9E"/>
                              </w:rPr>
                              <w:t>landscape and visual values, including blade glint and shadow flicker</w:t>
                            </w:r>
                          </w:p>
                          <w:p w14:paraId="096E71CD" w14:textId="77777777" w:rsidR="00071A1A" w:rsidRPr="00FC7FE4" w:rsidRDefault="00071A1A" w:rsidP="00FC7FE4">
                            <w:pPr>
                              <w:pStyle w:val="ListBullet"/>
                              <w:contextualSpacing/>
                              <w:rPr>
                                <w:color w:val="004F9E"/>
                              </w:rPr>
                            </w:pPr>
                            <w:r w:rsidRPr="00FC7FE4">
                              <w:rPr>
                                <w:color w:val="004F9E"/>
                              </w:rPr>
                              <w:t>noise and vibration, including during construction, decommissioning, and from operational turbines</w:t>
                            </w:r>
                          </w:p>
                          <w:p w14:paraId="6D106F0E" w14:textId="77777777" w:rsidR="00071A1A" w:rsidRPr="00FC7FE4" w:rsidRDefault="00071A1A" w:rsidP="00FC7FE4">
                            <w:pPr>
                              <w:pStyle w:val="ListBullet"/>
                              <w:contextualSpacing/>
                              <w:rPr>
                                <w:color w:val="004F9E"/>
                              </w:rPr>
                            </w:pPr>
                            <w:r w:rsidRPr="00FC7FE4">
                              <w:rPr>
                                <w:color w:val="004F9E"/>
                              </w:rPr>
                              <w:t>air quality during construction</w:t>
                            </w:r>
                          </w:p>
                          <w:p w14:paraId="2A816506" w14:textId="77777777" w:rsidR="00071A1A" w:rsidRPr="00FC7FE4" w:rsidRDefault="00071A1A" w:rsidP="00FC7FE4">
                            <w:pPr>
                              <w:pStyle w:val="ListBullet"/>
                              <w:contextualSpacing/>
                              <w:rPr>
                                <w:color w:val="004F9E"/>
                              </w:rPr>
                            </w:pPr>
                            <w:r w:rsidRPr="00FC7FE4">
                              <w:rPr>
                                <w:color w:val="004F9E"/>
                              </w:rPr>
                              <w:t>cultural heritage values</w:t>
                            </w:r>
                          </w:p>
                          <w:p w14:paraId="410D5140" w14:textId="77777777" w:rsidR="00071A1A" w:rsidRPr="00FC7FE4" w:rsidRDefault="00071A1A" w:rsidP="00FC7FE4">
                            <w:pPr>
                              <w:pStyle w:val="ListBullet"/>
                              <w:contextualSpacing/>
                              <w:rPr>
                                <w:color w:val="004F9E"/>
                              </w:rPr>
                            </w:pPr>
                            <w:r w:rsidRPr="00FC7FE4">
                              <w:rPr>
                                <w:color w:val="004F9E"/>
                              </w:rPr>
                              <w:t>aviation (including with respect to aerial firefighting) and electromagnetic interference</w:t>
                            </w:r>
                          </w:p>
                          <w:p w14:paraId="36F2D553" w14:textId="77777777" w:rsidR="00071A1A" w:rsidRPr="00FC7FE4" w:rsidRDefault="00071A1A" w:rsidP="00FC7FE4">
                            <w:pPr>
                              <w:pStyle w:val="ListBullet"/>
                              <w:contextualSpacing/>
                              <w:rPr>
                                <w:color w:val="004F9E"/>
                              </w:rPr>
                            </w:pPr>
                            <w:r w:rsidRPr="00FC7FE4">
                              <w:rPr>
                                <w:color w:val="004F9E"/>
                              </w:rPr>
                              <w:t>land use and socioeconomic values, and</w:t>
                            </w:r>
                          </w:p>
                          <w:p w14:paraId="5F06B9E0" w14:textId="7D0B2825" w:rsidR="00071A1A" w:rsidRPr="00A775DA" w:rsidRDefault="00071A1A" w:rsidP="00440A35">
                            <w:pPr>
                              <w:pStyle w:val="ListBullet"/>
                              <w:contextualSpacing/>
                              <w:rPr>
                                <w:color w:val="004F9E"/>
                              </w:rPr>
                            </w:pPr>
                            <w:r w:rsidRPr="00FC7FE4">
                              <w:rPr>
                                <w:color w:val="004F9E"/>
                              </w:rPr>
                              <w:t>traffic, particularly during construction, including managing temporary disruption and changed accessibility.</w:t>
                            </w:r>
                          </w:p>
                        </w:txbxContent>
                      </wps:txbx>
                      <wps:bodyPr rot="0" vert="horz" wrap="square" lIns="91440" tIns="45720" rIns="91440" bIns="45720" anchor="t" anchorCtr="0">
                        <a:noAutofit/>
                      </wps:bodyPr>
                    </wps:wsp>
                  </a:graphicData>
                </a:graphic>
              </wp:inline>
            </w:drawing>
          </mc:Choice>
          <mc:Fallback xmlns:oel="http://schemas.microsoft.com/office/2019/extlst">
            <w:pict>
              <v:roundrect w14:anchorId="095D3A06" id="Text Box 2" o:spid="_x0000_s1026" alt="Environmental Management Framework (from Section 3.7 of the EES scoping requirements)&#10;The EMF should describe the baseline environmental conditions to allow evaluation of the residual environmental effects of the project, as well as the efficacy of applied environmental management and contingency measures. The framework should include:&#10;• the context of required approvals and consents&#10;• the proposed environmental management system to be adopted&#10;• organisational responsibilities and accountabilities for environmental management&#10;• an environmental risk register that is maintained during project implementation&#10;• the environmental management measures proposed in the EES to address specific issues, including commitments to mitigate adverse effects and enhance environmental outcomes.&#10;An important aspect of the EMF is community consultation, stakeholder engagement and communications during the construction and operation of the project. As the project proceeds it will largely be the EMF that outlines opportunities for local stakeholders to engage with the proponent to seek responses to issues that might arise during construction or operation. To this end the EMF will set out procedures for:&#10;• complaints recording and resolution&#10;• auditing and reporting of performance including compliance with relevant statutory conditions and standards, and&#10;• review of the effectiveness of the EMF for continuous improvement.&#10;Management measures proposed in the EES to address specific issues, including commitments to mitigate adverse effects and enhance environmental outcomes should be clearly described in the EMF. The EMF should describe proposed objectives, indicators and monitoring requirements, including for (but not limited to) managing or addressing:&#10;• biodiversity values (including MNES)&#10;• surface water and groundwater values&#10;• landscape and visual values, including blade glint and shadow flicker&#10;• noise and vibration, including during construction, decommissioning, and from operational turbines&#10;• air quality during construction&#10;• cultural heritage values&#10;• aviation (including with respect to aerial firefighting) and electromagnetic interference&#10;• land use and socioeconomic values, and&#10;• traffic, particularly during construction, including managing temporary disruption and changed accessibility." style="width:453.55pt;height:54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" fillcolor="#e3eaf1 [351]" strokecolor="#9e9e9d">
                <v:stroke joinstyle="miter"/>
                <v:textbox>
                  <w:txbxContent>
                    <w:p w14:paraId="6B8B350F" w14:textId="1B0EF378" w:rsidR="00071A1A" w:rsidRPr="00961F28" w:rsidRDefault="00071A1A" w:rsidP="00397857">
                      <w:pPr>
                        <w:pStyle w:val="PullOutBoxHeading"/>
                      </w:pPr>
                      <w:r w:rsidRPr="00961F28">
                        <w:t>Environmental Management Framework</w:t>
                      </w:r>
                      <w:r>
                        <w:t xml:space="preserve"> (from </w:t>
                      </w:r>
                      <w:r w:rsidR="00D8220D">
                        <w:t xml:space="preserve">Section 3.7 of </w:t>
                      </w:r>
                      <w:r>
                        <w:t>the EES scoping requirements)</w:t>
                      </w:r>
                    </w:p>
                    <w:p w14:paraId="567F68AC" w14:textId="77777777" w:rsidR="00071A1A" w:rsidRDefault="00071A1A" w:rsidP="00397857">
                      <w:pPr>
                        <w:pStyle w:val="PullOutBoxText"/>
                      </w:pPr>
                      <w:r>
                        <w:t>The EMF should describe the baseline environmental conditions to allow evaluation of the residual environmental effects of the project, as well as the efficacy of applied environmental management and contingency measures. The framework should include:</w:t>
                      </w:r>
                    </w:p>
                    <w:p w14:paraId="70DF81CC" w14:textId="77777777" w:rsidR="00071A1A" w:rsidRPr="00397857" w:rsidRDefault="00071A1A" w:rsidP="00397857">
                      <w:pPr>
                        <w:pStyle w:val="ListBullet"/>
                        <w:contextualSpacing/>
                        <w:rPr>
                          <w:color w:val="004F9E"/>
                        </w:rPr>
                      </w:pPr>
                      <w:r w:rsidRPr="00397857">
                        <w:rPr>
                          <w:color w:val="004F9E"/>
                        </w:rPr>
                        <w:t>the context of required approvals and consents</w:t>
                      </w:r>
                    </w:p>
                    <w:p w14:paraId="49835DDA" w14:textId="77777777" w:rsidR="00071A1A" w:rsidRPr="00397857" w:rsidRDefault="00071A1A" w:rsidP="00397857">
                      <w:pPr>
                        <w:pStyle w:val="ListBullet"/>
                        <w:contextualSpacing/>
                        <w:rPr>
                          <w:color w:val="004F9E"/>
                        </w:rPr>
                      </w:pPr>
                      <w:r w:rsidRPr="00397857">
                        <w:rPr>
                          <w:color w:val="004F9E"/>
                        </w:rPr>
                        <w:t>the proposed environmental management system to be adopted</w:t>
                      </w:r>
                    </w:p>
                    <w:p w14:paraId="4FB46004" w14:textId="77777777" w:rsidR="00071A1A" w:rsidRPr="00397857" w:rsidRDefault="00071A1A" w:rsidP="00397857">
                      <w:pPr>
                        <w:pStyle w:val="ListBullet"/>
                        <w:contextualSpacing/>
                        <w:rPr>
                          <w:color w:val="004F9E"/>
                        </w:rPr>
                      </w:pPr>
                      <w:r w:rsidRPr="00397857">
                        <w:rPr>
                          <w:color w:val="004F9E"/>
                        </w:rPr>
                        <w:t>organisational responsibilities and accountabilities for environmental management</w:t>
                      </w:r>
                    </w:p>
                    <w:p w14:paraId="55D461E7" w14:textId="77777777" w:rsidR="00071A1A" w:rsidRPr="00397857" w:rsidRDefault="00071A1A" w:rsidP="00397857">
                      <w:pPr>
                        <w:pStyle w:val="ListBullet"/>
                        <w:contextualSpacing/>
                        <w:rPr>
                          <w:color w:val="004F9E"/>
                        </w:rPr>
                      </w:pPr>
                      <w:r w:rsidRPr="00397857">
                        <w:rPr>
                          <w:color w:val="004F9E"/>
                        </w:rPr>
                        <w:t>an environmental risk register that is maintained during project implementation</w:t>
                      </w:r>
                    </w:p>
                    <w:p w14:paraId="4FBCBCB3" w14:textId="09BB1B24" w:rsidR="00071A1A" w:rsidRPr="00397857" w:rsidRDefault="00071A1A" w:rsidP="00397857">
                      <w:pPr>
                        <w:pStyle w:val="ListBullet"/>
                        <w:contextualSpacing/>
                        <w:rPr>
                          <w:color w:val="004F9E"/>
                        </w:rPr>
                      </w:pPr>
                      <w:r w:rsidRPr="00397857">
                        <w:rPr>
                          <w:color w:val="004F9E"/>
                        </w:rPr>
                        <w:t>the environmental management measures proposed in the EES to address specific issues, including commitments to mitigate adverse effects and enhance environmental outcomes</w:t>
                      </w:r>
                      <w:r>
                        <w:rPr>
                          <w:color w:val="004F9E"/>
                        </w:rPr>
                        <w:t>.</w:t>
                      </w:r>
                    </w:p>
                    <w:p w14:paraId="169FFA71" w14:textId="77777777" w:rsidR="00071A1A" w:rsidRDefault="00071A1A" w:rsidP="00397857">
                      <w:pPr>
                        <w:pStyle w:val="PullOutBoxText"/>
                      </w:pPr>
                      <w:r>
                        <w:t>An important aspect of the EMF is community consultation, stakeholder engagement and communications during the constru</w:t>
                      </w:r>
                      <w:r w:rsidRPr="00397857">
                        <w:t>ction</w:t>
                      </w:r>
                      <w:r>
                        <w:t xml:space="preserve"> and operation of the project. As the project proceeds it will largely be the EMF that outlines opportunities for local stakeholders to engage with the proponent to seek responses to issues that might arise during construction or operation. To this end the EMF will set out procedures for:</w:t>
                      </w:r>
                    </w:p>
                    <w:p w14:paraId="12578B9C" w14:textId="77777777" w:rsidR="00071A1A" w:rsidRPr="00FC7FE4" w:rsidRDefault="00071A1A" w:rsidP="00FC7FE4">
                      <w:pPr>
                        <w:pStyle w:val="ListBullet"/>
                        <w:contextualSpacing/>
                        <w:rPr>
                          <w:color w:val="004F9E"/>
                        </w:rPr>
                      </w:pPr>
                      <w:r w:rsidRPr="00FC7FE4">
                        <w:rPr>
                          <w:color w:val="004F9E"/>
                        </w:rPr>
                        <w:t>complaints recording and resolution</w:t>
                      </w:r>
                    </w:p>
                    <w:p w14:paraId="439388E2" w14:textId="77777777" w:rsidR="00071A1A" w:rsidRPr="00FC7FE4" w:rsidRDefault="00071A1A" w:rsidP="00FC7FE4">
                      <w:pPr>
                        <w:pStyle w:val="ListBullet"/>
                        <w:contextualSpacing/>
                        <w:rPr>
                          <w:color w:val="004F9E"/>
                        </w:rPr>
                      </w:pPr>
                      <w:r w:rsidRPr="00FC7FE4">
                        <w:rPr>
                          <w:color w:val="004F9E"/>
                        </w:rPr>
                        <w:t>auditing and reporting of performance including compliance with relevant statutory conditions and standards, and</w:t>
                      </w:r>
                    </w:p>
                    <w:p w14:paraId="0DF71C33" w14:textId="77777777" w:rsidR="00071A1A" w:rsidRPr="00FC7FE4" w:rsidRDefault="00071A1A" w:rsidP="00FC7FE4">
                      <w:pPr>
                        <w:pStyle w:val="ListBullet"/>
                        <w:contextualSpacing/>
                        <w:rPr>
                          <w:color w:val="004F9E"/>
                        </w:rPr>
                      </w:pPr>
                      <w:r w:rsidRPr="00FC7FE4">
                        <w:rPr>
                          <w:color w:val="004F9E"/>
                        </w:rPr>
                        <w:t>review of the effectiveness of the EMF for continuous improvement.</w:t>
                      </w:r>
                    </w:p>
                    <w:p w14:paraId="5C0178B0" w14:textId="77777777" w:rsidR="00071A1A" w:rsidRDefault="00071A1A" w:rsidP="00FC7FE4">
                      <w:pPr>
                        <w:pStyle w:val="PullOutBoxText"/>
                      </w:pPr>
                      <w:r>
                        <w:t>Management measures proposed in the EES to address specific issues, including commitments to mitigate adverse effects and enhance environmental outcomes should be clearly described in the EMF. The EMF should describe proposed objectives, indicators and monitoring requ</w:t>
                      </w:r>
                      <w:r w:rsidRPr="00A775DA">
                        <w:t>irem</w:t>
                      </w:r>
                      <w:r>
                        <w:t>ents, including for (but not limited to) managing or addressing:</w:t>
                      </w:r>
                    </w:p>
                    <w:p w14:paraId="3F7FDF90" w14:textId="77777777" w:rsidR="00071A1A" w:rsidRPr="00FC7FE4" w:rsidRDefault="00071A1A" w:rsidP="00FC7FE4">
                      <w:pPr>
                        <w:pStyle w:val="ListBullet"/>
                        <w:contextualSpacing/>
                        <w:rPr>
                          <w:color w:val="004F9E"/>
                        </w:rPr>
                      </w:pPr>
                      <w:r w:rsidRPr="00FC7FE4">
                        <w:rPr>
                          <w:color w:val="004F9E"/>
                        </w:rPr>
                        <w:t>biodiversity values (including MNES)</w:t>
                      </w:r>
                    </w:p>
                    <w:p w14:paraId="27B0792C" w14:textId="77777777" w:rsidR="00071A1A" w:rsidRPr="00FC7FE4" w:rsidRDefault="00071A1A" w:rsidP="00FC7FE4">
                      <w:pPr>
                        <w:pStyle w:val="ListBullet"/>
                        <w:contextualSpacing/>
                        <w:rPr>
                          <w:color w:val="004F9E"/>
                        </w:rPr>
                      </w:pPr>
                      <w:r w:rsidRPr="00FC7FE4">
                        <w:rPr>
                          <w:color w:val="004F9E"/>
                        </w:rPr>
                        <w:t>surface water and groundwater values</w:t>
                      </w:r>
                    </w:p>
                    <w:p w14:paraId="38254901" w14:textId="77777777" w:rsidR="00071A1A" w:rsidRPr="00FC7FE4" w:rsidRDefault="00071A1A" w:rsidP="00FC7FE4">
                      <w:pPr>
                        <w:pStyle w:val="ListBullet"/>
                        <w:contextualSpacing/>
                        <w:rPr>
                          <w:color w:val="004F9E"/>
                        </w:rPr>
                      </w:pPr>
                      <w:r w:rsidRPr="00FC7FE4">
                        <w:rPr>
                          <w:color w:val="004F9E"/>
                        </w:rPr>
                        <w:t>landscape and visual values, including blade glint and shadow flicker</w:t>
                      </w:r>
                    </w:p>
                    <w:p w14:paraId="096E71CD" w14:textId="77777777" w:rsidR="00071A1A" w:rsidRPr="00FC7FE4" w:rsidRDefault="00071A1A" w:rsidP="00FC7FE4">
                      <w:pPr>
                        <w:pStyle w:val="ListBullet"/>
                        <w:contextualSpacing/>
                        <w:rPr>
                          <w:color w:val="004F9E"/>
                        </w:rPr>
                      </w:pPr>
                      <w:r w:rsidRPr="00FC7FE4">
                        <w:rPr>
                          <w:color w:val="004F9E"/>
                        </w:rPr>
                        <w:t>noise and vibration, including during construction, decommissioning, and from operational turbines</w:t>
                      </w:r>
                    </w:p>
                    <w:p w14:paraId="6D106F0E" w14:textId="77777777" w:rsidR="00071A1A" w:rsidRPr="00FC7FE4" w:rsidRDefault="00071A1A" w:rsidP="00FC7FE4">
                      <w:pPr>
                        <w:pStyle w:val="ListBullet"/>
                        <w:contextualSpacing/>
                        <w:rPr>
                          <w:color w:val="004F9E"/>
                        </w:rPr>
                      </w:pPr>
                      <w:r w:rsidRPr="00FC7FE4">
                        <w:rPr>
                          <w:color w:val="004F9E"/>
                        </w:rPr>
                        <w:t>air quality during construction</w:t>
                      </w:r>
                    </w:p>
                    <w:p w14:paraId="2A816506" w14:textId="77777777" w:rsidR="00071A1A" w:rsidRPr="00FC7FE4" w:rsidRDefault="00071A1A" w:rsidP="00FC7FE4">
                      <w:pPr>
                        <w:pStyle w:val="ListBullet"/>
                        <w:contextualSpacing/>
                        <w:rPr>
                          <w:color w:val="004F9E"/>
                        </w:rPr>
                      </w:pPr>
                      <w:r w:rsidRPr="00FC7FE4">
                        <w:rPr>
                          <w:color w:val="004F9E"/>
                        </w:rPr>
                        <w:t>cultural heritage values</w:t>
                      </w:r>
                    </w:p>
                    <w:p w14:paraId="410D5140" w14:textId="77777777" w:rsidR="00071A1A" w:rsidRPr="00FC7FE4" w:rsidRDefault="00071A1A" w:rsidP="00FC7FE4">
                      <w:pPr>
                        <w:pStyle w:val="ListBullet"/>
                        <w:contextualSpacing/>
                        <w:rPr>
                          <w:color w:val="004F9E"/>
                        </w:rPr>
                      </w:pPr>
                      <w:r w:rsidRPr="00FC7FE4">
                        <w:rPr>
                          <w:color w:val="004F9E"/>
                        </w:rPr>
                        <w:t>aviation (including with respect to aerial firefighting) and electromagnetic interference</w:t>
                      </w:r>
                    </w:p>
                    <w:p w14:paraId="36F2D553" w14:textId="77777777" w:rsidR="00071A1A" w:rsidRPr="00FC7FE4" w:rsidRDefault="00071A1A" w:rsidP="00FC7FE4">
                      <w:pPr>
                        <w:pStyle w:val="ListBullet"/>
                        <w:contextualSpacing/>
                        <w:rPr>
                          <w:color w:val="004F9E"/>
                        </w:rPr>
                      </w:pPr>
                      <w:r w:rsidRPr="00FC7FE4">
                        <w:rPr>
                          <w:color w:val="004F9E"/>
                        </w:rPr>
                        <w:t>land use and socioeconomic values, and</w:t>
                      </w:r>
                    </w:p>
                    <w:p w14:paraId="5F06B9E0" w14:textId="7D0B2825" w:rsidR="00071A1A" w:rsidRPr="00A775DA" w:rsidRDefault="00071A1A" w:rsidP="00440A35">
                      <w:pPr>
                        <w:pStyle w:val="ListBullet"/>
                        <w:contextualSpacing/>
                        <w:rPr>
                          <w:color w:val="004F9E"/>
                        </w:rPr>
                      </w:pPr>
                      <w:r w:rsidRPr="00FC7FE4">
                        <w:rPr>
                          <w:color w:val="004F9E"/>
                        </w:rPr>
                        <w:t>traffic, particularly during construction, including managing temporary disruption and changed accessibility.</w:t>
                      </w:r>
                    </w:p>
                  </w:txbxContent>
                </v:textbox>
                <w10:anchorlock/>
              </v:roundrect>
            </w:pict>
          </mc:Fallback>
        </mc:AlternateContent>
      </w:r>
    </w:p>
    <w:p w14:paraId="2CDB2B98" w14:textId="77777777" w:rsidR="00397857" w:rsidRPr="00FC7FE4" w:rsidRDefault="00397857" w:rsidP="00FC7FE4">
      <w:pPr>
        <w:pStyle w:val="Heading2"/>
      </w:pPr>
      <w:bookmarkStart w:id="7" w:name="_Toc87023753"/>
      <w:bookmarkStart w:id="8" w:name="_Toc105159960"/>
      <w:r w:rsidRPr="00FC7FE4">
        <w:t>Baseline conditions</w:t>
      </w:r>
      <w:bookmarkEnd w:id="7"/>
      <w:bookmarkEnd w:id="8"/>
    </w:p>
    <w:p w14:paraId="6F242FB9" w14:textId="23001641" w:rsidR="00397857" w:rsidRPr="00D7107A" w:rsidRDefault="00397857" w:rsidP="00397857">
      <w:pPr>
        <w:pStyle w:val="BodyText"/>
      </w:pPr>
      <w:r w:rsidRPr="00D7107A">
        <w:t>The baseline environmental conditions of the project site that have been used to evaluate the residual environmental effects of the project are summarised in technical chapters 8 to 23. Each technical chapter is supported by one or more technical specialist studies</w:t>
      </w:r>
      <w:r w:rsidR="00D8220D">
        <w:t>,</w:t>
      </w:r>
      <w:r w:rsidRPr="00D7107A">
        <w:t xml:space="preserve"> provided as </w:t>
      </w:r>
      <w:r w:rsidR="00A775DA">
        <w:t>A</w:t>
      </w:r>
      <w:r w:rsidRPr="00D7107A">
        <w:t>ppendices A to O, which provide more detailed description</w:t>
      </w:r>
      <w:r w:rsidR="00E07D40">
        <w:t>s</w:t>
      </w:r>
      <w:r w:rsidRPr="00D7107A">
        <w:t xml:space="preserve"> of the existing conditions of the project site.</w:t>
      </w:r>
      <w:r>
        <w:t xml:space="preserve"> </w:t>
      </w:r>
      <w:bookmarkStart w:id="9" w:name="_Toc64639670"/>
      <w:bookmarkStart w:id="10" w:name="_Toc64982212"/>
      <w:bookmarkStart w:id="11" w:name="_Toc64639671"/>
      <w:bookmarkStart w:id="12" w:name="_Toc64982213"/>
      <w:bookmarkStart w:id="13" w:name="_Toc64639672"/>
      <w:bookmarkStart w:id="14" w:name="_Toc64982214"/>
      <w:bookmarkStart w:id="15" w:name="_Toc64639673"/>
      <w:bookmarkStart w:id="16" w:name="_Toc64982215"/>
      <w:bookmarkStart w:id="17" w:name="_Toc64639674"/>
      <w:bookmarkStart w:id="18" w:name="_Toc64982216"/>
      <w:bookmarkStart w:id="19" w:name="_Toc64639675"/>
      <w:bookmarkStart w:id="20" w:name="_Toc64982217"/>
      <w:bookmarkStart w:id="21" w:name="_Toc64639676"/>
      <w:bookmarkStart w:id="22" w:name="_Toc64982218"/>
      <w:bookmarkStart w:id="23" w:name="_Toc64639677"/>
      <w:bookmarkStart w:id="24" w:name="_Toc64982219"/>
      <w:bookmarkStart w:id="25" w:name="_Toc64639678"/>
      <w:bookmarkStart w:id="26" w:name="_Toc64982220"/>
      <w:bookmarkStart w:id="27" w:name="_Toc64639679"/>
      <w:bookmarkStart w:id="28" w:name="_Toc64982221"/>
      <w:bookmarkStart w:id="29" w:name="_Toc64639680"/>
      <w:bookmarkStart w:id="30" w:name="_Toc64982222"/>
      <w:bookmarkStart w:id="31" w:name="_Toc64639681"/>
      <w:bookmarkStart w:id="32" w:name="_Toc64982223"/>
      <w:bookmarkStart w:id="33" w:name="_Toc64639682"/>
      <w:bookmarkStart w:id="34" w:name="_Toc64982224"/>
      <w:bookmarkStart w:id="35" w:name="_Toc64639683"/>
      <w:bookmarkStart w:id="36" w:name="_Toc64982225"/>
      <w:bookmarkStart w:id="37" w:name="_Toc64639684"/>
      <w:bookmarkStart w:id="38" w:name="_Toc64982226"/>
      <w:bookmarkStart w:id="39" w:name="_Toc64639685"/>
      <w:bookmarkStart w:id="40" w:name="_Toc64982227"/>
      <w:bookmarkStart w:id="41" w:name="_Toc64639686"/>
      <w:bookmarkStart w:id="42" w:name="_Toc64982228"/>
      <w:bookmarkStart w:id="43" w:name="_Toc64639687"/>
      <w:bookmarkStart w:id="44" w:name="_Toc64982229"/>
      <w:bookmarkStart w:id="45" w:name="_Toc64639688"/>
      <w:bookmarkStart w:id="46" w:name="_Toc6498223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47AD50" w14:textId="77777777" w:rsidR="00397857" w:rsidRPr="00FC7FE4" w:rsidRDefault="00397857" w:rsidP="00FC7FE4">
      <w:pPr>
        <w:pStyle w:val="Heading2"/>
      </w:pPr>
      <w:bookmarkStart w:id="47" w:name="_Toc87023754"/>
      <w:bookmarkStart w:id="48" w:name="_Toc105159961"/>
      <w:r w:rsidRPr="00FC7FE4">
        <w:lastRenderedPageBreak/>
        <w:t>Statutory approvals and consents</w:t>
      </w:r>
      <w:bookmarkEnd w:id="47"/>
      <w:bookmarkEnd w:id="48"/>
    </w:p>
    <w:p w14:paraId="0AD0BF7D" w14:textId="6C912057" w:rsidR="00397857" w:rsidRDefault="00397857" w:rsidP="00FC7FE4">
      <w:pPr>
        <w:pStyle w:val="BodyText"/>
        <w:keepNext/>
      </w:pPr>
      <w:r w:rsidRPr="00D7107A">
        <w:t>A range of approvals and consents are required for the project, as described in Chapter 3 –</w:t>
      </w:r>
      <w:r w:rsidR="00FC7FE4">
        <w:t xml:space="preserve"> </w:t>
      </w:r>
      <w:r w:rsidR="00FC7FE4">
        <w:rPr>
          <w:i/>
        </w:rPr>
        <w:t xml:space="preserve">Legislation and policy </w:t>
      </w:r>
      <w:r w:rsidRPr="00D7107A">
        <w:rPr>
          <w:i/>
        </w:rPr>
        <w:t>framework</w:t>
      </w:r>
      <w:r w:rsidRPr="00D7107A">
        <w:t xml:space="preserve">. </w:t>
      </w:r>
      <w:r w:rsidR="00FC7FE4">
        <w:fldChar w:fldCharType="begin"/>
      </w:r>
      <w:r w:rsidR="00FC7FE4">
        <w:instrText xml:space="preserve"> REF _Ref89781293 \h </w:instrText>
      </w:r>
      <w:r w:rsidR="00FC7FE4">
        <w:fldChar w:fldCharType="separate"/>
      </w:r>
      <w:r w:rsidR="00694153" w:rsidRPr="00FC7FE4">
        <w:t xml:space="preserve">Table </w:t>
      </w:r>
      <w:r w:rsidR="00694153">
        <w:rPr>
          <w:noProof/>
        </w:rPr>
        <w:t>26</w:t>
      </w:r>
      <w:r w:rsidR="00694153">
        <w:t>.</w:t>
      </w:r>
      <w:r w:rsidR="00694153">
        <w:rPr>
          <w:noProof/>
        </w:rPr>
        <w:t>1</w:t>
      </w:r>
      <w:r w:rsidR="00FC7FE4">
        <w:fldChar w:fldCharType="end"/>
      </w:r>
      <w:r w:rsidRPr="00D7107A">
        <w:t xml:space="preserve"> identifies necessary approvals and consent</w:t>
      </w:r>
      <w:r w:rsidR="00E07D40">
        <w:t>,</w:t>
      </w:r>
      <w:r w:rsidRPr="00D7107A">
        <w:t xml:space="preserve"> and how each approval relates to the EMF.</w:t>
      </w:r>
    </w:p>
    <w:p w14:paraId="054EE7B2" w14:textId="7EA36973" w:rsidR="00397857" w:rsidRPr="00FC7FE4" w:rsidRDefault="00397857" w:rsidP="00FC7FE4">
      <w:pPr>
        <w:pStyle w:val="Caption"/>
      </w:pPr>
      <w:bookmarkStart w:id="49" w:name="_Ref89781293"/>
      <w:bookmarkStart w:id="50" w:name="_Toc87023773"/>
      <w:bookmarkStart w:id="51" w:name="_Toc105159984"/>
      <w:r w:rsidRPr="00FC7FE4">
        <w:t xml:space="preserve">Table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t>.</w:t>
      </w:r>
      <w:r w:rsidR="00694153">
        <w:fldChar w:fldCharType="begin"/>
      </w:r>
      <w:r w:rsidR="00694153">
        <w:instrText xml:space="preserve"> SEQ Table \* ARABIC \s 1 </w:instrText>
      </w:r>
      <w:r w:rsidR="00694153">
        <w:fldChar w:fldCharType="separate"/>
      </w:r>
      <w:r w:rsidR="00694153">
        <w:rPr>
          <w:noProof/>
        </w:rPr>
        <w:t>1</w:t>
      </w:r>
      <w:r w:rsidR="00694153">
        <w:rPr>
          <w:noProof/>
        </w:rPr>
        <w:fldChar w:fldCharType="end"/>
      </w:r>
      <w:bookmarkEnd w:id="49"/>
      <w:r w:rsidR="00FC7FE4" w:rsidRPr="00FC7FE4">
        <w:tab/>
      </w:r>
      <w:r w:rsidRPr="00FC7FE4">
        <w:t>Statutory approvals and consents</w:t>
      </w:r>
      <w:bookmarkEnd w:id="50"/>
      <w:bookmarkEnd w:id="51"/>
    </w:p>
    <w:tbl>
      <w:tblPr>
        <w:tblStyle w:val="Table1"/>
        <w:tblW w:w="5000" w:type="pct"/>
        <w:tblLook w:val="0420" w:firstRow="1" w:lastRow="0" w:firstColumn="0" w:lastColumn="0" w:noHBand="0" w:noVBand="1"/>
      </w:tblPr>
      <w:tblGrid>
        <w:gridCol w:w="1605"/>
        <w:gridCol w:w="1528"/>
        <w:gridCol w:w="1972"/>
        <w:gridCol w:w="3966"/>
      </w:tblGrid>
      <w:tr w:rsidR="00397857" w:rsidRPr="00D7107A" w14:paraId="40FF05EE" w14:textId="77777777" w:rsidTr="00A775DA">
        <w:trPr>
          <w:cnfStyle w:val="100000000000" w:firstRow="1" w:lastRow="0" w:firstColumn="0" w:lastColumn="0" w:oddVBand="0" w:evenVBand="0" w:oddHBand="0" w:evenHBand="0" w:firstRowFirstColumn="0" w:firstRowLastColumn="0" w:lastRowFirstColumn="0" w:lastRowLastColumn="0"/>
          <w:tblHeader/>
        </w:trPr>
        <w:tc>
          <w:tcPr>
            <w:tcW w:w="885" w:type="pct"/>
          </w:tcPr>
          <w:p w14:paraId="3F1B3D81" w14:textId="77777777" w:rsidR="00397857" w:rsidRPr="00D7107A" w:rsidRDefault="00397857" w:rsidP="00397857">
            <w:pPr>
              <w:pStyle w:val="TableHeading"/>
            </w:pPr>
            <w:r w:rsidRPr="00D7107A">
              <w:t xml:space="preserve">Act </w:t>
            </w:r>
          </w:p>
        </w:tc>
        <w:tc>
          <w:tcPr>
            <w:tcW w:w="842" w:type="pct"/>
          </w:tcPr>
          <w:p w14:paraId="13134D4A" w14:textId="77777777" w:rsidR="00397857" w:rsidRPr="00D7107A" w:rsidRDefault="00397857" w:rsidP="00397857">
            <w:pPr>
              <w:pStyle w:val="TableHeading"/>
            </w:pPr>
            <w:r w:rsidRPr="00D7107A">
              <w:t>Requirements</w:t>
            </w:r>
          </w:p>
        </w:tc>
        <w:tc>
          <w:tcPr>
            <w:tcW w:w="1087" w:type="pct"/>
          </w:tcPr>
          <w:p w14:paraId="6688D809" w14:textId="77777777" w:rsidR="00397857" w:rsidRPr="00D7107A" w:rsidRDefault="00397857" w:rsidP="00397857">
            <w:pPr>
              <w:pStyle w:val="TableHeading"/>
            </w:pPr>
            <w:r w:rsidRPr="00D7107A">
              <w:t>Approval authority</w:t>
            </w:r>
          </w:p>
        </w:tc>
        <w:tc>
          <w:tcPr>
            <w:tcW w:w="2187" w:type="pct"/>
          </w:tcPr>
          <w:p w14:paraId="2AD4CE67" w14:textId="77777777" w:rsidR="00397857" w:rsidRPr="00D7107A" w:rsidRDefault="00397857" w:rsidP="00397857">
            <w:pPr>
              <w:pStyle w:val="TableHeading"/>
            </w:pPr>
            <w:r w:rsidRPr="00D7107A">
              <w:t>Relevance to EMF</w:t>
            </w:r>
          </w:p>
        </w:tc>
      </w:tr>
      <w:tr w:rsidR="00397857" w:rsidRPr="00D7107A" w14:paraId="3B7E02A7" w14:textId="77777777" w:rsidTr="00FC7FE4">
        <w:tc>
          <w:tcPr>
            <w:tcW w:w="5000" w:type="pct"/>
            <w:gridSpan w:val="4"/>
            <w:shd w:val="clear" w:color="auto" w:fill="E6EFE1"/>
          </w:tcPr>
          <w:p w14:paraId="1293645D" w14:textId="77777777" w:rsidR="00397857" w:rsidRPr="00D7107A" w:rsidRDefault="00397857" w:rsidP="00397857">
            <w:pPr>
              <w:pStyle w:val="TableText"/>
              <w:rPr>
                <w:b/>
                <w:i/>
              </w:rPr>
            </w:pPr>
            <w:r w:rsidRPr="00D7107A">
              <w:rPr>
                <w:b/>
                <w:i/>
              </w:rPr>
              <w:t>Primary approvals</w:t>
            </w:r>
          </w:p>
        </w:tc>
      </w:tr>
      <w:tr w:rsidR="00397857" w:rsidRPr="00D7107A" w14:paraId="701735B3" w14:textId="77777777" w:rsidTr="00A775DA">
        <w:tc>
          <w:tcPr>
            <w:tcW w:w="885" w:type="pct"/>
          </w:tcPr>
          <w:p w14:paraId="6C38835A" w14:textId="77777777" w:rsidR="00397857" w:rsidRPr="00D7107A" w:rsidRDefault="00397857" w:rsidP="00397857">
            <w:pPr>
              <w:pStyle w:val="TableText"/>
              <w:rPr>
                <w:i/>
              </w:rPr>
            </w:pPr>
            <w:r w:rsidRPr="00D7107A">
              <w:rPr>
                <w:i/>
              </w:rPr>
              <w:t>Environment Protection and Biodiversity Conservation Act 1999</w:t>
            </w:r>
          </w:p>
        </w:tc>
        <w:tc>
          <w:tcPr>
            <w:tcW w:w="842" w:type="pct"/>
          </w:tcPr>
          <w:p w14:paraId="4F1406DC" w14:textId="77777777" w:rsidR="00397857" w:rsidRPr="00D7107A" w:rsidRDefault="00397857" w:rsidP="00397857">
            <w:pPr>
              <w:pStyle w:val="TableText"/>
            </w:pPr>
            <w:r w:rsidRPr="00D7107A">
              <w:t>EPBC Act approval</w:t>
            </w:r>
          </w:p>
        </w:tc>
        <w:tc>
          <w:tcPr>
            <w:tcW w:w="1087" w:type="pct"/>
          </w:tcPr>
          <w:p w14:paraId="4E5806CE" w14:textId="77777777" w:rsidR="00397857" w:rsidRPr="00D7107A" w:rsidRDefault="00397857" w:rsidP="00397857">
            <w:pPr>
              <w:pStyle w:val="TableText"/>
            </w:pPr>
            <w:r w:rsidRPr="00D7107A">
              <w:t>Commonwealth Department of Agriculture, Water and the Environment, Minister for the Environment</w:t>
            </w:r>
          </w:p>
        </w:tc>
        <w:tc>
          <w:tcPr>
            <w:tcW w:w="2187" w:type="pct"/>
          </w:tcPr>
          <w:p w14:paraId="2209E15B" w14:textId="77777777" w:rsidR="00397857" w:rsidRPr="00D7107A" w:rsidRDefault="00397857" w:rsidP="00397857">
            <w:pPr>
              <w:pStyle w:val="TableText"/>
            </w:pPr>
            <w:r w:rsidRPr="00D7107A">
              <w:t>The EPBC Act approval would set out conditions to be addressed through the plans and associated management sub-plans described in the EMF.</w:t>
            </w:r>
          </w:p>
        </w:tc>
      </w:tr>
      <w:tr w:rsidR="00397857" w:rsidRPr="00D7107A" w14:paraId="21EF74A8" w14:textId="77777777" w:rsidTr="00A775DA">
        <w:tc>
          <w:tcPr>
            <w:tcW w:w="885" w:type="pct"/>
          </w:tcPr>
          <w:p w14:paraId="45740578" w14:textId="77777777" w:rsidR="00397857" w:rsidRPr="00D7107A" w:rsidRDefault="00397857" w:rsidP="00397857">
            <w:pPr>
              <w:pStyle w:val="TableText"/>
              <w:rPr>
                <w:i/>
              </w:rPr>
            </w:pPr>
            <w:r w:rsidRPr="00D7107A">
              <w:rPr>
                <w:i/>
              </w:rPr>
              <w:t>Planning and Environment Act 1987</w:t>
            </w:r>
          </w:p>
        </w:tc>
        <w:tc>
          <w:tcPr>
            <w:tcW w:w="842" w:type="pct"/>
          </w:tcPr>
          <w:p w14:paraId="0F02A6BC" w14:textId="6C1DD160" w:rsidR="00397857" w:rsidRPr="00D7107A" w:rsidRDefault="00397857" w:rsidP="00397857">
            <w:pPr>
              <w:pStyle w:val="TableText"/>
            </w:pPr>
            <w:r w:rsidRPr="00D7107A">
              <w:t xml:space="preserve">Planning </w:t>
            </w:r>
            <w:r w:rsidR="00D8220D">
              <w:t>p</w:t>
            </w:r>
            <w:r w:rsidRPr="00D7107A">
              <w:t>ermit</w:t>
            </w:r>
          </w:p>
        </w:tc>
        <w:tc>
          <w:tcPr>
            <w:tcW w:w="1087" w:type="pct"/>
          </w:tcPr>
          <w:p w14:paraId="73C3417A" w14:textId="77777777" w:rsidR="00397857" w:rsidRPr="00D7107A" w:rsidRDefault="00397857" w:rsidP="00397857">
            <w:pPr>
              <w:pStyle w:val="TableText"/>
            </w:pPr>
            <w:r w:rsidRPr="00D7107A">
              <w:t>Minister for Planning</w:t>
            </w:r>
          </w:p>
        </w:tc>
        <w:tc>
          <w:tcPr>
            <w:tcW w:w="2187" w:type="pct"/>
          </w:tcPr>
          <w:p w14:paraId="24B3D497" w14:textId="6CF2BBB2" w:rsidR="00397857" w:rsidRPr="00D7107A" w:rsidRDefault="002B4803" w:rsidP="00397857">
            <w:pPr>
              <w:pStyle w:val="TableText"/>
            </w:pPr>
            <w:r>
              <w:t>If approved, a</w:t>
            </w:r>
            <w:r w:rsidR="00397857" w:rsidRPr="00D7107A">
              <w:t xml:space="preserve"> planning permit would set out conditions to be addressed through the plans and associated management sub-plans described in the EMF.</w:t>
            </w:r>
          </w:p>
        </w:tc>
      </w:tr>
      <w:tr w:rsidR="00397857" w:rsidRPr="00D7107A" w14:paraId="00DA5C3A" w14:textId="77777777" w:rsidTr="00A775DA">
        <w:tc>
          <w:tcPr>
            <w:tcW w:w="885" w:type="pct"/>
          </w:tcPr>
          <w:p w14:paraId="7A5B15AA" w14:textId="77777777" w:rsidR="00397857" w:rsidRPr="00D7107A" w:rsidRDefault="00397857" w:rsidP="00397857">
            <w:pPr>
              <w:pStyle w:val="TableText"/>
              <w:rPr>
                <w:i/>
              </w:rPr>
            </w:pPr>
            <w:r w:rsidRPr="00D7107A">
              <w:rPr>
                <w:i/>
              </w:rPr>
              <w:t>Aboriginal Heritage Act 2006</w:t>
            </w:r>
          </w:p>
        </w:tc>
        <w:tc>
          <w:tcPr>
            <w:tcW w:w="842" w:type="pct"/>
          </w:tcPr>
          <w:p w14:paraId="135B0349" w14:textId="1240D2C5" w:rsidR="00397857" w:rsidRPr="00D7107A" w:rsidRDefault="007C3C86" w:rsidP="00397857">
            <w:pPr>
              <w:pStyle w:val="TableText"/>
            </w:pPr>
            <w:r>
              <w:t>Cultural Heritage Management Plan (</w:t>
            </w:r>
            <w:r w:rsidR="00397857" w:rsidRPr="00D7107A">
              <w:t>CHMP</w:t>
            </w:r>
            <w:r>
              <w:t>)</w:t>
            </w:r>
          </w:p>
        </w:tc>
        <w:tc>
          <w:tcPr>
            <w:tcW w:w="1087" w:type="pct"/>
          </w:tcPr>
          <w:p w14:paraId="2599C9FC" w14:textId="6F2D769D" w:rsidR="00397857" w:rsidRPr="00D7107A" w:rsidRDefault="00397857" w:rsidP="00397857">
            <w:pPr>
              <w:pStyle w:val="TableText"/>
            </w:pPr>
            <w:r w:rsidRPr="00D7107A">
              <w:t xml:space="preserve">First Peoples </w:t>
            </w:r>
            <w:r w:rsidR="00D8220D">
              <w:t xml:space="preserve">– </w:t>
            </w:r>
            <w:r w:rsidRPr="00D7107A">
              <w:t xml:space="preserve">State Relations </w:t>
            </w:r>
          </w:p>
        </w:tc>
        <w:tc>
          <w:tcPr>
            <w:tcW w:w="2187" w:type="pct"/>
          </w:tcPr>
          <w:p w14:paraId="17E68072" w14:textId="77777777" w:rsidR="00397857" w:rsidRPr="00D7107A" w:rsidRDefault="00397857" w:rsidP="00397857">
            <w:pPr>
              <w:pStyle w:val="TableText"/>
            </w:pPr>
            <w:r w:rsidRPr="00D7107A">
              <w:t>The CHMP would include procedures and requirements for managing impacts and protecting Aboriginal heritage that would be implemented through the plans and associated management sub-plans described in the EMF.</w:t>
            </w:r>
          </w:p>
        </w:tc>
      </w:tr>
      <w:tr w:rsidR="00397857" w:rsidRPr="00D7107A" w14:paraId="4315975E" w14:textId="77777777" w:rsidTr="00A775DA">
        <w:tc>
          <w:tcPr>
            <w:tcW w:w="885" w:type="pct"/>
          </w:tcPr>
          <w:p w14:paraId="5410C322" w14:textId="77777777" w:rsidR="00397857" w:rsidRPr="00D7107A" w:rsidRDefault="00397857" w:rsidP="00397857">
            <w:pPr>
              <w:pStyle w:val="TableText"/>
              <w:rPr>
                <w:i/>
              </w:rPr>
            </w:pPr>
            <w:r w:rsidRPr="00D7107A">
              <w:rPr>
                <w:i/>
              </w:rPr>
              <w:t>Mineral Resources (Sustainable Development) Act 1990</w:t>
            </w:r>
          </w:p>
        </w:tc>
        <w:tc>
          <w:tcPr>
            <w:tcW w:w="842" w:type="pct"/>
          </w:tcPr>
          <w:p w14:paraId="221AD3AF" w14:textId="1BF93C4C" w:rsidR="00397857" w:rsidRPr="00D7107A" w:rsidRDefault="00397857" w:rsidP="00397857">
            <w:pPr>
              <w:pStyle w:val="TableText"/>
            </w:pPr>
            <w:r w:rsidRPr="00D7107A">
              <w:t xml:space="preserve">Quarry </w:t>
            </w:r>
            <w:r w:rsidR="00E8746A">
              <w:t>W</w:t>
            </w:r>
            <w:r w:rsidRPr="00D7107A">
              <w:t xml:space="preserve">ork </w:t>
            </w:r>
            <w:r w:rsidR="00E8746A">
              <w:t>P</w:t>
            </w:r>
            <w:r w:rsidRPr="00D7107A">
              <w:t>lan</w:t>
            </w:r>
          </w:p>
        </w:tc>
        <w:tc>
          <w:tcPr>
            <w:tcW w:w="1087" w:type="pct"/>
          </w:tcPr>
          <w:p w14:paraId="7A37A7D4" w14:textId="683E0D49" w:rsidR="00397857" w:rsidRPr="00D7107A" w:rsidRDefault="00397857" w:rsidP="00397857">
            <w:pPr>
              <w:pStyle w:val="TableText"/>
            </w:pPr>
            <w:r w:rsidRPr="00D7107A">
              <w:t xml:space="preserve">Earth Resources Regulation in Department of Jobs, Precincts and Regions </w:t>
            </w:r>
          </w:p>
        </w:tc>
        <w:tc>
          <w:tcPr>
            <w:tcW w:w="2187" w:type="pct"/>
          </w:tcPr>
          <w:p w14:paraId="442E6641" w14:textId="0D398505" w:rsidR="00397857" w:rsidRPr="00D7107A" w:rsidRDefault="00397857" w:rsidP="00397857">
            <w:pPr>
              <w:pStyle w:val="TableText"/>
            </w:pPr>
            <w:r w:rsidRPr="00D7107A">
              <w:t xml:space="preserve">The </w:t>
            </w:r>
            <w:r w:rsidR="002B4803">
              <w:t xml:space="preserve">final </w:t>
            </w:r>
            <w:r w:rsidR="00E8746A">
              <w:t>Q</w:t>
            </w:r>
            <w:r w:rsidR="00D8220D">
              <w:t xml:space="preserve">uarry </w:t>
            </w:r>
            <w:r w:rsidR="00E8746A">
              <w:t>W</w:t>
            </w:r>
            <w:r w:rsidRPr="00D7107A">
              <w:t xml:space="preserve">ork </w:t>
            </w:r>
            <w:r w:rsidR="00E8746A">
              <w:t>P</w:t>
            </w:r>
            <w:r w:rsidRPr="00D7107A">
              <w:t>lan would include details of how the quarry would be constructed, operated and decommissioned</w:t>
            </w:r>
            <w:r w:rsidR="002B4803">
              <w:t xml:space="preserve">, as endorsed by </w:t>
            </w:r>
            <w:r w:rsidR="002B4803" w:rsidRPr="00D7107A">
              <w:t>Earth Resources Regulation</w:t>
            </w:r>
            <w:r w:rsidRPr="00D7107A">
              <w:t xml:space="preserve">. It would be supported by a risk management plan and risk treatment plans setting out how potential impacts would be controlled. Measures specific to the </w:t>
            </w:r>
            <w:r w:rsidR="00E8746A">
              <w:t>Q</w:t>
            </w:r>
            <w:r w:rsidRPr="00D7107A">
              <w:t xml:space="preserve">uarry </w:t>
            </w:r>
            <w:r w:rsidR="00E8746A">
              <w:t>W</w:t>
            </w:r>
            <w:r w:rsidRPr="00D7107A">
              <w:t xml:space="preserve">ork </w:t>
            </w:r>
            <w:r w:rsidR="00E8746A">
              <w:t>P</w:t>
            </w:r>
            <w:r w:rsidRPr="00D7107A">
              <w:t>lan are components of the EMF.</w:t>
            </w:r>
          </w:p>
        </w:tc>
      </w:tr>
      <w:tr w:rsidR="00397857" w:rsidRPr="00D7107A" w14:paraId="36D05582" w14:textId="77777777" w:rsidTr="00FC7FE4">
        <w:tc>
          <w:tcPr>
            <w:tcW w:w="5000" w:type="pct"/>
            <w:gridSpan w:val="4"/>
            <w:shd w:val="clear" w:color="auto" w:fill="E6EFE1"/>
          </w:tcPr>
          <w:p w14:paraId="2E5CBD21" w14:textId="77777777" w:rsidR="00397857" w:rsidRPr="00D7107A" w:rsidRDefault="00397857" w:rsidP="00397857">
            <w:pPr>
              <w:pStyle w:val="TableText"/>
              <w:rPr>
                <w:b/>
              </w:rPr>
            </w:pPr>
            <w:r w:rsidRPr="00D7107A">
              <w:rPr>
                <w:b/>
                <w:i/>
              </w:rPr>
              <w:t>Secondary approvals</w:t>
            </w:r>
          </w:p>
        </w:tc>
      </w:tr>
      <w:tr w:rsidR="00397857" w:rsidRPr="00D7107A" w14:paraId="2588F845" w14:textId="77777777" w:rsidTr="00A775DA">
        <w:tc>
          <w:tcPr>
            <w:tcW w:w="885" w:type="pct"/>
            <w:vMerge w:val="restart"/>
          </w:tcPr>
          <w:p w14:paraId="716D30BE" w14:textId="0239C3D5" w:rsidR="00397857" w:rsidRPr="00D7107A" w:rsidRDefault="00397857" w:rsidP="00397857">
            <w:pPr>
              <w:pStyle w:val="TableText"/>
              <w:rPr>
                <w:i/>
              </w:rPr>
            </w:pPr>
            <w:r w:rsidRPr="00D7107A">
              <w:rPr>
                <w:i/>
              </w:rPr>
              <w:t>Water Act 1989</w:t>
            </w:r>
            <w:r>
              <w:rPr>
                <w:i/>
              </w:rPr>
              <w:t xml:space="preserve"> </w:t>
            </w:r>
          </w:p>
        </w:tc>
        <w:tc>
          <w:tcPr>
            <w:tcW w:w="842" w:type="pct"/>
          </w:tcPr>
          <w:p w14:paraId="04F3E509" w14:textId="77777777" w:rsidR="00397857" w:rsidRPr="00D7107A" w:rsidRDefault="00397857" w:rsidP="00397857">
            <w:pPr>
              <w:pStyle w:val="TableText"/>
            </w:pPr>
            <w:r w:rsidRPr="00D7107A">
              <w:t>Works on a waterway license</w:t>
            </w:r>
          </w:p>
        </w:tc>
        <w:tc>
          <w:tcPr>
            <w:tcW w:w="1087" w:type="pct"/>
          </w:tcPr>
          <w:p w14:paraId="1BA62F10" w14:textId="77777777" w:rsidR="00397857" w:rsidRPr="00D7107A" w:rsidRDefault="00397857" w:rsidP="00397857">
            <w:pPr>
              <w:pStyle w:val="TableText"/>
            </w:pPr>
            <w:r w:rsidRPr="00D7107A">
              <w:t>Glenelg Hopkins Catchment Management Authority</w:t>
            </w:r>
          </w:p>
        </w:tc>
        <w:tc>
          <w:tcPr>
            <w:tcW w:w="2187" w:type="pct"/>
          </w:tcPr>
          <w:p w14:paraId="51683368" w14:textId="77777777" w:rsidR="00397857" w:rsidRPr="00D7107A" w:rsidRDefault="00397857" w:rsidP="00397857">
            <w:pPr>
              <w:pStyle w:val="TableText"/>
            </w:pPr>
            <w:r w:rsidRPr="00D7107A">
              <w:t xml:space="preserve">Procedures and measures for limiting impacts to waterways that would be implemented through the plans and associated management sub-plans described in the EMF. </w:t>
            </w:r>
          </w:p>
        </w:tc>
      </w:tr>
      <w:tr w:rsidR="00397857" w:rsidRPr="00D7107A" w14:paraId="6A20E125" w14:textId="77777777" w:rsidTr="00A775DA">
        <w:tc>
          <w:tcPr>
            <w:tcW w:w="885" w:type="pct"/>
            <w:vMerge/>
          </w:tcPr>
          <w:p w14:paraId="12A94097" w14:textId="77777777" w:rsidR="00397857" w:rsidRPr="00D7107A" w:rsidRDefault="00397857" w:rsidP="00397857">
            <w:pPr>
              <w:pStyle w:val="TableText"/>
              <w:rPr>
                <w:i/>
              </w:rPr>
            </w:pPr>
          </w:p>
        </w:tc>
        <w:tc>
          <w:tcPr>
            <w:tcW w:w="842" w:type="pct"/>
          </w:tcPr>
          <w:p w14:paraId="021FAC50" w14:textId="77777777" w:rsidR="00397857" w:rsidRPr="00D7107A" w:rsidRDefault="00397857" w:rsidP="00397857">
            <w:pPr>
              <w:pStyle w:val="TableText"/>
            </w:pPr>
            <w:r w:rsidRPr="00D7107A">
              <w:t>Take and use licence</w:t>
            </w:r>
          </w:p>
        </w:tc>
        <w:tc>
          <w:tcPr>
            <w:tcW w:w="1087" w:type="pct"/>
          </w:tcPr>
          <w:p w14:paraId="1422292B" w14:textId="77777777" w:rsidR="00397857" w:rsidRPr="00D7107A" w:rsidRDefault="00397857" w:rsidP="00397857">
            <w:pPr>
              <w:pStyle w:val="TableText"/>
            </w:pPr>
            <w:r w:rsidRPr="00D7107A">
              <w:t>Southern Rural Water</w:t>
            </w:r>
          </w:p>
        </w:tc>
        <w:tc>
          <w:tcPr>
            <w:tcW w:w="2187" w:type="pct"/>
          </w:tcPr>
          <w:p w14:paraId="7D9221A0" w14:textId="299EEFCE" w:rsidR="00397857" w:rsidRPr="00D7107A" w:rsidRDefault="00397857" w:rsidP="00397857">
            <w:pPr>
              <w:pStyle w:val="TableText"/>
            </w:pPr>
            <w:r w:rsidRPr="00D7107A">
              <w:t xml:space="preserve">Procedures and measures relating </w:t>
            </w:r>
            <w:r w:rsidR="00D8220D">
              <w:t xml:space="preserve">to </w:t>
            </w:r>
            <w:r w:rsidRPr="00D7107A">
              <w:t>groundwater extraction from the quarry would be detailed in plans and associated management sub-plans, which would be amended to include any specific conditions.</w:t>
            </w:r>
          </w:p>
        </w:tc>
      </w:tr>
      <w:tr w:rsidR="00397857" w:rsidRPr="00D7107A" w14:paraId="12FE18D6" w14:textId="77777777" w:rsidTr="00A775DA">
        <w:tc>
          <w:tcPr>
            <w:tcW w:w="885" w:type="pct"/>
          </w:tcPr>
          <w:p w14:paraId="0A6A498C" w14:textId="77777777" w:rsidR="00397857" w:rsidRPr="00D7107A" w:rsidRDefault="00397857" w:rsidP="00397857">
            <w:pPr>
              <w:pStyle w:val="TableText"/>
              <w:rPr>
                <w:i/>
              </w:rPr>
            </w:pPr>
            <w:r w:rsidRPr="00D7107A">
              <w:rPr>
                <w:i/>
              </w:rPr>
              <w:t>Road Management Act 2004</w:t>
            </w:r>
          </w:p>
        </w:tc>
        <w:tc>
          <w:tcPr>
            <w:tcW w:w="842" w:type="pct"/>
          </w:tcPr>
          <w:p w14:paraId="2A943210" w14:textId="77777777" w:rsidR="00397857" w:rsidRPr="00D7107A" w:rsidRDefault="00397857" w:rsidP="00397857">
            <w:pPr>
              <w:pStyle w:val="TableText"/>
            </w:pPr>
            <w:r w:rsidRPr="00D7107A">
              <w:t>Consents for intersection and road upgrades</w:t>
            </w:r>
          </w:p>
        </w:tc>
        <w:tc>
          <w:tcPr>
            <w:tcW w:w="1087" w:type="pct"/>
          </w:tcPr>
          <w:p w14:paraId="12515E1E" w14:textId="3E531727" w:rsidR="00397857" w:rsidRPr="00D7107A" w:rsidRDefault="00397857" w:rsidP="00397857">
            <w:pPr>
              <w:pStyle w:val="TableText"/>
            </w:pPr>
            <w:r w:rsidRPr="00D7107A">
              <w:t>Regional Roads Victoria/Moyne Shire Council</w:t>
            </w:r>
          </w:p>
        </w:tc>
        <w:tc>
          <w:tcPr>
            <w:tcW w:w="2187" w:type="pct"/>
          </w:tcPr>
          <w:p w14:paraId="56945141" w14:textId="59651028" w:rsidR="00397857" w:rsidRPr="00D7107A" w:rsidRDefault="00397857" w:rsidP="00397857">
            <w:pPr>
              <w:pStyle w:val="TableText"/>
            </w:pPr>
            <w:r w:rsidRPr="00D7107A">
              <w:t xml:space="preserve">Specific requests including designs for endorsement sit outside the EMF. </w:t>
            </w:r>
          </w:p>
        </w:tc>
      </w:tr>
      <w:tr w:rsidR="00397857" w:rsidRPr="00D7107A" w14:paraId="654A5AF2" w14:textId="77777777" w:rsidTr="00A775DA">
        <w:tc>
          <w:tcPr>
            <w:tcW w:w="885" w:type="pct"/>
          </w:tcPr>
          <w:p w14:paraId="390B84A3" w14:textId="77777777" w:rsidR="00397857" w:rsidRPr="00D7107A" w:rsidRDefault="00397857" w:rsidP="00397857">
            <w:pPr>
              <w:pStyle w:val="TableText"/>
              <w:rPr>
                <w:i/>
              </w:rPr>
            </w:pPr>
            <w:r w:rsidRPr="00D7107A">
              <w:rPr>
                <w:i/>
              </w:rPr>
              <w:t xml:space="preserve">Flora and Fauna Guarantee Act 1988 </w:t>
            </w:r>
          </w:p>
        </w:tc>
        <w:tc>
          <w:tcPr>
            <w:tcW w:w="842" w:type="pct"/>
          </w:tcPr>
          <w:p w14:paraId="09EC3237" w14:textId="77777777" w:rsidR="00397857" w:rsidRPr="00D7107A" w:rsidRDefault="00397857" w:rsidP="00397857">
            <w:pPr>
              <w:pStyle w:val="TableText"/>
            </w:pPr>
            <w:r w:rsidRPr="00D7107A">
              <w:t xml:space="preserve">Permit to take FFG listed flora </w:t>
            </w:r>
          </w:p>
        </w:tc>
        <w:tc>
          <w:tcPr>
            <w:tcW w:w="1087" w:type="pct"/>
          </w:tcPr>
          <w:p w14:paraId="454F2905" w14:textId="77777777" w:rsidR="00397857" w:rsidRPr="00D7107A" w:rsidRDefault="00397857" w:rsidP="00397857">
            <w:pPr>
              <w:pStyle w:val="TableText"/>
            </w:pPr>
            <w:r w:rsidRPr="00D7107A">
              <w:t>Department of Environment, Land, Water and Planning (DELWP)</w:t>
            </w:r>
          </w:p>
        </w:tc>
        <w:tc>
          <w:tcPr>
            <w:tcW w:w="2187" w:type="pct"/>
          </w:tcPr>
          <w:p w14:paraId="08E571C5" w14:textId="092B1703" w:rsidR="00397857" w:rsidRPr="00D7107A" w:rsidRDefault="00397857" w:rsidP="00397857">
            <w:pPr>
              <w:pStyle w:val="TableText"/>
            </w:pPr>
            <w:r w:rsidRPr="00D7107A">
              <w:t xml:space="preserve">Procedures and measures relating to protected species </w:t>
            </w:r>
            <w:r w:rsidR="00D8220D">
              <w:t>listed under</w:t>
            </w:r>
            <w:r w:rsidR="00D8220D" w:rsidRPr="00D7107A">
              <w:t xml:space="preserve"> </w:t>
            </w:r>
            <w:r w:rsidRPr="00D7107A">
              <w:t xml:space="preserve">the FFG Act would be detailed in plans and associated management sub-plans, which would be amended to include any specific conditions with the FFG Act permit. </w:t>
            </w:r>
          </w:p>
        </w:tc>
      </w:tr>
      <w:tr w:rsidR="00397857" w:rsidRPr="00D7107A" w14:paraId="7C7BCC15" w14:textId="77777777" w:rsidTr="00A775DA">
        <w:trPr>
          <w:cantSplit/>
        </w:trPr>
        <w:tc>
          <w:tcPr>
            <w:tcW w:w="885" w:type="pct"/>
          </w:tcPr>
          <w:p w14:paraId="708FE195" w14:textId="77777777" w:rsidR="00397857" w:rsidRPr="00D7107A" w:rsidRDefault="00397857" w:rsidP="00397857">
            <w:pPr>
              <w:pStyle w:val="TableText"/>
              <w:rPr>
                <w:i/>
              </w:rPr>
            </w:pPr>
            <w:r w:rsidRPr="00D7107A">
              <w:rPr>
                <w:i/>
              </w:rPr>
              <w:t>Wildlife Act 1975</w:t>
            </w:r>
          </w:p>
        </w:tc>
        <w:tc>
          <w:tcPr>
            <w:tcW w:w="842" w:type="pct"/>
          </w:tcPr>
          <w:p w14:paraId="5ACE1201" w14:textId="77777777" w:rsidR="00397857" w:rsidRPr="00D7107A" w:rsidRDefault="00397857" w:rsidP="00397857">
            <w:pPr>
              <w:pStyle w:val="TableText"/>
            </w:pPr>
            <w:r w:rsidRPr="00D7107A">
              <w:t>Permit required to remove fauna, salvage capture or relocate fauna</w:t>
            </w:r>
          </w:p>
        </w:tc>
        <w:tc>
          <w:tcPr>
            <w:tcW w:w="1087" w:type="pct"/>
          </w:tcPr>
          <w:p w14:paraId="2E959A63" w14:textId="77777777" w:rsidR="00397857" w:rsidRPr="00D7107A" w:rsidRDefault="00397857" w:rsidP="00397857">
            <w:pPr>
              <w:pStyle w:val="TableText"/>
            </w:pPr>
            <w:r w:rsidRPr="00D7107A">
              <w:t>Department of Environment, Land, Water and Planning (DELWP)</w:t>
            </w:r>
          </w:p>
        </w:tc>
        <w:tc>
          <w:tcPr>
            <w:tcW w:w="2187" w:type="pct"/>
          </w:tcPr>
          <w:p w14:paraId="3C50A2A1" w14:textId="77777777" w:rsidR="00397857" w:rsidRPr="00D7107A" w:rsidRDefault="00397857" w:rsidP="00397857">
            <w:pPr>
              <w:pStyle w:val="TableText"/>
            </w:pPr>
            <w:r w:rsidRPr="00D7107A">
              <w:t>Fauna management sub-plans detailed in the EMF would be amended to include any specific conditions with permit to take wildlife.</w:t>
            </w:r>
          </w:p>
        </w:tc>
      </w:tr>
    </w:tbl>
    <w:p w14:paraId="23E236C2" w14:textId="1AB5DC20" w:rsidR="00397857" w:rsidRPr="00D7107A" w:rsidRDefault="00397857" w:rsidP="00397857">
      <w:pPr>
        <w:pStyle w:val="BodyText"/>
      </w:pPr>
      <w:r w:rsidRPr="00D7107A">
        <w:t xml:space="preserve">The Victorian Parliament recently passed the </w:t>
      </w:r>
      <w:r w:rsidRPr="00D7107A">
        <w:rPr>
          <w:i/>
        </w:rPr>
        <w:t>Environment Protection Act 201</w:t>
      </w:r>
      <w:r w:rsidR="00A4290B">
        <w:rPr>
          <w:i/>
        </w:rPr>
        <w:t>7</w:t>
      </w:r>
      <w:r w:rsidRPr="00D7107A">
        <w:t xml:space="preserve">, which came into force from July 2021. The new act includes a general environmental duty that applies to all Victorians. The </w:t>
      </w:r>
      <w:r w:rsidR="00CB3865" w:rsidRPr="00D7107A">
        <w:t>general environmental duty</w:t>
      </w:r>
      <w:r w:rsidRPr="00D7107A">
        <w:t xml:space="preserve"> requires that the proponent understand the risks from the project to human health and the environment</w:t>
      </w:r>
      <w:r w:rsidR="007C3C86">
        <w:t>,</w:t>
      </w:r>
      <w:r w:rsidRPr="00D7107A">
        <w:t xml:space="preserve"> and take reasonably practicable steps to eliminate or minimise these risks. The approach described in this EMF has been prepared to address this requirement.</w:t>
      </w:r>
    </w:p>
    <w:p w14:paraId="385B6F7E" w14:textId="77777777" w:rsidR="00397857" w:rsidRPr="00FC7FE4" w:rsidRDefault="00397857" w:rsidP="00FC7FE4">
      <w:pPr>
        <w:pStyle w:val="Heading2"/>
      </w:pPr>
      <w:bookmarkStart w:id="52" w:name="_Toc87023755"/>
      <w:bookmarkStart w:id="53" w:name="_Toc105159962"/>
      <w:r w:rsidRPr="00FC7FE4">
        <w:t>Governance</w:t>
      </w:r>
      <w:bookmarkEnd w:id="52"/>
      <w:bookmarkEnd w:id="53"/>
      <w:r w:rsidRPr="00FC7FE4">
        <w:t xml:space="preserve"> </w:t>
      </w:r>
    </w:p>
    <w:p w14:paraId="26D10566" w14:textId="77777777" w:rsidR="00397857" w:rsidRPr="00FC7FE4" w:rsidRDefault="00397857" w:rsidP="00FC7FE4">
      <w:pPr>
        <w:pStyle w:val="Heading3"/>
      </w:pPr>
      <w:bookmarkStart w:id="54" w:name="_Toc87023756"/>
      <w:bookmarkStart w:id="55" w:name="_Toc105159963"/>
      <w:r w:rsidRPr="00FC7FE4">
        <w:t>Governance framework</w:t>
      </w:r>
      <w:bookmarkEnd w:id="54"/>
      <w:bookmarkEnd w:id="55"/>
    </w:p>
    <w:p w14:paraId="3BC8DE9D" w14:textId="79EF8AD3" w:rsidR="00397857" w:rsidRPr="00D7107A" w:rsidRDefault="00397857" w:rsidP="00397857">
      <w:pPr>
        <w:pStyle w:val="BodyText"/>
      </w:pPr>
      <w:r w:rsidRPr="00D7107A">
        <w:t xml:space="preserve">Willatook Wind Farm Pty Ltd (the proponent) is responsible for preparation of the EES and obtaining key statutory approvals for the project, namely the planning permit, approved </w:t>
      </w:r>
      <w:r w:rsidR="007C3C86">
        <w:t>CHMP</w:t>
      </w:r>
      <w:r w:rsidRPr="00D7107A">
        <w:t xml:space="preserve"> and approval under the Commonwealth </w:t>
      </w:r>
      <w:r w:rsidR="00CB3865">
        <w:rPr>
          <w:iCs/>
        </w:rPr>
        <w:t>EPBC Act</w:t>
      </w:r>
      <w:r w:rsidRPr="00D7107A">
        <w:t xml:space="preserve">. Wind Prospect is the current owner of Willatook Wind Farm Pty Ltd, however ownership would transfer to another entity after these key statutory approvals are achieved. The new owner of Willatook Wind Farm Pty Ltd will be </w:t>
      </w:r>
      <w:r w:rsidR="008B3C9D">
        <w:t>required to comply with the</w:t>
      </w:r>
      <w:r w:rsidRPr="00D7107A">
        <w:t xml:space="preserve"> EMF and with the approval conditions of the project.</w:t>
      </w:r>
    </w:p>
    <w:p w14:paraId="24110E98" w14:textId="5BCCB7FD" w:rsidR="00397857" w:rsidRPr="00D7107A" w:rsidRDefault="00397857" w:rsidP="00397857">
      <w:pPr>
        <w:pStyle w:val="BodyText"/>
      </w:pPr>
      <w:r w:rsidRPr="00D7107A">
        <w:t xml:space="preserve">The proponent would be responsible for preparation of the final EMF and EMMs following the EES assessment and approvals </w:t>
      </w:r>
      <w:r w:rsidRPr="00A457F8">
        <w:t>processes and obtaining planning approval from the Minister for Planning. The EMF (including EMMs) will need to be prepared to the satisfaction of the Minister prior to the commencement of any works, excluding an</w:t>
      </w:r>
      <w:r w:rsidRPr="00D7107A">
        <w:t xml:space="preserve">y preparatory works that might be permitted by the planning permit. </w:t>
      </w:r>
    </w:p>
    <w:p w14:paraId="3D69A3BA" w14:textId="7B7B807B" w:rsidR="00397857" w:rsidRPr="00D7107A" w:rsidRDefault="00397857" w:rsidP="00397857">
      <w:pPr>
        <w:pStyle w:val="BodyText"/>
      </w:pPr>
      <w:r w:rsidRPr="00D7107A">
        <w:t>Subject to approval determinations, the proponent would introduce the project to the market for construction and operation. Secondary approvals, design, construction, operation and decommissioning phase management measures would be the responsibility of the proponent and their contractors.</w:t>
      </w:r>
      <w:r>
        <w:t xml:space="preserve"> </w:t>
      </w:r>
    </w:p>
    <w:p w14:paraId="18BAED7D" w14:textId="388EFEBF" w:rsidR="00397857" w:rsidRPr="00D7107A" w:rsidRDefault="00397857" w:rsidP="00397857">
      <w:pPr>
        <w:pStyle w:val="BodyText"/>
      </w:pPr>
      <w:r w:rsidRPr="00D7107A">
        <w:t xml:space="preserve">While details have not yet been confirmed at this stage it is anticipated that the proponent would enter a design and construct contract(s) with a contractor that has an existing environmental management system (accredited to AS/NZS ISO 14001). The contractor (or contractors) appointed would be required to prepare a Construction Environmental Management Plan consistent with this EMF and their own </w:t>
      </w:r>
      <w:r w:rsidR="00CB3865" w:rsidRPr="00CB3865">
        <w:t>environmental management system</w:t>
      </w:r>
      <w:r w:rsidRPr="00D7107A">
        <w:t xml:space="preserve">. The </w:t>
      </w:r>
      <w:r w:rsidR="00256ACF" w:rsidRPr="00D7107A">
        <w:t>Construction Environmental Management Plan</w:t>
      </w:r>
      <w:r w:rsidR="00256ACF" w:rsidRPr="00D7107A" w:rsidDel="00256ACF">
        <w:t xml:space="preserve"> </w:t>
      </w:r>
      <w:r w:rsidRPr="00D7107A">
        <w:t>would be a detailed project and site-specific plan governing the environmental management of all project activities (including site establishment, civil earthworks, building of structures and reinstatement) in a manner that meets, as a minimum, the requirements of all relevant environmental laws, approvals, approval conditions, this EMF and the EMMs. The proponent would be responsible for ensuring the requirements of these approvals are implemented.</w:t>
      </w:r>
    </w:p>
    <w:p w14:paraId="5635A2DC" w14:textId="321145DA" w:rsidR="00397857" w:rsidRPr="00D7107A" w:rsidRDefault="00397857" w:rsidP="00397857">
      <w:pPr>
        <w:pStyle w:val="BodyText"/>
      </w:pPr>
      <w:r w:rsidRPr="00D7107A">
        <w:t xml:space="preserve">The </w:t>
      </w:r>
      <w:r w:rsidR="00256ACF" w:rsidRPr="00256ACF">
        <w:t>Construction Environmental Management Plan</w:t>
      </w:r>
      <w:r w:rsidR="00256ACF" w:rsidRPr="00256ACF" w:rsidDel="00256ACF">
        <w:t xml:space="preserve"> </w:t>
      </w:r>
      <w:r w:rsidRPr="00D7107A">
        <w:t xml:space="preserve">and sub-plans prepared by the contractor(s) would </w:t>
      </w:r>
      <w:r w:rsidR="00CB3865">
        <w:t xml:space="preserve">be </w:t>
      </w:r>
      <w:r w:rsidRPr="00D7107A">
        <w:t xml:space="preserve">audited for compliance with the EMF and approval conditions by an </w:t>
      </w:r>
      <w:r w:rsidR="006F3501">
        <w:t>I</w:t>
      </w:r>
      <w:r w:rsidRPr="00D7107A">
        <w:t xml:space="preserve">ndependent </w:t>
      </w:r>
      <w:r w:rsidR="006F3501">
        <w:t>E</w:t>
      </w:r>
      <w:r w:rsidRPr="00D7107A">
        <w:t xml:space="preserve">nvironmental </w:t>
      </w:r>
      <w:r w:rsidR="006F3501">
        <w:t>A</w:t>
      </w:r>
      <w:r w:rsidRPr="00D7107A">
        <w:t>uditor</w:t>
      </w:r>
      <w:r w:rsidR="008D7BEC">
        <w:t>, with the</w:t>
      </w:r>
      <w:r w:rsidR="008D7BEC" w:rsidRPr="008D7BEC">
        <w:t xml:space="preserve"> effectiveness of the measures</w:t>
      </w:r>
      <w:r w:rsidR="008D7BEC">
        <w:t xml:space="preserve"> also assessed</w:t>
      </w:r>
      <w:r w:rsidRPr="00D7107A">
        <w:t xml:space="preserve">. </w:t>
      </w:r>
      <w:r w:rsidR="002B2F02">
        <w:t xml:space="preserve">Any deficiencies in the effectiveness of measures within any plan would be addressed and the plan updated. </w:t>
      </w:r>
      <w:r w:rsidRPr="00D7107A">
        <w:t>Sub-plans would include the various environmental management plans described within this EMF. Regular compliance reports would be submitted to the proponent and relevant statutory authorities (as appropriate).</w:t>
      </w:r>
      <w:r w:rsidR="008B3C9D">
        <w:t xml:space="preserve"> A summary of these audit reports will be published publicly on a </w:t>
      </w:r>
      <w:r w:rsidR="008B3C9D" w:rsidRPr="008B3C9D">
        <w:t xml:space="preserve">6-monthly </w:t>
      </w:r>
      <w:r w:rsidR="008B3C9D">
        <w:t xml:space="preserve">basis. </w:t>
      </w:r>
    </w:p>
    <w:p w14:paraId="62B5B294" w14:textId="4C41D5AC" w:rsidR="00397857" w:rsidRPr="00D7107A" w:rsidRDefault="00397857" w:rsidP="00397857">
      <w:pPr>
        <w:pStyle w:val="BodyText"/>
      </w:pPr>
      <w:r w:rsidRPr="00D7107A">
        <w:t xml:space="preserve">An Operations Environmental Management Plan </w:t>
      </w:r>
      <w:r w:rsidR="008B3C9D">
        <w:t>would</w:t>
      </w:r>
      <w:r w:rsidR="008B3C9D" w:rsidRPr="00D7107A">
        <w:t xml:space="preserve"> </w:t>
      </w:r>
      <w:r w:rsidRPr="00D7107A">
        <w:t>apply to the operational phase of the project. A</w:t>
      </w:r>
      <w:r w:rsidR="00A775DA">
        <w:t> </w:t>
      </w:r>
      <w:r w:rsidRPr="00D7107A">
        <w:t>Decommissioning Plan would apply to the decommissioning phase of the project. These would be prepared by the proponent and approved by the responsible authority before the start of construction</w:t>
      </w:r>
      <w:r w:rsidR="00332855">
        <w:t>, operations</w:t>
      </w:r>
      <w:r w:rsidRPr="00D7107A">
        <w:t xml:space="preserve"> and decommissioning activities, respectively. The key inclusions for these plans are outlined in Section </w:t>
      </w:r>
      <w:r w:rsidRPr="00D7107A">
        <w:fldChar w:fldCharType="begin"/>
      </w:r>
      <w:r w:rsidRPr="00D7107A">
        <w:instrText xml:space="preserve"> REF _Ref87005008 \r \h </w:instrText>
      </w:r>
      <w:r w:rsidRPr="00D7107A">
        <w:fldChar w:fldCharType="separate"/>
      </w:r>
      <w:r w:rsidR="00694153">
        <w:t>26.8</w:t>
      </w:r>
      <w:r w:rsidRPr="00D7107A">
        <w:fldChar w:fldCharType="end"/>
      </w:r>
      <w:r w:rsidRPr="00D7107A">
        <w:t>.</w:t>
      </w:r>
    </w:p>
    <w:p w14:paraId="62F24CB9" w14:textId="139994E5" w:rsidR="00397857" w:rsidRDefault="00397857" w:rsidP="00A775DA">
      <w:pPr>
        <w:pStyle w:val="BodyText"/>
      </w:pPr>
      <w:r w:rsidRPr="00D7107A">
        <w:fldChar w:fldCharType="begin"/>
      </w:r>
      <w:r w:rsidRPr="00D7107A">
        <w:instrText xml:space="preserve"> REF _Ref85811126 \h </w:instrText>
      </w:r>
      <w:r w:rsidRPr="00D7107A">
        <w:fldChar w:fldCharType="separate"/>
      </w:r>
      <w:r w:rsidR="00694153" w:rsidRPr="004E6497">
        <w:t xml:space="preserve">Figure </w:t>
      </w:r>
      <w:r w:rsidR="00694153">
        <w:rPr>
          <w:noProof/>
        </w:rPr>
        <w:t>26</w:t>
      </w:r>
      <w:r w:rsidR="00694153">
        <w:t>.</w:t>
      </w:r>
      <w:r w:rsidR="00694153">
        <w:rPr>
          <w:noProof/>
        </w:rPr>
        <w:t>1</w:t>
      </w:r>
      <w:r w:rsidRPr="00D7107A">
        <w:fldChar w:fldCharType="end"/>
      </w:r>
      <w:r w:rsidRPr="00D7107A">
        <w:t xml:space="preserve"> below illustrates the governance framework that would be required to conform to the EMF, which includes audits by an accredited </w:t>
      </w:r>
      <w:r w:rsidR="006F3501">
        <w:t>I</w:t>
      </w:r>
      <w:r w:rsidRPr="00D7107A">
        <w:t xml:space="preserve">ndependent </w:t>
      </w:r>
      <w:r w:rsidR="006F3501">
        <w:t>E</w:t>
      </w:r>
      <w:r w:rsidRPr="00D7107A">
        <w:t xml:space="preserve">nvironmental </w:t>
      </w:r>
      <w:r w:rsidR="006F3501">
        <w:t>A</w:t>
      </w:r>
      <w:r w:rsidRPr="00D7107A">
        <w:t>uditor.</w:t>
      </w:r>
    </w:p>
    <w:p w14:paraId="157E2A2F" w14:textId="64ADD63E" w:rsidR="00397857" w:rsidRDefault="00277203" w:rsidP="00FC7FE4">
      <w:pPr>
        <w:pStyle w:val="Image"/>
      </w:pPr>
      <w:r>
        <w:rPr>
          <w:noProof/>
        </w:rPr>
        <w:drawing>
          <wp:inline distT="0" distB="0" distL="0" distR="0" wp14:anchorId="7C010593" wp14:editId="473E7B4F">
            <wp:extent cx="5760000" cy="4969114"/>
            <wp:effectExtent l="0" t="0" r="0" b="3175"/>
            <wp:docPr id="8" name="Picture 8" descr="Graphic showing govern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 showing governance framework"/>
                    <pic:cNvPicPr/>
                  </pic:nvPicPr>
                  <pic:blipFill>
                    <a:blip r:embed="rId11"/>
                    <a:stretch>
                      <a:fillRect/>
                    </a:stretch>
                  </pic:blipFill>
                  <pic:spPr>
                    <a:xfrm>
                      <a:off x="0" y="0"/>
                      <a:ext cx="5760000" cy="4969114"/>
                    </a:xfrm>
                    <a:prstGeom prst="rect">
                      <a:avLst/>
                    </a:prstGeom>
                  </pic:spPr>
                </pic:pic>
              </a:graphicData>
            </a:graphic>
          </wp:inline>
        </w:drawing>
      </w:r>
    </w:p>
    <w:p w14:paraId="3A3894B6" w14:textId="6CB40C29" w:rsidR="00397857" w:rsidRDefault="00397857" w:rsidP="00FC7FE4">
      <w:pPr>
        <w:pStyle w:val="Caption"/>
      </w:pPr>
      <w:bookmarkStart w:id="56" w:name="_Ref85811126"/>
      <w:bookmarkStart w:id="57" w:name="_Toc87023771"/>
      <w:bookmarkStart w:id="58" w:name="_Toc105159988"/>
      <w:r w:rsidRPr="004E6497">
        <w:t xml:space="preserve">Figure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t>.</w:t>
      </w:r>
      <w:r w:rsidR="00694153">
        <w:fldChar w:fldCharType="begin"/>
      </w:r>
      <w:r w:rsidR="00694153">
        <w:instrText xml:space="preserve"> SEQ Figure \* ARABIC \s 1 </w:instrText>
      </w:r>
      <w:r w:rsidR="00694153">
        <w:fldChar w:fldCharType="separate"/>
      </w:r>
      <w:r w:rsidR="00694153">
        <w:rPr>
          <w:noProof/>
        </w:rPr>
        <w:t>1</w:t>
      </w:r>
      <w:r w:rsidR="00694153">
        <w:rPr>
          <w:noProof/>
        </w:rPr>
        <w:fldChar w:fldCharType="end"/>
      </w:r>
      <w:bookmarkEnd w:id="56"/>
      <w:r w:rsidR="00FC7FE4">
        <w:tab/>
      </w:r>
      <w:r w:rsidRPr="004E6497">
        <w:t>Governance framework</w:t>
      </w:r>
      <w:bookmarkEnd w:id="57"/>
      <w:bookmarkEnd w:id="58"/>
    </w:p>
    <w:p w14:paraId="5003B954" w14:textId="77777777" w:rsidR="00397857" w:rsidRPr="00FC7FE4" w:rsidRDefault="00397857" w:rsidP="00FC7FE4">
      <w:pPr>
        <w:pStyle w:val="Heading3"/>
      </w:pPr>
      <w:bookmarkStart w:id="59" w:name="_Toc87023757"/>
      <w:bookmarkStart w:id="60" w:name="_Toc105159964"/>
      <w:r w:rsidRPr="00FC7FE4">
        <w:t>Roles and responsibilities</w:t>
      </w:r>
      <w:bookmarkEnd w:id="59"/>
      <w:bookmarkEnd w:id="60"/>
    </w:p>
    <w:p w14:paraId="39E9A295" w14:textId="77777777" w:rsidR="00397857" w:rsidRPr="001769C6" w:rsidRDefault="00397857" w:rsidP="00397857">
      <w:pPr>
        <w:pStyle w:val="BodyText"/>
      </w:pPr>
      <w:r w:rsidRPr="001769C6">
        <w:t xml:space="preserve">The proponent will be responsible for overseeing and engaging contractors and consultants across the life of the project. This will include obtaining secondary approvals, detailed design, procurement, construction, commissioning and decommissioning of the wind farm. </w:t>
      </w:r>
    </w:p>
    <w:p w14:paraId="530F0A84" w14:textId="77777777" w:rsidR="00397857" w:rsidRPr="001769C6" w:rsidRDefault="00397857" w:rsidP="00397857">
      <w:pPr>
        <w:pStyle w:val="BodyText"/>
      </w:pPr>
      <w:r w:rsidRPr="001769C6">
        <w:t>The proponent is responsible for the ongoing consultation and engagement activities for the project throughout the entire project lifecycle.</w:t>
      </w:r>
    </w:p>
    <w:p w14:paraId="0313425F" w14:textId="299CF09B" w:rsidR="00397857" w:rsidRPr="001769C6" w:rsidRDefault="00397857" w:rsidP="00397857">
      <w:pPr>
        <w:pStyle w:val="BodyText"/>
      </w:pPr>
      <w:r w:rsidRPr="001769C6">
        <w:fldChar w:fldCharType="begin"/>
      </w:r>
      <w:r w:rsidRPr="001769C6">
        <w:instrText xml:space="preserve"> REF _Ref76567266 \h </w:instrText>
      </w:r>
      <w:r w:rsidRPr="001769C6">
        <w:fldChar w:fldCharType="separate"/>
      </w:r>
      <w:r w:rsidR="00694153" w:rsidRPr="00FC7FE4">
        <w:t xml:space="preserve">Table </w:t>
      </w:r>
      <w:r w:rsidR="00694153">
        <w:rPr>
          <w:noProof/>
        </w:rPr>
        <w:t>26</w:t>
      </w:r>
      <w:r w:rsidR="00694153">
        <w:t>.</w:t>
      </w:r>
      <w:r w:rsidR="00694153">
        <w:rPr>
          <w:noProof/>
        </w:rPr>
        <w:t>2</w:t>
      </w:r>
      <w:r w:rsidRPr="001769C6">
        <w:fldChar w:fldCharType="end"/>
      </w:r>
      <w:r w:rsidRPr="001769C6">
        <w:t xml:space="preserve"> outlines the key roles and responsibilities relevant to environmental management of the project.</w:t>
      </w:r>
    </w:p>
    <w:p w14:paraId="14E5F6E1" w14:textId="37BC1120" w:rsidR="00397857" w:rsidRPr="00FC7FE4" w:rsidRDefault="00397857" w:rsidP="00FC7FE4">
      <w:pPr>
        <w:pStyle w:val="Caption"/>
      </w:pPr>
      <w:bookmarkStart w:id="61" w:name="_Ref76567266"/>
      <w:bookmarkStart w:id="62" w:name="_Toc87023774"/>
      <w:bookmarkStart w:id="63" w:name="_Toc105159985"/>
      <w:r w:rsidRPr="00FC7FE4">
        <w:t xml:space="preserve">Table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t>.</w:t>
      </w:r>
      <w:r w:rsidR="00694153">
        <w:fldChar w:fldCharType="begin"/>
      </w:r>
      <w:r w:rsidR="00694153">
        <w:instrText xml:space="preserve"> SEQ Table \* ARABIC \s 1 </w:instrText>
      </w:r>
      <w:r w:rsidR="00694153">
        <w:fldChar w:fldCharType="separate"/>
      </w:r>
      <w:r w:rsidR="00694153">
        <w:rPr>
          <w:noProof/>
        </w:rPr>
        <w:t>2</w:t>
      </w:r>
      <w:r w:rsidR="00694153">
        <w:rPr>
          <w:noProof/>
        </w:rPr>
        <w:fldChar w:fldCharType="end"/>
      </w:r>
      <w:bookmarkEnd w:id="61"/>
      <w:r w:rsidR="00FC7FE4">
        <w:tab/>
      </w:r>
      <w:r w:rsidRPr="00FC7FE4">
        <w:t>Environmental management roles and responsibilities</w:t>
      </w:r>
      <w:bookmarkEnd w:id="62"/>
      <w:bookmarkEnd w:id="63"/>
    </w:p>
    <w:tbl>
      <w:tblPr>
        <w:tblStyle w:val="Table1"/>
        <w:tblW w:w="5000" w:type="pct"/>
        <w:tblLook w:val="04A0" w:firstRow="1" w:lastRow="0" w:firstColumn="1" w:lastColumn="0" w:noHBand="0" w:noVBand="1"/>
      </w:tblPr>
      <w:tblGrid>
        <w:gridCol w:w="2135"/>
        <w:gridCol w:w="6936"/>
      </w:tblGrid>
      <w:tr w:rsidR="00397857" w:rsidRPr="001769C6" w14:paraId="4FB7D0B7" w14:textId="77777777" w:rsidTr="00397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7" w:type="pct"/>
          </w:tcPr>
          <w:p w14:paraId="553CCA57" w14:textId="77777777" w:rsidR="00397857" w:rsidRPr="001769C6" w:rsidRDefault="00397857" w:rsidP="00397857">
            <w:pPr>
              <w:pStyle w:val="TableHeading"/>
            </w:pPr>
            <w:r w:rsidRPr="001769C6">
              <w:t>Role</w:t>
            </w:r>
          </w:p>
        </w:tc>
        <w:tc>
          <w:tcPr>
            <w:tcW w:w="3823" w:type="pct"/>
          </w:tcPr>
          <w:p w14:paraId="182B49B8" w14:textId="77777777" w:rsidR="00397857" w:rsidRPr="001769C6" w:rsidRDefault="00397857" w:rsidP="00397857">
            <w:pPr>
              <w:pStyle w:val="TableHeading"/>
              <w:cnfStyle w:val="100000000000" w:firstRow="1" w:lastRow="0" w:firstColumn="0" w:lastColumn="0" w:oddVBand="0" w:evenVBand="0" w:oddHBand="0" w:evenHBand="0" w:firstRowFirstColumn="0" w:firstRowLastColumn="0" w:lastRowFirstColumn="0" w:lastRowLastColumn="0"/>
            </w:pPr>
            <w:r w:rsidRPr="001769C6">
              <w:t>Responsibilities</w:t>
            </w:r>
          </w:p>
        </w:tc>
      </w:tr>
      <w:tr w:rsidR="00397857" w:rsidRPr="001769C6" w14:paraId="04523930"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59CED126" w14:textId="77777777" w:rsidR="00397857" w:rsidRPr="001769C6" w:rsidRDefault="00397857" w:rsidP="00397857">
            <w:pPr>
              <w:pStyle w:val="TableText"/>
            </w:pPr>
            <w:r w:rsidRPr="001769C6">
              <w:t>Minister for Planning</w:t>
            </w:r>
          </w:p>
        </w:tc>
        <w:tc>
          <w:tcPr>
            <w:tcW w:w="3823" w:type="pct"/>
          </w:tcPr>
          <w:p w14:paraId="6E3A8262" w14:textId="77777777"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Review and endorse the project EMF.</w:t>
            </w:r>
          </w:p>
          <w:p w14:paraId="55A8D2CD" w14:textId="77777777"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Receive regular audit and monitoring reports to comply with the EMF and associated environmental management plans.</w:t>
            </w:r>
          </w:p>
          <w:p w14:paraId="48ABDD36" w14:textId="77777777"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Administer and enforce the EMF as responsible authority for the planning permit.</w:t>
            </w:r>
          </w:p>
        </w:tc>
      </w:tr>
      <w:tr w:rsidR="00397857" w:rsidRPr="001769C6" w14:paraId="6225A4EA"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61688E5F" w14:textId="35FFB74D" w:rsidR="00397857" w:rsidRPr="001769C6" w:rsidRDefault="00397857" w:rsidP="00397857">
            <w:pPr>
              <w:pStyle w:val="TableText"/>
            </w:pPr>
            <w:r w:rsidRPr="001769C6">
              <w:t>Commonwealth Minister for Environment</w:t>
            </w:r>
          </w:p>
        </w:tc>
        <w:tc>
          <w:tcPr>
            <w:tcW w:w="3823" w:type="pct"/>
          </w:tcPr>
          <w:p w14:paraId="032ACB9A" w14:textId="40CA9912"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Assess and make determination on EPBC </w:t>
            </w:r>
            <w:r w:rsidR="00CB3865">
              <w:t xml:space="preserve">Act </w:t>
            </w:r>
            <w:r w:rsidRPr="001769C6">
              <w:t>matters.</w:t>
            </w:r>
          </w:p>
          <w:p w14:paraId="1BD17471" w14:textId="6BFA9575"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Review and approve environmental management plans under the relevant EPBC </w:t>
            </w:r>
            <w:r w:rsidR="00CB3865">
              <w:t xml:space="preserve">Act </w:t>
            </w:r>
            <w:r w:rsidRPr="001769C6">
              <w:t>approvals, as required.</w:t>
            </w:r>
          </w:p>
          <w:p w14:paraId="4D6CCDF2" w14:textId="77777777" w:rsidR="00397857" w:rsidRPr="001769C6" w:rsidRDefault="00397857" w:rsidP="00440A35">
            <w:pPr>
              <w:pStyle w:val="TableBullet1"/>
              <w:cnfStyle w:val="000000000000" w:firstRow="0" w:lastRow="0" w:firstColumn="0" w:lastColumn="0" w:oddVBand="0" w:evenVBand="0" w:oddHBand="0" w:evenHBand="0" w:firstRowFirstColumn="0" w:firstRowLastColumn="0" w:lastRowFirstColumn="0" w:lastRowLastColumn="0"/>
            </w:pPr>
            <w:r w:rsidRPr="001769C6">
              <w:t>Receive audit or monitoring reports, as required.</w:t>
            </w:r>
          </w:p>
        </w:tc>
      </w:tr>
      <w:tr w:rsidR="00397857" w:rsidRPr="001769C6" w14:paraId="1E051A31"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59348357" w14:textId="77777777" w:rsidR="00397857" w:rsidRPr="001769C6" w:rsidRDefault="00397857" w:rsidP="00A775DA">
            <w:pPr>
              <w:pStyle w:val="TableText"/>
            </w:pPr>
            <w:r w:rsidRPr="001769C6">
              <w:t>Project proponent</w:t>
            </w:r>
          </w:p>
        </w:tc>
        <w:tc>
          <w:tcPr>
            <w:tcW w:w="3823" w:type="pct"/>
          </w:tcPr>
          <w:p w14:paraId="4E9F94BE" w14:textId="713DD728"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Obtain applicable principal statutory approvals detailed in </w:t>
            </w:r>
            <w:r w:rsidR="002B2F02">
              <w:t xml:space="preserve">Chapter 3 </w:t>
            </w:r>
            <w:r w:rsidR="00E62595">
              <w:t>–</w:t>
            </w:r>
            <w:r w:rsidR="002B2F02">
              <w:t xml:space="preserve"> </w:t>
            </w:r>
            <w:r w:rsidR="00E62595">
              <w:rPr>
                <w:i/>
                <w:iCs/>
              </w:rPr>
              <w:t>Legislation and policy framework</w:t>
            </w:r>
            <w:r w:rsidRPr="001769C6">
              <w:t>.</w:t>
            </w:r>
          </w:p>
          <w:p w14:paraId="5B1A2BB1"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Monitor compliance with the EMMs across all project contracts.</w:t>
            </w:r>
          </w:p>
          <w:p w14:paraId="160B0A02"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Develop and maintain an environmental risk register.</w:t>
            </w:r>
          </w:p>
          <w:p w14:paraId="408BA6FF" w14:textId="196E893C"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Review and approve </w:t>
            </w:r>
            <w:r w:rsidR="00CB3865">
              <w:t xml:space="preserve">the </w:t>
            </w:r>
            <w:r w:rsidR="00256ACF" w:rsidRPr="00256ACF">
              <w:t>Construction Environmental Management Plan</w:t>
            </w:r>
            <w:r w:rsidRPr="001769C6">
              <w:t xml:space="preserve">. </w:t>
            </w:r>
          </w:p>
          <w:p w14:paraId="48926E49"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Engage an Independent Environmental Auditor to audit compliance with EMF and associated management plans to provide the Minister for Planning.</w:t>
            </w:r>
          </w:p>
          <w:p w14:paraId="349DC4B5" w14:textId="3114853C"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Develop and implement </w:t>
            </w:r>
            <w:r w:rsidR="00CB3865">
              <w:t xml:space="preserve">the </w:t>
            </w:r>
            <w:r w:rsidR="00256ACF">
              <w:t>Operations Environmental Management Plan</w:t>
            </w:r>
            <w:r w:rsidRPr="001769C6">
              <w:t>.</w:t>
            </w:r>
          </w:p>
          <w:p w14:paraId="23901398" w14:textId="2F7935FF"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Review and approve </w:t>
            </w:r>
            <w:r w:rsidR="00CB3865">
              <w:t xml:space="preserve">the </w:t>
            </w:r>
            <w:r w:rsidRPr="001769C6">
              <w:t xml:space="preserve">Decommissioning Plan. </w:t>
            </w:r>
          </w:p>
          <w:p w14:paraId="694C7EC4"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Prior to commencement of work, verify that the contractor has complied with the relevant EMMs.</w:t>
            </w:r>
          </w:p>
          <w:p w14:paraId="36A80929"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Meet monthly with contractor to review performance against the EMMs and take corrective action as necessary.</w:t>
            </w:r>
          </w:p>
          <w:p w14:paraId="67742935"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Liaise with regulators, as required.</w:t>
            </w:r>
          </w:p>
          <w:p w14:paraId="6E5DC2BF" w14:textId="3EE32E5A"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Engage effectively with stakeholders, including the local community, throughout the life of the project</w:t>
            </w:r>
            <w:r w:rsidR="008B3C9D">
              <w:t xml:space="preserve"> and maintain the Community and Stakeholder Engagement Plan</w:t>
            </w:r>
            <w:r w:rsidR="00A775DA">
              <w:t>.</w:t>
            </w:r>
          </w:p>
        </w:tc>
      </w:tr>
      <w:tr w:rsidR="00397857" w:rsidRPr="001769C6" w14:paraId="79302DA8"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44CA8691" w14:textId="77777777" w:rsidR="00397857" w:rsidRPr="001769C6" w:rsidRDefault="00397857" w:rsidP="00A775DA">
            <w:pPr>
              <w:pStyle w:val="TableText"/>
            </w:pPr>
            <w:r w:rsidRPr="001769C6">
              <w:t>Project design and construct contractor (including decommissioning contractor)</w:t>
            </w:r>
          </w:p>
        </w:tc>
        <w:tc>
          <w:tcPr>
            <w:tcW w:w="3823" w:type="pct"/>
          </w:tcPr>
          <w:p w14:paraId="28994E6E"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Obtain all other project approvals and comply with all approval conditions and obtain any secondary consents necessary for design and construction of the project.</w:t>
            </w:r>
          </w:p>
          <w:p w14:paraId="1C629F11"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Comply with the EMF, legislative and approval requirements.</w:t>
            </w:r>
          </w:p>
          <w:p w14:paraId="0E7CFF22"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Implement and maintain compliance with the EMMs.</w:t>
            </w:r>
          </w:p>
          <w:p w14:paraId="6C54786A" w14:textId="0B0AD71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Prepare and implement the </w:t>
            </w:r>
            <w:r w:rsidR="00256ACF" w:rsidRPr="00256ACF">
              <w:t>Construction Environmental Management Plan</w:t>
            </w:r>
            <w:r w:rsidRPr="001769C6">
              <w:t xml:space="preserve"> and associated Work Method Statements.</w:t>
            </w:r>
          </w:p>
          <w:p w14:paraId="7F9C7C21" w14:textId="7025F22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Ensure that all sub-contractors comply with the EMF, EMMs, </w:t>
            </w:r>
            <w:r w:rsidR="00256ACF" w:rsidRPr="00256ACF">
              <w:t>Construction Environmental Management Plan</w:t>
            </w:r>
            <w:r w:rsidR="00440A35">
              <w:t>.</w:t>
            </w:r>
          </w:p>
          <w:p w14:paraId="3153077C"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Conduct internal compliance audits, receive audit reports from the Independent Environmental Auditor and take any necessary corrective action required to address issues raised in audit reports.</w:t>
            </w:r>
          </w:p>
          <w:p w14:paraId="5952DF83"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Ensure that all sub-contractors similarly comply with such requirements and take corrective action as necessary.</w:t>
            </w:r>
          </w:p>
          <w:p w14:paraId="5B5578A8" w14:textId="54702619"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Provide adequate resources to establish, implement, maintain and improve the </w:t>
            </w:r>
            <w:r w:rsidR="00256ACF" w:rsidRPr="00256ACF">
              <w:t>Construction Environmental Management Plan</w:t>
            </w:r>
            <w:r w:rsidRPr="001769C6">
              <w:t>, and Decommissioning Plan.</w:t>
            </w:r>
          </w:p>
          <w:p w14:paraId="7902BD96"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Keep the project proponent informed of communications with regulatory authorities.</w:t>
            </w:r>
          </w:p>
        </w:tc>
      </w:tr>
      <w:tr w:rsidR="00397857" w:rsidRPr="001769C6" w14:paraId="4E145F22" w14:textId="77777777" w:rsidTr="00FC7FE4">
        <w:trPr>
          <w:cantSplit/>
        </w:trPr>
        <w:tc>
          <w:tcPr>
            <w:cnfStyle w:val="001000000000" w:firstRow="0" w:lastRow="0" w:firstColumn="1" w:lastColumn="0" w:oddVBand="0" w:evenVBand="0" w:oddHBand="0" w:evenHBand="0" w:firstRowFirstColumn="0" w:firstRowLastColumn="0" w:lastRowFirstColumn="0" w:lastRowLastColumn="0"/>
            <w:tcW w:w="1177" w:type="pct"/>
          </w:tcPr>
          <w:p w14:paraId="48548423" w14:textId="77777777" w:rsidR="00397857" w:rsidRPr="001769C6" w:rsidRDefault="00397857" w:rsidP="00A775DA">
            <w:pPr>
              <w:pStyle w:val="TableText"/>
            </w:pPr>
            <w:r w:rsidRPr="001769C6">
              <w:t>Project operator</w:t>
            </w:r>
          </w:p>
        </w:tc>
        <w:tc>
          <w:tcPr>
            <w:tcW w:w="3823" w:type="pct"/>
          </w:tcPr>
          <w:p w14:paraId="6D5E012A" w14:textId="2B2A6474" w:rsidR="00397857" w:rsidRPr="001769C6" w:rsidRDefault="00DC237C" w:rsidP="00A775DA">
            <w:pPr>
              <w:pStyle w:val="TableBullet1"/>
              <w:cnfStyle w:val="000000000000" w:firstRow="0" w:lastRow="0" w:firstColumn="0" w:lastColumn="0" w:oddVBand="0" w:evenVBand="0" w:oddHBand="0" w:evenHBand="0" w:firstRowFirstColumn="0" w:firstRowLastColumn="0" w:lastRowFirstColumn="0" w:lastRowLastColumn="0"/>
            </w:pPr>
            <w:r>
              <w:t>D</w:t>
            </w:r>
            <w:r w:rsidRPr="00DC237C">
              <w:t xml:space="preserve">evelop </w:t>
            </w:r>
            <w:r w:rsidR="00397857" w:rsidRPr="001769C6">
              <w:t xml:space="preserve">and implement the </w:t>
            </w:r>
            <w:r w:rsidR="00256ACF">
              <w:t>Operations Environmental Management Plan</w:t>
            </w:r>
            <w:r w:rsidR="00397857" w:rsidRPr="001769C6">
              <w:t>.</w:t>
            </w:r>
          </w:p>
          <w:p w14:paraId="4A5F88EA"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Conduct internal compliance audits, receive audit reports from the Independent Environmental Auditor and take any necessary corrective action required to address issues raised in audit reports.</w:t>
            </w:r>
          </w:p>
        </w:tc>
      </w:tr>
      <w:tr w:rsidR="00397857" w:rsidRPr="001769C6" w14:paraId="2273D90C"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7E928B4A" w14:textId="77777777" w:rsidR="00397857" w:rsidRPr="001769C6" w:rsidRDefault="00397857" w:rsidP="00A775DA">
            <w:pPr>
              <w:pStyle w:val="TableText"/>
              <w:rPr>
                <w:b/>
              </w:rPr>
            </w:pPr>
            <w:r w:rsidRPr="001769C6">
              <w:t>Independent Environmental Auditor</w:t>
            </w:r>
          </w:p>
        </w:tc>
        <w:tc>
          <w:tcPr>
            <w:tcW w:w="3823" w:type="pct"/>
          </w:tcPr>
          <w:p w14:paraId="56F6A452" w14:textId="2590835F"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Prior to commencement of work, verify that contractors have complied with the relevant EMMs</w:t>
            </w:r>
            <w:r w:rsidR="008B3C9D">
              <w:t xml:space="preserve"> and the EMF</w:t>
            </w:r>
            <w:r w:rsidRPr="001769C6">
              <w:t>.</w:t>
            </w:r>
          </w:p>
          <w:p w14:paraId="4F0AC32B" w14:textId="4258B805"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 xml:space="preserve">Conduct audits of the contractor’s works to assess compliance with the </w:t>
            </w:r>
            <w:r w:rsidR="00256ACF" w:rsidRPr="00256ACF">
              <w:t>Construction Environmental Management Plan</w:t>
            </w:r>
            <w:r w:rsidR="008B3C9D">
              <w:t>,</w:t>
            </w:r>
            <w:r w:rsidRPr="001769C6">
              <w:t xml:space="preserve"> EMMs</w:t>
            </w:r>
            <w:r w:rsidR="008B3C9D">
              <w:t xml:space="preserve"> and EMF</w:t>
            </w:r>
            <w:r w:rsidRPr="001769C6">
              <w:t>.</w:t>
            </w:r>
          </w:p>
          <w:p w14:paraId="6AEE193E" w14:textId="12487DA0"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Review the contractors performance against the EMMs and request or recommend corrective action as necessary.</w:t>
            </w:r>
          </w:p>
          <w:p w14:paraId="4B4B4A72"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Prepare audit reports containing the results of audits.</w:t>
            </w:r>
          </w:p>
        </w:tc>
      </w:tr>
      <w:tr w:rsidR="00397857" w:rsidRPr="001769C6" w14:paraId="597EAEF5" w14:textId="77777777" w:rsidTr="00397857">
        <w:tc>
          <w:tcPr>
            <w:cnfStyle w:val="001000000000" w:firstRow="0" w:lastRow="0" w:firstColumn="1" w:lastColumn="0" w:oddVBand="0" w:evenVBand="0" w:oddHBand="0" w:evenHBand="0" w:firstRowFirstColumn="0" w:firstRowLastColumn="0" w:lastRowFirstColumn="0" w:lastRowLastColumn="0"/>
            <w:tcW w:w="1177" w:type="pct"/>
          </w:tcPr>
          <w:p w14:paraId="515A6ED6" w14:textId="77777777" w:rsidR="00397857" w:rsidRPr="001769C6" w:rsidRDefault="00397857" w:rsidP="00A775DA">
            <w:pPr>
              <w:pStyle w:val="TableText"/>
            </w:pPr>
            <w:r w:rsidRPr="001769C6">
              <w:t>Regulators and agencies</w:t>
            </w:r>
          </w:p>
        </w:tc>
        <w:tc>
          <w:tcPr>
            <w:tcW w:w="3823" w:type="pct"/>
          </w:tcPr>
          <w:p w14:paraId="155ADA8A" w14:textId="77777777" w:rsidR="00397857" w:rsidRPr="001769C6" w:rsidRDefault="00397857" w:rsidP="00A775DA">
            <w:pPr>
              <w:pStyle w:val="TableBullet1"/>
              <w:cnfStyle w:val="000000000000" w:firstRow="0" w:lastRow="0" w:firstColumn="0" w:lastColumn="0" w:oddVBand="0" w:evenVBand="0" w:oddHBand="0" w:evenHBand="0" w:firstRowFirstColumn="0" w:firstRowLastColumn="0" w:lastRowFirstColumn="0" w:lastRowLastColumn="0"/>
            </w:pPr>
            <w:r w:rsidRPr="001769C6">
              <w:t>Review, assess and make determination on primary and secondary permits and approvals.</w:t>
            </w:r>
          </w:p>
        </w:tc>
      </w:tr>
    </w:tbl>
    <w:p w14:paraId="74F99873" w14:textId="5A4A6E06" w:rsidR="00397857" w:rsidRPr="00FC7FE4" w:rsidRDefault="00397857" w:rsidP="00FC7FE4">
      <w:pPr>
        <w:pStyle w:val="Heading2"/>
      </w:pPr>
      <w:bookmarkStart w:id="64" w:name="_Ref85521515"/>
      <w:bookmarkStart w:id="65" w:name="_Toc87023758"/>
      <w:bookmarkStart w:id="66" w:name="_Ref103332013"/>
      <w:bookmarkStart w:id="67" w:name="_Toc105159965"/>
      <w:r w:rsidRPr="00FC7FE4">
        <w:t>Environmental management documents</w:t>
      </w:r>
      <w:bookmarkEnd w:id="64"/>
      <w:bookmarkEnd w:id="65"/>
      <w:bookmarkEnd w:id="66"/>
      <w:bookmarkEnd w:id="67"/>
    </w:p>
    <w:p w14:paraId="265A57CF" w14:textId="27A9DFB3" w:rsidR="00397857" w:rsidRDefault="00397857" w:rsidP="00397857">
      <w:pPr>
        <w:pStyle w:val="BodyText"/>
      </w:pPr>
      <w:r w:rsidRPr="001769C6">
        <w:t xml:space="preserve">The documentation to implement the EMF is made up of a number of key documents, as well as relevant legislation, approvals and approval conditions that must be complied with. The structure of environmental management documents is shown in </w:t>
      </w:r>
      <w:r w:rsidRPr="001769C6">
        <w:fldChar w:fldCharType="begin"/>
      </w:r>
      <w:r w:rsidRPr="001769C6">
        <w:instrText xml:space="preserve"> REF _Ref87019676 \h </w:instrText>
      </w:r>
      <w:r w:rsidRPr="001769C6">
        <w:fldChar w:fldCharType="separate"/>
      </w:r>
      <w:r w:rsidR="00694153" w:rsidRPr="00AA3E00">
        <w:t xml:space="preserve">Figure </w:t>
      </w:r>
      <w:r w:rsidR="00694153">
        <w:rPr>
          <w:noProof/>
        </w:rPr>
        <w:t>26</w:t>
      </w:r>
      <w:r w:rsidR="00694153">
        <w:t>.</w:t>
      </w:r>
      <w:r w:rsidR="00694153">
        <w:rPr>
          <w:noProof/>
        </w:rPr>
        <w:t>2</w:t>
      </w:r>
      <w:r w:rsidRPr="001769C6">
        <w:fldChar w:fldCharType="end"/>
      </w:r>
      <w:r w:rsidRPr="001769C6">
        <w:t>.</w:t>
      </w:r>
    </w:p>
    <w:p w14:paraId="015A7308" w14:textId="27AFEAED" w:rsidR="00397857" w:rsidRPr="00AA3E00" w:rsidRDefault="00501199" w:rsidP="00440A35">
      <w:pPr>
        <w:pStyle w:val="Image"/>
      </w:pPr>
      <w:r>
        <w:rPr>
          <w:noProof/>
        </w:rPr>
        <w:drawing>
          <wp:inline distT="0" distB="0" distL="0" distR="0" wp14:anchorId="6DA583EE" wp14:editId="54672955">
            <wp:extent cx="5760000" cy="6133609"/>
            <wp:effectExtent l="0" t="0" r="0" b="635"/>
            <wp:docPr id="9" name="Picture 9" descr="Graphic showing structure of environmental management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 showing structure of environmental management documents"/>
                    <pic:cNvPicPr/>
                  </pic:nvPicPr>
                  <pic:blipFill>
                    <a:blip r:embed="rId12"/>
                    <a:stretch>
                      <a:fillRect/>
                    </a:stretch>
                  </pic:blipFill>
                  <pic:spPr>
                    <a:xfrm>
                      <a:off x="0" y="0"/>
                      <a:ext cx="5760000" cy="6133609"/>
                    </a:xfrm>
                    <a:prstGeom prst="rect">
                      <a:avLst/>
                    </a:prstGeom>
                  </pic:spPr>
                </pic:pic>
              </a:graphicData>
            </a:graphic>
          </wp:inline>
        </w:drawing>
      </w:r>
    </w:p>
    <w:p w14:paraId="0047C6EF" w14:textId="3A1D094E" w:rsidR="00397857" w:rsidRDefault="00397857" w:rsidP="00440A35">
      <w:pPr>
        <w:pStyle w:val="Caption"/>
      </w:pPr>
      <w:bookmarkStart w:id="68" w:name="_Ref87019676"/>
      <w:bookmarkStart w:id="69" w:name="_Toc87023772"/>
      <w:bookmarkStart w:id="70" w:name="_Toc105159989"/>
      <w:r w:rsidRPr="00AA3E00">
        <w:t xml:space="preserve">Figure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t>.</w:t>
      </w:r>
      <w:r w:rsidR="00694153">
        <w:fldChar w:fldCharType="begin"/>
      </w:r>
      <w:r w:rsidR="00694153">
        <w:instrText xml:space="preserve"> SEQ Figure \* ARABIC \s 1 </w:instrText>
      </w:r>
      <w:r w:rsidR="00694153">
        <w:fldChar w:fldCharType="separate"/>
      </w:r>
      <w:r w:rsidR="00694153">
        <w:rPr>
          <w:noProof/>
        </w:rPr>
        <w:t>2</w:t>
      </w:r>
      <w:r w:rsidR="00694153">
        <w:rPr>
          <w:noProof/>
        </w:rPr>
        <w:fldChar w:fldCharType="end"/>
      </w:r>
      <w:bookmarkEnd w:id="68"/>
      <w:r w:rsidRPr="00AA3E00">
        <w:tab/>
        <w:t>Environmental management documents</w:t>
      </w:r>
      <w:bookmarkEnd w:id="69"/>
      <w:bookmarkEnd w:id="70"/>
    </w:p>
    <w:p w14:paraId="49527682" w14:textId="77777777" w:rsidR="00397857" w:rsidRPr="00FC7FE4" w:rsidRDefault="00397857" w:rsidP="00FC7FE4">
      <w:pPr>
        <w:pStyle w:val="Heading3"/>
      </w:pPr>
      <w:bookmarkStart w:id="71" w:name="_Toc87023759"/>
      <w:bookmarkStart w:id="72" w:name="_Toc105159966"/>
      <w:r w:rsidRPr="00FC7FE4">
        <w:t>Environmental management system</w:t>
      </w:r>
      <w:bookmarkEnd w:id="71"/>
      <w:bookmarkEnd w:id="72"/>
    </w:p>
    <w:p w14:paraId="7B99280C" w14:textId="0151224B" w:rsidR="00397857" w:rsidRPr="005E4DB5" w:rsidRDefault="00397857" w:rsidP="00397857">
      <w:pPr>
        <w:pStyle w:val="BodyText"/>
      </w:pPr>
      <w:r w:rsidRPr="005E4DB5">
        <w:t xml:space="preserve">Both the construction contractor(s) and operator would operate in accordance with an environmental management system that is compliant with AS/NZS ISO 14001:2015 </w:t>
      </w:r>
      <w:r w:rsidRPr="00D056B2">
        <w:rPr>
          <w:i/>
          <w:iCs/>
        </w:rPr>
        <w:t xml:space="preserve">Environmental management systems </w:t>
      </w:r>
      <w:r w:rsidR="00440A35" w:rsidRPr="00D056B2">
        <w:rPr>
          <w:i/>
          <w:iCs/>
        </w:rPr>
        <w:t>–</w:t>
      </w:r>
      <w:r w:rsidRPr="00D056B2">
        <w:rPr>
          <w:i/>
          <w:iCs/>
        </w:rPr>
        <w:t xml:space="preserve"> Requirements with guidance for use</w:t>
      </w:r>
      <w:r w:rsidRPr="005E4DB5">
        <w:t>.</w:t>
      </w:r>
    </w:p>
    <w:p w14:paraId="3DA257DC" w14:textId="3EE83B0D" w:rsidR="00397857" w:rsidRPr="005E4DB5" w:rsidRDefault="00397857" w:rsidP="00397857">
      <w:pPr>
        <w:pStyle w:val="BodyText"/>
      </w:pPr>
      <w:r w:rsidRPr="005E4DB5">
        <w:t>The purpose of the environmental management system would be to establish a plan-do-check-act system to identify and manage environmental risks and impacts across the project</w:t>
      </w:r>
      <w:r w:rsidR="00CB3865">
        <w:t>,</w:t>
      </w:r>
      <w:r w:rsidRPr="005E4DB5">
        <w:t xml:space="preserve"> and ensure comprehensive and integrated identification and management of environmental risks and issues throughout the design and construction of the project.</w:t>
      </w:r>
    </w:p>
    <w:p w14:paraId="1811645F" w14:textId="77777777" w:rsidR="00397857" w:rsidRPr="00FC7FE4" w:rsidRDefault="00397857" w:rsidP="00FC7FE4">
      <w:pPr>
        <w:pStyle w:val="Heading3"/>
      </w:pPr>
      <w:bookmarkStart w:id="73" w:name="_Toc87023760"/>
      <w:bookmarkStart w:id="74" w:name="_Toc105159967"/>
      <w:r w:rsidRPr="00FC7FE4">
        <w:t>Stakeholder engagement</w:t>
      </w:r>
      <w:bookmarkEnd w:id="73"/>
      <w:bookmarkEnd w:id="74"/>
    </w:p>
    <w:p w14:paraId="6E4454FE" w14:textId="630B684B" w:rsidR="00397857" w:rsidRPr="005E4DB5" w:rsidRDefault="00397857" w:rsidP="00397857">
      <w:pPr>
        <w:pStyle w:val="BodyText"/>
      </w:pPr>
      <w:r w:rsidRPr="005E4DB5">
        <w:t xml:space="preserve">It is recognised that responsive and comprehensive stakeholder engagement during construction and operation of the project </w:t>
      </w:r>
      <w:r w:rsidR="00616992">
        <w:t>is</w:t>
      </w:r>
      <w:r w:rsidR="00616992" w:rsidRPr="005E4DB5">
        <w:t xml:space="preserve"> </w:t>
      </w:r>
      <w:r w:rsidRPr="005E4DB5">
        <w:t>critical to the success of the project. An overarching Community and Stakeholder Engagement Plan would be developed and implemented to facilitate ongoing consultation between the proponent, contractor(s), operator and the broader community.</w:t>
      </w:r>
    </w:p>
    <w:p w14:paraId="4E7D9539" w14:textId="77777777" w:rsidR="00397857" w:rsidRPr="005E4DB5" w:rsidRDefault="00397857" w:rsidP="00397857">
      <w:pPr>
        <w:pStyle w:val="BodyText"/>
      </w:pPr>
      <w:r w:rsidRPr="005E4DB5">
        <w:t>The plan would:</w:t>
      </w:r>
    </w:p>
    <w:p w14:paraId="42D29CC6" w14:textId="77777777" w:rsidR="00397857" w:rsidRPr="005E4DB5" w:rsidRDefault="00397857" w:rsidP="00440A35">
      <w:pPr>
        <w:pStyle w:val="ListBullet"/>
        <w:contextualSpacing/>
      </w:pPr>
      <w:r w:rsidRPr="005E4DB5">
        <w:t xml:space="preserve">outline procedures and mechanisms for the regular distribution of accessible information about the project </w:t>
      </w:r>
    </w:p>
    <w:p w14:paraId="24D53571" w14:textId="77777777" w:rsidR="00397857" w:rsidRPr="005E4DB5" w:rsidRDefault="00397857" w:rsidP="00440A35">
      <w:pPr>
        <w:pStyle w:val="ListBullet"/>
        <w:contextualSpacing/>
      </w:pPr>
      <w:r w:rsidRPr="005E4DB5">
        <w:t xml:space="preserve">identify opportunities to provide information regularly about construction activities, timeframes and milestones </w:t>
      </w:r>
    </w:p>
    <w:p w14:paraId="226FFDE7" w14:textId="77777777" w:rsidR="00397857" w:rsidRPr="005E4DB5" w:rsidRDefault="00397857" w:rsidP="00440A35">
      <w:pPr>
        <w:pStyle w:val="ListBullet"/>
        <w:contextualSpacing/>
      </w:pPr>
      <w:r w:rsidRPr="005E4DB5">
        <w:t xml:space="preserve">set out processes and measures to provide sufficient prior notice to key stakeholders and other potentially affected stakeholders of construction activities (including any early works or out of hours works), significant milestones, changed traffic conditions, interruptions to utility services, changed access, and periods of predicted high noise and vibration activities </w:t>
      </w:r>
    </w:p>
    <w:p w14:paraId="3D6C5631" w14:textId="77777777" w:rsidR="00397857" w:rsidRPr="005E4DB5" w:rsidRDefault="00397857" w:rsidP="00440A35">
      <w:pPr>
        <w:pStyle w:val="ListBullet"/>
        <w:contextualSpacing/>
      </w:pPr>
      <w:r w:rsidRPr="005E4DB5">
        <w:t xml:space="preserve">detail the ways the community will be communicated with before future works commence (where necessary) </w:t>
      </w:r>
    </w:p>
    <w:p w14:paraId="00337663" w14:textId="77777777" w:rsidR="00397857" w:rsidRPr="005E4DB5" w:rsidRDefault="00397857" w:rsidP="00440A35">
      <w:pPr>
        <w:pStyle w:val="ListBullet"/>
        <w:contextualSpacing/>
      </w:pPr>
      <w:r w:rsidRPr="005E4DB5">
        <w:t>be reviewed and adapted based on community feedback so that the community has easy ways to receive information about the project</w:t>
      </w:r>
    </w:p>
    <w:p w14:paraId="51516C9C" w14:textId="77777777" w:rsidR="00397857" w:rsidRPr="005E4DB5" w:rsidRDefault="00397857" w:rsidP="00440A35">
      <w:pPr>
        <w:pStyle w:val="ListBullet"/>
        <w:contextualSpacing/>
      </w:pPr>
      <w:r w:rsidRPr="005E4DB5">
        <w:t>maintain a communication database and complaints register throughout the life of the project to assist identifying and resolving project issues experienced by stakeholders.</w:t>
      </w:r>
    </w:p>
    <w:p w14:paraId="3BC082CD" w14:textId="383F8826" w:rsidR="00397857" w:rsidRPr="005E4DB5" w:rsidRDefault="00397857" w:rsidP="00397857">
      <w:pPr>
        <w:pStyle w:val="BodyText"/>
      </w:pPr>
      <w:r w:rsidRPr="005E4DB5">
        <w:t xml:space="preserve">The environmental management of the project </w:t>
      </w:r>
      <w:r w:rsidR="001D2A37">
        <w:t>would</w:t>
      </w:r>
      <w:r w:rsidR="001D2A37" w:rsidRPr="005E4DB5">
        <w:t xml:space="preserve"> </w:t>
      </w:r>
      <w:r w:rsidRPr="005E4DB5">
        <w:t>also require engagement with relevant stakeholders to develop, and in some cases, approve specific management plans for the project. Responsible authorities for the approval of individual management plans include, but may not be limited to, those agencies and organisations mentioned in</w:t>
      </w:r>
      <w:r w:rsidR="00E62595">
        <w:t xml:space="preserve"> Chapter 3 – </w:t>
      </w:r>
      <w:r w:rsidR="00E62595">
        <w:rPr>
          <w:i/>
          <w:iCs/>
        </w:rPr>
        <w:t>Legislation and policy framework</w:t>
      </w:r>
      <w:r w:rsidRPr="005E4DB5">
        <w:t>.</w:t>
      </w:r>
    </w:p>
    <w:p w14:paraId="6366CA70" w14:textId="77777777" w:rsidR="00397857" w:rsidRPr="00FC7FE4" w:rsidRDefault="00397857" w:rsidP="00FC7FE4">
      <w:pPr>
        <w:pStyle w:val="Heading3"/>
      </w:pPr>
      <w:bookmarkStart w:id="75" w:name="_Ref76632979"/>
      <w:bookmarkStart w:id="76" w:name="_Toc87023761"/>
      <w:bookmarkStart w:id="77" w:name="_Toc105159968"/>
      <w:r w:rsidRPr="00FC7FE4">
        <w:t>Complaints recording and resolution</w:t>
      </w:r>
      <w:bookmarkEnd w:id="75"/>
      <w:bookmarkEnd w:id="76"/>
      <w:bookmarkEnd w:id="77"/>
    </w:p>
    <w:p w14:paraId="79710DF7" w14:textId="64A7D76C" w:rsidR="00397857" w:rsidRPr="005E4DB5" w:rsidRDefault="00397857" w:rsidP="00397857">
      <w:pPr>
        <w:pStyle w:val="BodyText"/>
      </w:pPr>
      <w:r w:rsidRPr="005E4DB5">
        <w:t>The contractor</w:t>
      </w:r>
      <w:r w:rsidR="00BC02CA">
        <w:t>(s)</w:t>
      </w:r>
      <w:r w:rsidRPr="005E4DB5">
        <w:t xml:space="preserve"> would also document and implement a complaints management process (including processes and measures for registering, managing and resolving complaints) consistent with </w:t>
      </w:r>
      <w:r w:rsidRPr="005E4DB5">
        <w:rPr>
          <w:i/>
        </w:rPr>
        <w:t>AS/NZS</w:t>
      </w:r>
      <w:r w:rsidR="00A775DA">
        <w:rPr>
          <w:i/>
        </w:rPr>
        <w:t> </w:t>
      </w:r>
      <w:r w:rsidRPr="005E4DB5">
        <w:rPr>
          <w:i/>
        </w:rPr>
        <w:t xml:space="preserve">10002: 2014 Guidelines for Complaint Management in Organisations. </w:t>
      </w:r>
      <w:r w:rsidRPr="005E4DB5">
        <w:t>A Complaint Investigation and Response Plan</w:t>
      </w:r>
      <w:r w:rsidRPr="005E4DB5" w:rsidDel="002854EA">
        <w:t xml:space="preserve"> </w:t>
      </w:r>
      <w:r w:rsidRPr="005E4DB5">
        <w:t xml:space="preserve">would be developed that: </w:t>
      </w:r>
    </w:p>
    <w:p w14:paraId="0131B06D" w14:textId="77777777" w:rsidR="00397857" w:rsidRPr="005E4DB5" w:rsidRDefault="00397857" w:rsidP="00440A35">
      <w:pPr>
        <w:pStyle w:val="ListBullet"/>
        <w:contextualSpacing/>
      </w:pPr>
      <w:r w:rsidRPr="005E4DB5">
        <w:t>outlines the process for making and recording complaints and their resolution</w:t>
      </w:r>
    </w:p>
    <w:p w14:paraId="6A49E417" w14:textId="4FF9F6B7" w:rsidR="00397857" w:rsidRPr="005E4DB5" w:rsidRDefault="00397857" w:rsidP="00440A35">
      <w:pPr>
        <w:pStyle w:val="ListBullet"/>
        <w:contextualSpacing/>
      </w:pPr>
      <w:r w:rsidRPr="005E4DB5">
        <w:t>provides a range of avenues (</w:t>
      </w:r>
      <w:r w:rsidR="00440A35">
        <w:t>e.g.</w:t>
      </w:r>
      <w:r w:rsidR="00E62595">
        <w:t>,</w:t>
      </w:r>
      <w:r w:rsidRPr="005E4DB5">
        <w:t xml:space="preserve"> direct phone number, email) for community members to express their concerns or ask questions </w:t>
      </w:r>
    </w:p>
    <w:p w14:paraId="2FC043CA" w14:textId="77777777" w:rsidR="00397857" w:rsidRPr="005E4DB5" w:rsidRDefault="00397857" w:rsidP="00440A35">
      <w:pPr>
        <w:pStyle w:val="ListBullet"/>
        <w:contextualSpacing/>
      </w:pPr>
      <w:r w:rsidRPr="005E4DB5">
        <w:t>specifies response and resolution procedures to ensure timely responses are provided to complaints raised.</w:t>
      </w:r>
    </w:p>
    <w:p w14:paraId="7DF55DDE" w14:textId="77777777" w:rsidR="00397857" w:rsidRPr="00FC7FE4" w:rsidRDefault="00397857" w:rsidP="00440A35">
      <w:pPr>
        <w:pStyle w:val="Heading3"/>
      </w:pPr>
      <w:bookmarkStart w:id="78" w:name="_Toc87023762"/>
      <w:bookmarkStart w:id="79" w:name="_Toc105159969"/>
      <w:r w:rsidRPr="00FC7FE4">
        <w:t>Cultural heritage management</w:t>
      </w:r>
      <w:bookmarkEnd w:id="78"/>
      <w:bookmarkEnd w:id="79"/>
    </w:p>
    <w:p w14:paraId="491F0469" w14:textId="0D1165F2" w:rsidR="00397857" w:rsidRPr="005E4DB5" w:rsidRDefault="00397857" w:rsidP="00440A35">
      <w:pPr>
        <w:pStyle w:val="BodyText"/>
        <w:keepNext/>
        <w:keepLines/>
      </w:pPr>
      <w:r w:rsidRPr="005E4DB5">
        <w:t xml:space="preserve">A CHMP </w:t>
      </w:r>
      <w:r w:rsidR="007C3C86">
        <w:t>(</w:t>
      </w:r>
      <w:r w:rsidR="00616992">
        <w:t>no.</w:t>
      </w:r>
      <w:r w:rsidRPr="005E4DB5">
        <w:t xml:space="preserve">11090) has been prepared for the project in consultation with the Registered Aboriginal Parties the Eastern Maar Aboriginal Corporation and Gunditj Mirring Traditional Owners Aboriginal Corporation. The CHMP was also informed by consultation with Framlingham Aboriginal Trust, and First Peoples </w:t>
      </w:r>
      <w:r w:rsidR="00440A35">
        <w:t>–</w:t>
      </w:r>
      <w:r w:rsidRPr="005E4DB5">
        <w:t xml:space="preserve"> State Relations who are responsible for evaluating the CHMP (as there was no </w:t>
      </w:r>
      <w:r w:rsidR="00616992">
        <w:t>Registered Aboriginal Party</w:t>
      </w:r>
      <w:r w:rsidRPr="005E4DB5">
        <w:t xml:space="preserve"> for the </w:t>
      </w:r>
      <w:r w:rsidR="00616992">
        <w:t>project</w:t>
      </w:r>
      <w:r w:rsidR="00616992" w:rsidRPr="005E4DB5">
        <w:t xml:space="preserve"> </w:t>
      </w:r>
      <w:r w:rsidRPr="005E4DB5">
        <w:t xml:space="preserve">area at the time the CHMP commenced). </w:t>
      </w:r>
    </w:p>
    <w:p w14:paraId="45F9063D" w14:textId="0705FF93" w:rsidR="00397857" w:rsidRPr="005E4DB5" w:rsidRDefault="00397857" w:rsidP="00397857">
      <w:pPr>
        <w:pStyle w:val="BodyText"/>
      </w:pPr>
      <w:r w:rsidRPr="005E4DB5">
        <w:t xml:space="preserve">The CHMP includes measures to avoid harm to known Aboriginal </w:t>
      </w:r>
      <w:r w:rsidR="00616992">
        <w:t>p</w:t>
      </w:r>
      <w:r w:rsidRPr="005E4DB5">
        <w:t>laces and Aboriginal heritage values</w:t>
      </w:r>
      <w:r w:rsidR="00616992">
        <w:t>,</w:t>
      </w:r>
      <w:r w:rsidRPr="005E4DB5">
        <w:t xml:space="preserve"> as well as measures to avoid potential impacts to any </w:t>
      </w:r>
      <w:r w:rsidR="00D056B2">
        <w:t>unknown</w:t>
      </w:r>
      <w:r w:rsidR="00D056B2" w:rsidRPr="005E4DB5">
        <w:t xml:space="preserve"> </w:t>
      </w:r>
      <w:r w:rsidRPr="005E4DB5">
        <w:t xml:space="preserve">Aboriginal values within the project site. Approval of the CHMP occurs independently of the EES process and the project is not able to commence construction until the CHMP is approved by First Peoples </w:t>
      </w:r>
      <w:r w:rsidR="00440A35">
        <w:t>–</w:t>
      </w:r>
      <w:r w:rsidRPr="005E4DB5">
        <w:t xml:space="preserve"> State Relations. The CHMP would be in place for the construction and operation of the project. </w:t>
      </w:r>
    </w:p>
    <w:p w14:paraId="7D7120AE" w14:textId="1624A851" w:rsidR="00397857" w:rsidRDefault="00397857" w:rsidP="00A775DA">
      <w:pPr>
        <w:pStyle w:val="Heading3"/>
      </w:pPr>
      <w:bookmarkStart w:id="80" w:name="_Toc87023763"/>
      <w:bookmarkStart w:id="81" w:name="_Toc105159970"/>
      <w:r w:rsidRPr="00FC7FE4">
        <w:t>Environmental management during construction</w:t>
      </w:r>
      <w:bookmarkEnd w:id="80"/>
      <w:bookmarkEnd w:id="81"/>
    </w:p>
    <w:p w14:paraId="1759FB9A" w14:textId="1E5C34EF" w:rsidR="00CF2E15" w:rsidRDefault="00CF2E15" w:rsidP="00A775DA">
      <w:pPr>
        <w:pStyle w:val="BodyText"/>
        <w:keepNext/>
        <w:keepLines/>
      </w:pPr>
      <w:r w:rsidRPr="00E73602">
        <w:t>An Environmental Management Plan would be prepared</w:t>
      </w:r>
      <w:r>
        <w:t xml:space="preserve"> to reflect the planning permit and the Environmental Management Framework as endorsed by the Minister </w:t>
      </w:r>
      <w:r w:rsidRPr="00E73602">
        <w:t>before construction starts</w:t>
      </w:r>
      <w:r>
        <w:t xml:space="preserve">. </w:t>
      </w:r>
      <w:r w:rsidRPr="00E73602">
        <w:t xml:space="preserve">The Environmental Management Plan </w:t>
      </w:r>
      <w:r>
        <w:t xml:space="preserve">would </w:t>
      </w:r>
      <w:r w:rsidRPr="00E73602">
        <w:t xml:space="preserve">consolidate all </w:t>
      </w:r>
      <w:r w:rsidR="00E07D40">
        <w:t>EMM</w:t>
      </w:r>
      <w:r w:rsidRPr="00E73602">
        <w:t>s that relate to the project and provides details of how they should be performed.</w:t>
      </w:r>
    </w:p>
    <w:p w14:paraId="575F5182" w14:textId="1759BB19" w:rsidR="00CF2E15" w:rsidRDefault="00CF2E15">
      <w:r>
        <w:t>Key components of the Environmental Management Plan would be the Construction Environmental Management Plan, Operations Environmental Management Plan and Decommissioning Plan, plus various sub-plans (as described below)</w:t>
      </w:r>
      <w:r w:rsidR="006F3501">
        <w:t>.</w:t>
      </w:r>
    </w:p>
    <w:p w14:paraId="77FFC132" w14:textId="77777777" w:rsidR="00397857" w:rsidRPr="00440A35" w:rsidRDefault="00397857" w:rsidP="00440A35">
      <w:pPr>
        <w:pStyle w:val="Heading4"/>
      </w:pPr>
      <w:r w:rsidRPr="00440A35">
        <w:t>Construction Environmental Management Plan</w:t>
      </w:r>
    </w:p>
    <w:p w14:paraId="29A3A376" w14:textId="4550FE0D" w:rsidR="00397857" w:rsidRPr="005E4DB5" w:rsidRDefault="00397857" w:rsidP="00397857">
      <w:pPr>
        <w:pStyle w:val="BodyText"/>
      </w:pPr>
      <w:r w:rsidRPr="005E4DB5">
        <w:t xml:space="preserve">The overarching management document for construction of the project would be the </w:t>
      </w:r>
      <w:r w:rsidR="00256ACF" w:rsidRPr="00256ACF">
        <w:t>Construction Environmental Management Plan</w:t>
      </w:r>
      <w:r w:rsidRPr="005E4DB5">
        <w:t>.</w:t>
      </w:r>
    </w:p>
    <w:p w14:paraId="05C2A8EF" w14:textId="1D1C3DB2" w:rsidR="00397857" w:rsidRPr="005E4DB5" w:rsidRDefault="00397857" w:rsidP="00397857">
      <w:pPr>
        <w:pStyle w:val="BodyText"/>
      </w:pPr>
      <w:r w:rsidRPr="005E4DB5">
        <w:t xml:space="preserve">The construction contractor would prepare a </w:t>
      </w:r>
      <w:r w:rsidR="00256ACF">
        <w:t>Construction Environmental Management Plan</w:t>
      </w:r>
      <w:r w:rsidRPr="005E4DB5">
        <w:t xml:space="preserve"> for their package of works, as required by the project contract and in accordance with the EMF and EMMs. Relevant works would not start until the Independent Environmental Auditor has reviewed the adequacy of and verified compliance of the </w:t>
      </w:r>
      <w:r w:rsidR="00256ACF">
        <w:t>Construction Environmental Management Plan</w:t>
      </w:r>
      <w:r w:rsidRPr="005E4DB5">
        <w:t xml:space="preserve"> with the EMF</w:t>
      </w:r>
      <w:r w:rsidR="00895349">
        <w:t xml:space="preserve"> and</w:t>
      </w:r>
      <w:r w:rsidRPr="005E4DB5">
        <w:t xml:space="preserve"> EMMs</w:t>
      </w:r>
      <w:r w:rsidR="00895349">
        <w:t>,</w:t>
      </w:r>
      <w:r w:rsidRPr="005E4DB5">
        <w:t xml:space="preserve"> and has reviewed and accepted the </w:t>
      </w:r>
      <w:r w:rsidR="00256ACF">
        <w:t>Construction Environmental Management Plan</w:t>
      </w:r>
      <w:r w:rsidRPr="005E4DB5">
        <w:t xml:space="preserve"> and all required sub-plans.</w:t>
      </w:r>
    </w:p>
    <w:p w14:paraId="17D77BBE" w14:textId="5275384D" w:rsidR="00397857" w:rsidRPr="005E4DB5" w:rsidRDefault="00397857" w:rsidP="00397857">
      <w:pPr>
        <w:pStyle w:val="BodyText"/>
      </w:pPr>
      <w:r w:rsidRPr="005E4DB5">
        <w:t xml:space="preserve">The </w:t>
      </w:r>
      <w:r w:rsidR="00256ACF">
        <w:t>Construction Environmental Management Plan</w:t>
      </w:r>
      <w:r w:rsidRPr="005E4DB5">
        <w:t xml:space="preserve"> would be prepared in accordance with the requirements of the EMF, EMMs, project contracts and industry best practice. The </w:t>
      </w:r>
      <w:r w:rsidR="00256ACF">
        <w:t>Construction Environmental Management Plan</w:t>
      </w:r>
      <w:r w:rsidRPr="005E4DB5">
        <w:t xml:space="preserve"> would include details of processes and responsibilities for:</w:t>
      </w:r>
    </w:p>
    <w:p w14:paraId="40B2F43A" w14:textId="77777777" w:rsidR="00397857" w:rsidRPr="005E4DB5" w:rsidRDefault="00397857" w:rsidP="00440A35">
      <w:pPr>
        <w:pStyle w:val="ListBullet"/>
        <w:contextualSpacing/>
      </w:pPr>
      <w:r w:rsidRPr="005E4DB5">
        <w:t>achieving compliance with approval conditions, relevant legislation and the construction EMMs</w:t>
      </w:r>
    </w:p>
    <w:p w14:paraId="2C50247F" w14:textId="655AFE4F" w:rsidR="00397857" w:rsidRPr="005E4DB5" w:rsidRDefault="00397857" w:rsidP="00440A35">
      <w:pPr>
        <w:pStyle w:val="ListBullet"/>
        <w:contextualSpacing/>
      </w:pPr>
      <w:r w:rsidRPr="005E4DB5">
        <w:t>identifying, managing and monitoring environmental risks and issues during construction</w:t>
      </w:r>
      <w:r w:rsidR="00895349">
        <w:t>,</w:t>
      </w:r>
      <w:r w:rsidRPr="005E4DB5">
        <w:t xml:space="preserve"> and implementing contingency measures</w:t>
      </w:r>
    </w:p>
    <w:p w14:paraId="1994E44C" w14:textId="77777777" w:rsidR="00397857" w:rsidRPr="005E4DB5" w:rsidRDefault="00397857" w:rsidP="00440A35">
      <w:pPr>
        <w:pStyle w:val="ListBullet"/>
        <w:contextualSpacing/>
      </w:pPr>
      <w:r w:rsidRPr="005E4DB5">
        <w:t>preparing and implementing Construction Method Statements</w:t>
      </w:r>
    </w:p>
    <w:p w14:paraId="0006E804" w14:textId="77777777" w:rsidR="00397857" w:rsidRPr="005E4DB5" w:rsidRDefault="00397857" w:rsidP="00440A35">
      <w:pPr>
        <w:pStyle w:val="ListBullet"/>
        <w:contextualSpacing/>
      </w:pPr>
      <w:r w:rsidRPr="005E4DB5">
        <w:t>site inductions, training, competency and awareness</w:t>
      </w:r>
    </w:p>
    <w:p w14:paraId="23FFA1F8" w14:textId="77777777" w:rsidR="00397857" w:rsidRPr="005E4DB5" w:rsidRDefault="00397857" w:rsidP="00440A35">
      <w:pPr>
        <w:pStyle w:val="ListBullet"/>
        <w:contextualSpacing/>
      </w:pPr>
      <w:r w:rsidRPr="005E4DB5">
        <w:t>communication and reporting between internal project stakeholders and with external stakeholders</w:t>
      </w:r>
    </w:p>
    <w:p w14:paraId="20F569A2" w14:textId="77777777" w:rsidR="00397857" w:rsidRPr="005E4DB5" w:rsidRDefault="00397857" w:rsidP="00440A35">
      <w:pPr>
        <w:pStyle w:val="ListBullet"/>
        <w:contextualSpacing/>
      </w:pPr>
      <w:r w:rsidRPr="005E4DB5">
        <w:t>environmental monitoring, reporting and auditing requirements</w:t>
      </w:r>
    </w:p>
    <w:p w14:paraId="01E2385C" w14:textId="3DC2FE2A" w:rsidR="00397857" w:rsidRPr="005E4DB5" w:rsidRDefault="00397857" w:rsidP="00440A35">
      <w:pPr>
        <w:pStyle w:val="ListBullet"/>
        <w:contextualSpacing/>
      </w:pPr>
      <w:r w:rsidRPr="005E4DB5">
        <w:t>managing complaints, incidents, non-conformances</w:t>
      </w:r>
      <w:r w:rsidR="00895349">
        <w:t>,</w:t>
      </w:r>
      <w:r w:rsidRPr="005E4DB5">
        <w:t xml:space="preserve"> and taking corrective and preventative action</w:t>
      </w:r>
    </w:p>
    <w:p w14:paraId="5E98BFFE" w14:textId="2DEA3C71" w:rsidR="00397857" w:rsidRPr="005E4DB5" w:rsidRDefault="00397857" w:rsidP="00440A35">
      <w:pPr>
        <w:pStyle w:val="ListBullet"/>
        <w:contextualSpacing/>
      </w:pPr>
      <w:r w:rsidRPr="005E4DB5">
        <w:t>emergency preparedness and response</w:t>
      </w:r>
      <w:r w:rsidR="00895349">
        <w:t>,</w:t>
      </w:r>
      <w:r w:rsidRPr="005E4DB5">
        <w:t xml:space="preserve"> including after-hours response, arrangements for containing environmental damage and attendance on-site in the event of an emergency</w:t>
      </w:r>
    </w:p>
    <w:p w14:paraId="250A5150" w14:textId="77777777" w:rsidR="00397857" w:rsidRPr="005E4DB5" w:rsidRDefault="00397857" w:rsidP="00440A35">
      <w:pPr>
        <w:pStyle w:val="ListBullet"/>
        <w:contextualSpacing/>
      </w:pPr>
      <w:r w:rsidRPr="005E4DB5">
        <w:t>review of performance and the process to develop and implement continuous improvements.</w:t>
      </w:r>
    </w:p>
    <w:p w14:paraId="17DE32F8" w14:textId="2101C453" w:rsidR="00397857" w:rsidRPr="005E4DB5" w:rsidRDefault="00397857" w:rsidP="00397857">
      <w:pPr>
        <w:pStyle w:val="BodyText"/>
      </w:pPr>
      <w:r w:rsidRPr="005E4DB5">
        <w:t xml:space="preserve">The </w:t>
      </w:r>
      <w:r w:rsidR="00256ACF">
        <w:t>Construction Environmental Management Plan</w:t>
      </w:r>
      <w:r w:rsidRPr="005E4DB5">
        <w:t xml:space="preserve"> would be developed as a single document with a series of stand-alone sub-plans for specific aspects. Monitoring plans </w:t>
      </w:r>
      <w:r w:rsidR="001D2A37">
        <w:t>would</w:t>
      </w:r>
      <w:r w:rsidR="001D2A37" w:rsidRPr="005E4DB5">
        <w:t xml:space="preserve"> </w:t>
      </w:r>
      <w:r w:rsidRPr="005E4DB5">
        <w:t xml:space="preserve">be appendices to management plans as required. The </w:t>
      </w:r>
      <w:r w:rsidR="00256ACF">
        <w:t>Construction Environmental Management Plan</w:t>
      </w:r>
      <w:r w:rsidRPr="005E4DB5">
        <w:t xml:space="preserve"> </w:t>
      </w:r>
      <w:r w:rsidR="00895349">
        <w:t>would</w:t>
      </w:r>
      <w:r w:rsidR="00895349" w:rsidRPr="005E4DB5">
        <w:t xml:space="preserve"> </w:t>
      </w:r>
      <w:r w:rsidRPr="005E4DB5">
        <w:t>be developed in consultation with relevant stakeholders including landowners, responsible authorities and government agencies, emergency services, and as required in response to all relevant EMMs.</w:t>
      </w:r>
    </w:p>
    <w:p w14:paraId="425623D1" w14:textId="42EE631A" w:rsidR="00397857" w:rsidRPr="005E4DB5" w:rsidRDefault="00397857" w:rsidP="00397857">
      <w:pPr>
        <w:pStyle w:val="BodyText"/>
      </w:pPr>
      <w:r w:rsidRPr="005E4DB5">
        <w:t xml:space="preserve">Plans that would sit within the </w:t>
      </w:r>
      <w:r w:rsidR="00256ACF">
        <w:t>Construction Environmental Management Plan</w:t>
      </w:r>
      <w:r w:rsidRPr="005E4DB5">
        <w:t xml:space="preserve"> would include the following with corresponding EMMs that outline specific requirements:</w:t>
      </w:r>
    </w:p>
    <w:p w14:paraId="7DA8ECF4" w14:textId="5E262D92" w:rsidR="00397857" w:rsidRPr="005E4DB5" w:rsidRDefault="00397857" w:rsidP="00440A35">
      <w:pPr>
        <w:pStyle w:val="ListBullet"/>
        <w:contextualSpacing/>
      </w:pPr>
      <w:r w:rsidRPr="005E4DB5">
        <w:t xml:space="preserve">Construction noise and vibration management </w:t>
      </w:r>
      <w:r w:rsidR="0024331B">
        <w:t>(</w:t>
      </w:r>
      <w:r w:rsidRPr="005E4DB5">
        <w:t xml:space="preserve">EMMs </w:t>
      </w:r>
      <w:r w:rsidR="009E54D9">
        <w:t>–</w:t>
      </w:r>
      <w:r w:rsidRPr="005E4DB5">
        <w:t xml:space="preserve"> NV01, NV02, NV03, NV04, NV06</w:t>
      </w:r>
      <w:r w:rsidR="0024331B">
        <w:t>)</w:t>
      </w:r>
    </w:p>
    <w:p w14:paraId="54973949" w14:textId="2D8EDC66" w:rsidR="00397857" w:rsidRPr="005E4DB5" w:rsidRDefault="00397857" w:rsidP="00440A35">
      <w:pPr>
        <w:pStyle w:val="ListBullet"/>
        <w:contextualSpacing/>
      </w:pPr>
      <w:r w:rsidRPr="005E4DB5">
        <w:t xml:space="preserve">Sediment, erosion and water quality management </w:t>
      </w:r>
      <w:r w:rsidR="0024331B">
        <w:t>(</w:t>
      </w:r>
      <w:r w:rsidRPr="005E4DB5">
        <w:t xml:space="preserve">EMMs </w:t>
      </w:r>
      <w:r w:rsidR="009E54D9">
        <w:t>–</w:t>
      </w:r>
      <w:r w:rsidRPr="005E4DB5">
        <w:t xml:space="preserve"> SW02, SW03, SW04, SW05</w:t>
      </w:r>
      <w:r w:rsidR="0049000B">
        <w:t>, SW07, SW08, SW09</w:t>
      </w:r>
      <w:r w:rsidRPr="005E4DB5">
        <w:t>, GW03, GW04, GW05, GW06, GW07, GW08, GW09, GW11</w:t>
      </w:r>
      <w:r w:rsidR="0024331B">
        <w:t>)</w:t>
      </w:r>
    </w:p>
    <w:p w14:paraId="487D8E0B" w14:textId="6C9E0607" w:rsidR="00397857" w:rsidRPr="005E4DB5" w:rsidRDefault="00397857" w:rsidP="00440A35">
      <w:pPr>
        <w:pStyle w:val="ListBullet"/>
        <w:contextualSpacing/>
      </w:pPr>
      <w:r w:rsidRPr="005E4DB5">
        <w:t>Acid sul</w:t>
      </w:r>
      <w:r w:rsidR="00E8746A">
        <w:t>f</w:t>
      </w:r>
      <w:r w:rsidRPr="005E4DB5">
        <w:t xml:space="preserve">ate soil management </w:t>
      </w:r>
      <w:r w:rsidR="0024331B">
        <w:t>(</w:t>
      </w:r>
      <w:r w:rsidRPr="005E4DB5">
        <w:t xml:space="preserve">EMM </w:t>
      </w:r>
      <w:r w:rsidR="009E54D9">
        <w:t>–</w:t>
      </w:r>
      <w:r w:rsidRPr="005E4DB5">
        <w:t xml:space="preserve"> SW06</w:t>
      </w:r>
      <w:r w:rsidR="0024331B">
        <w:t>)</w:t>
      </w:r>
    </w:p>
    <w:p w14:paraId="13BF24C0" w14:textId="74CBD7A1" w:rsidR="00397857" w:rsidRPr="005E4DB5" w:rsidRDefault="00397857" w:rsidP="00440A35">
      <w:pPr>
        <w:pStyle w:val="ListBullet"/>
        <w:contextualSpacing/>
      </w:pPr>
      <w:r w:rsidRPr="005E4DB5">
        <w:t xml:space="preserve">Biosecurity management </w:t>
      </w:r>
      <w:r w:rsidR="0024331B">
        <w:t>(</w:t>
      </w:r>
      <w:r w:rsidRPr="005E4DB5">
        <w:t xml:space="preserve">EMM </w:t>
      </w:r>
      <w:r w:rsidR="009E54D9">
        <w:t>–</w:t>
      </w:r>
      <w:r w:rsidRPr="005E4DB5">
        <w:t xml:space="preserve"> </w:t>
      </w:r>
      <w:r w:rsidR="00C87AFE">
        <w:t>BH</w:t>
      </w:r>
      <w:r w:rsidR="00C87AFE" w:rsidRPr="005E4DB5">
        <w:t>04</w:t>
      </w:r>
      <w:r w:rsidR="0024331B">
        <w:t>)</w:t>
      </w:r>
    </w:p>
    <w:p w14:paraId="26F18AAE" w14:textId="3FD59073" w:rsidR="00397857" w:rsidRPr="005E4DB5" w:rsidRDefault="00397857" w:rsidP="00440A35">
      <w:pPr>
        <w:pStyle w:val="ListBullet"/>
        <w:contextualSpacing/>
      </w:pPr>
      <w:r w:rsidRPr="005E4DB5">
        <w:t xml:space="preserve">Native vegetation flora and fauna management </w:t>
      </w:r>
      <w:r w:rsidR="0024331B">
        <w:t>(</w:t>
      </w:r>
      <w:r w:rsidRPr="005E4DB5">
        <w:t>EMM</w:t>
      </w:r>
      <w:r w:rsidR="00C87AFE">
        <w:t>s</w:t>
      </w:r>
      <w:r w:rsidRPr="005E4DB5">
        <w:t xml:space="preserve"> </w:t>
      </w:r>
      <w:r w:rsidR="009E54D9">
        <w:t>–</w:t>
      </w:r>
      <w:r w:rsidRPr="005E4DB5">
        <w:t xml:space="preserve"> </w:t>
      </w:r>
      <w:r w:rsidR="00C87AFE">
        <w:t>BH01, BH02, BH05, BH06, BH07, BH08, BH09</w:t>
      </w:r>
      <w:r w:rsidR="0024331B">
        <w:t>)</w:t>
      </w:r>
    </w:p>
    <w:p w14:paraId="1B620024" w14:textId="7C2F609E" w:rsidR="00397857" w:rsidRPr="005E4DB5" w:rsidRDefault="00397857" w:rsidP="00440A35">
      <w:pPr>
        <w:pStyle w:val="ListBullet"/>
        <w:contextualSpacing/>
      </w:pPr>
      <w:r w:rsidRPr="005E4DB5">
        <w:t xml:space="preserve">Blasting management </w:t>
      </w:r>
      <w:r w:rsidR="0024331B">
        <w:t>(</w:t>
      </w:r>
      <w:r w:rsidRPr="005E4DB5">
        <w:t xml:space="preserve">EMMs </w:t>
      </w:r>
      <w:r w:rsidR="009E54D9">
        <w:t>–</w:t>
      </w:r>
      <w:r w:rsidRPr="005E4DB5">
        <w:t xml:space="preserve"> </w:t>
      </w:r>
      <w:r w:rsidR="00D056B2" w:rsidRPr="00D056B2">
        <w:t>BR05</w:t>
      </w:r>
      <w:r w:rsidR="00D056B2">
        <w:t xml:space="preserve">, </w:t>
      </w:r>
      <w:r w:rsidRPr="005E4DB5">
        <w:t>NV03, NV07</w:t>
      </w:r>
      <w:r w:rsidR="0024331B">
        <w:t>)</w:t>
      </w:r>
    </w:p>
    <w:p w14:paraId="19AC3122" w14:textId="5C277CAF" w:rsidR="00397857" w:rsidRPr="005E4DB5" w:rsidRDefault="00397857" w:rsidP="00440A35">
      <w:pPr>
        <w:pStyle w:val="ListBullet"/>
        <w:contextualSpacing/>
      </w:pPr>
      <w:r w:rsidRPr="005E4DB5">
        <w:t xml:space="preserve">Air quality </w:t>
      </w:r>
      <w:r w:rsidR="0024331B">
        <w:t>(</w:t>
      </w:r>
      <w:r w:rsidRPr="005E4DB5">
        <w:t xml:space="preserve">EMMs </w:t>
      </w:r>
      <w:r w:rsidR="009E54D9">
        <w:t>–</w:t>
      </w:r>
      <w:r w:rsidRPr="005E4DB5">
        <w:t xml:space="preserve"> AQ01, AQ02</w:t>
      </w:r>
      <w:r w:rsidR="0024331B">
        <w:t>)</w:t>
      </w:r>
    </w:p>
    <w:p w14:paraId="7DE5A6D6" w14:textId="7D490411" w:rsidR="00397857" w:rsidRPr="005E4DB5" w:rsidRDefault="00397857" w:rsidP="00440A35">
      <w:pPr>
        <w:pStyle w:val="ListBullet"/>
        <w:contextualSpacing/>
      </w:pPr>
      <w:r w:rsidRPr="005E4DB5">
        <w:t xml:space="preserve">Rehabilitation </w:t>
      </w:r>
      <w:r w:rsidR="0024331B">
        <w:t>(</w:t>
      </w:r>
      <w:r w:rsidRPr="005E4DB5">
        <w:t xml:space="preserve">EMM </w:t>
      </w:r>
      <w:r w:rsidR="009E54D9">
        <w:t>–</w:t>
      </w:r>
      <w:r w:rsidRPr="005E4DB5">
        <w:t xml:space="preserve"> </w:t>
      </w:r>
      <w:r w:rsidR="00747230">
        <w:t>BH</w:t>
      </w:r>
      <w:r w:rsidR="00747230" w:rsidRPr="005E4DB5">
        <w:t>03</w:t>
      </w:r>
      <w:r w:rsidR="00D056B2">
        <w:t xml:space="preserve">, </w:t>
      </w:r>
      <w:r w:rsidR="00D056B2" w:rsidRPr="00D056B2">
        <w:t>SE06</w:t>
      </w:r>
      <w:r w:rsidR="0024331B">
        <w:t>)</w:t>
      </w:r>
    </w:p>
    <w:p w14:paraId="6E3E5680" w14:textId="536C2B14" w:rsidR="00397857" w:rsidRPr="005E4DB5" w:rsidRDefault="00397857" w:rsidP="00440A35">
      <w:pPr>
        <w:pStyle w:val="ListBullet"/>
        <w:contextualSpacing/>
      </w:pPr>
      <w:r w:rsidRPr="005E4DB5">
        <w:t xml:space="preserve">Hazardous substances management </w:t>
      </w:r>
      <w:r w:rsidR="0024331B">
        <w:t>(</w:t>
      </w:r>
      <w:r w:rsidR="009A3C54" w:rsidRPr="005E4DB5">
        <w:t xml:space="preserve">EMM </w:t>
      </w:r>
      <w:r w:rsidR="009A3C54">
        <w:t>–</w:t>
      </w:r>
      <w:r w:rsidR="009A3C54" w:rsidRPr="005E4DB5">
        <w:t xml:space="preserve"> </w:t>
      </w:r>
      <w:r w:rsidR="009A3C54">
        <w:t>SW06</w:t>
      </w:r>
      <w:r w:rsidR="0024331B">
        <w:t>)</w:t>
      </w:r>
    </w:p>
    <w:p w14:paraId="688968F4" w14:textId="4EE5B0BA" w:rsidR="00397857" w:rsidRPr="005E4DB5" w:rsidRDefault="00397857" w:rsidP="00440A35">
      <w:pPr>
        <w:pStyle w:val="ListBullet"/>
        <w:contextualSpacing/>
      </w:pPr>
      <w:r w:rsidRPr="005E4DB5">
        <w:t xml:space="preserve">Spills management and response </w:t>
      </w:r>
      <w:r w:rsidR="0024331B">
        <w:t>(</w:t>
      </w:r>
      <w:r w:rsidRPr="005E4DB5">
        <w:t xml:space="preserve">EMMs </w:t>
      </w:r>
      <w:r w:rsidR="009E54D9">
        <w:t>–</w:t>
      </w:r>
      <w:r w:rsidRPr="005E4DB5">
        <w:t xml:space="preserve"> SW07</w:t>
      </w:r>
      <w:r w:rsidR="00747230">
        <w:t>, GW11</w:t>
      </w:r>
      <w:r w:rsidR="0024331B">
        <w:t>)</w:t>
      </w:r>
    </w:p>
    <w:p w14:paraId="7A8C4D9A" w14:textId="77777777" w:rsidR="00397857" w:rsidRPr="005E4DB5" w:rsidRDefault="00397857" w:rsidP="00440A35">
      <w:pPr>
        <w:pStyle w:val="ListBullet"/>
        <w:contextualSpacing/>
      </w:pPr>
      <w:r w:rsidRPr="005E4DB5">
        <w:t>Emergency response.</w:t>
      </w:r>
    </w:p>
    <w:p w14:paraId="7389FB89" w14:textId="108A0BF8" w:rsidR="00397857" w:rsidRPr="005E4DB5" w:rsidRDefault="00397857" w:rsidP="00397857">
      <w:pPr>
        <w:pStyle w:val="BodyText"/>
      </w:pPr>
      <w:r w:rsidRPr="005E4DB5">
        <w:t xml:space="preserve">A number of these sub-plans would require review, input and endorsement from statutory authorities prior to construction commencing. The implementation and adherence to these sub-plans would be enforced, monitored and audited by the proponent. Audits by an Independent Environmental Auditor would occur in accordance with the EMMs (see Section </w:t>
      </w:r>
      <w:r w:rsidRPr="005E4DB5">
        <w:fldChar w:fldCharType="begin"/>
      </w:r>
      <w:r w:rsidRPr="005E4DB5">
        <w:instrText xml:space="preserve"> REF _Ref87015601 \r \h </w:instrText>
      </w:r>
      <w:r w:rsidRPr="005E4DB5">
        <w:fldChar w:fldCharType="separate"/>
      </w:r>
      <w:r w:rsidR="00694153">
        <w:t>26.8</w:t>
      </w:r>
      <w:r w:rsidRPr="005E4DB5">
        <w:fldChar w:fldCharType="end"/>
      </w:r>
      <w:r w:rsidRPr="005E4DB5">
        <w:t>).</w:t>
      </w:r>
    </w:p>
    <w:p w14:paraId="0F83BADF" w14:textId="77777777" w:rsidR="00397857" w:rsidRPr="00440A35" w:rsidRDefault="00397857" w:rsidP="00440A35">
      <w:pPr>
        <w:pStyle w:val="Heading4"/>
      </w:pPr>
      <w:r w:rsidRPr="00440A35">
        <w:t xml:space="preserve">Other construction related strategies and plans </w:t>
      </w:r>
    </w:p>
    <w:p w14:paraId="4BA4B97A" w14:textId="77777777" w:rsidR="00397857" w:rsidRPr="005E4DB5" w:rsidRDefault="00397857" w:rsidP="00397857">
      <w:pPr>
        <w:pStyle w:val="BodyText"/>
      </w:pPr>
      <w:r w:rsidRPr="005E4DB5">
        <w:t xml:space="preserve">A range of other plans for the construction phase of the project would be required. The process and timing for development of these plans and strategies would be in accordance with the EMMs. This includes the process and timing for consultation with relevant people, including statutory authorities. </w:t>
      </w:r>
    </w:p>
    <w:p w14:paraId="096C6D91" w14:textId="1C2030B8" w:rsidR="00397857" w:rsidRPr="005E4DB5" w:rsidRDefault="00397857" w:rsidP="00397857">
      <w:pPr>
        <w:pStyle w:val="BodyText"/>
      </w:pPr>
      <w:r w:rsidRPr="005E4DB5">
        <w:fldChar w:fldCharType="begin"/>
      </w:r>
      <w:r w:rsidRPr="005E4DB5">
        <w:instrText xml:space="preserve"> REF _Ref86833487 \h </w:instrText>
      </w:r>
      <w:r w:rsidRPr="005E4DB5">
        <w:fldChar w:fldCharType="separate"/>
      </w:r>
      <w:r w:rsidR="00694153" w:rsidRPr="009E54D9">
        <w:t xml:space="preserve">Table </w:t>
      </w:r>
      <w:r w:rsidR="00694153">
        <w:rPr>
          <w:noProof/>
        </w:rPr>
        <w:t>26</w:t>
      </w:r>
      <w:r w:rsidR="00694153" w:rsidRPr="009E54D9">
        <w:t>.</w:t>
      </w:r>
      <w:r w:rsidR="00694153">
        <w:rPr>
          <w:noProof/>
        </w:rPr>
        <w:t>3</w:t>
      </w:r>
      <w:r w:rsidRPr="005E4DB5">
        <w:fldChar w:fldCharType="end"/>
      </w:r>
      <w:r w:rsidRPr="005E4DB5">
        <w:t xml:space="preserve"> outlines the other strategies and plans that would sit outside the </w:t>
      </w:r>
      <w:r w:rsidR="00256ACF">
        <w:t>Construction Environmental Management Plan</w:t>
      </w:r>
      <w:r w:rsidRPr="005E4DB5">
        <w:t xml:space="preserve">. </w:t>
      </w:r>
    </w:p>
    <w:p w14:paraId="1FB40AE6" w14:textId="2E46BA46" w:rsidR="00397857" w:rsidRPr="009E54D9" w:rsidRDefault="00397857" w:rsidP="009E54D9">
      <w:pPr>
        <w:pStyle w:val="Caption"/>
      </w:pPr>
      <w:bookmarkStart w:id="82" w:name="_Ref86833487"/>
      <w:bookmarkStart w:id="83" w:name="_Toc87023775"/>
      <w:bookmarkStart w:id="84" w:name="_Toc105159986"/>
      <w:r w:rsidRPr="009E54D9">
        <w:t xml:space="preserve">Table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rsidRPr="009E54D9">
        <w:t>.</w:t>
      </w:r>
      <w:r w:rsidR="00694153">
        <w:fldChar w:fldCharType="begin"/>
      </w:r>
      <w:r w:rsidR="00694153">
        <w:instrText xml:space="preserve"> SEQ Table \* ARABIC \s 1 </w:instrText>
      </w:r>
      <w:r w:rsidR="00694153">
        <w:fldChar w:fldCharType="separate"/>
      </w:r>
      <w:r w:rsidR="00694153">
        <w:rPr>
          <w:noProof/>
        </w:rPr>
        <w:t>3</w:t>
      </w:r>
      <w:r w:rsidR="00694153">
        <w:rPr>
          <w:noProof/>
        </w:rPr>
        <w:fldChar w:fldCharType="end"/>
      </w:r>
      <w:bookmarkEnd w:id="82"/>
      <w:r w:rsidRPr="009E54D9">
        <w:tab/>
        <w:t>Other strategies and plans for project construction</w:t>
      </w:r>
      <w:bookmarkEnd w:id="83"/>
      <w:bookmarkEnd w:id="84"/>
    </w:p>
    <w:tbl>
      <w:tblPr>
        <w:tblStyle w:val="Table1"/>
        <w:tblW w:w="5000" w:type="pct"/>
        <w:tblLook w:val="04A0" w:firstRow="1" w:lastRow="0" w:firstColumn="1" w:lastColumn="0" w:noHBand="0" w:noVBand="1"/>
      </w:tblPr>
      <w:tblGrid>
        <w:gridCol w:w="2323"/>
        <w:gridCol w:w="5473"/>
        <w:gridCol w:w="1275"/>
      </w:tblGrid>
      <w:tr w:rsidR="00397857" w:rsidRPr="005E4DB5" w14:paraId="5CF8E6FC" w14:textId="77777777" w:rsidTr="00397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0" w:type="pct"/>
          </w:tcPr>
          <w:p w14:paraId="5912EE5F" w14:textId="77777777" w:rsidR="00397857" w:rsidRPr="005E4DB5" w:rsidRDefault="00397857" w:rsidP="00397857">
            <w:pPr>
              <w:pStyle w:val="TableHeading"/>
            </w:pPr>
            <w:r w:rsidRPr="005E4DB5">
              <w:t>Documentation</w:t>
            </w:r>
          </w:p>
        </w:tc>
        <w:tc>
          <w:tcPr>
            <w:tcW w:w="3017" w:type="pct"/>
          </w:tcPr>
          <w:p w14:paraId="464FA407" w14:textId="77777777" w:rsidR="00397857" w:rsidRPr="005E4DB5" w:rsidRDefault="00397857" w:rsidP="00397857">
            <w:pPr>
              <w:pStyle w:val="TableHeading"/>
              <w:cnfStyle w:val="100000000000" w:firstRow="1" w:lastRow="0" w:firstColumn="0" w:lastColumn="0" w:oddVBand="0" w:evenVBand="0" w:oddHBand="0" w:evenHBand="0" w:firstRowFirstColumn="0" w:firstRowLastColumn="0" w:lastRowFirstColumn="0" w:lastRowLastColumn="0"/>
            </w:pPr>
            <w:r w:rsidRPr="005E4DB5">
              <w:t>Description</w:t>
            </w:r>
          </w:p>
        </w:tc>
        <w:tc>
          <w:tcPr>
            <w:tcW w:w="703" w:type="pct"/>
          </w:tcPr>
          <w:p w14:paraId="7854817F" w14:textId="77777777" w:rsidR="00397857" w:rsidRPr="005E4DB5" w:rsidRDefault="00397857" w:rsidP="00397857">
            <w:pPr>
              <w:pStyle w:val="TableHeading"/>
              <w:cnfStyle w:val="100000000000" w:firstRow="1" w:lastRow="0" w:firstColumn="0" w:lastColumn="0" w:oddVBand="0" w:evenVBand="0" w:oddHBand="0" w:evenHBand="0" w:firstRowFirstColumn="0" w:firstRowLastColumn="0" w:lastRowFirstColumn="0" w:lastRowLastColumn="0"/>
            </w:pPr>
            <w:r w:rsidRPr="005E4DB5">
              <w:t>Relevant EMM</w:t>
            </w:r>
          </w:p>
        </w:tc>
      </w:tr>
      <w:tr w:rsidR="00397857" w:rsidRPr="005E4DB5" w14:paraId="78BD52DB"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53C24982" w14:textId="77777777" w:rsidR="00397857" w:rsidRPr="005E4DB5" w:rsidRDefault="00397857" w:rsidP="00397857">
            <w:pPr>
              <w:pStyle w:val="TableText"/>
            </w:pPr>
            <w:r w:rsidRPr="005E4DB5">
              <w:t>Construction Method Statements</w:t>
            </w:r>
          </w:p>
        </w:tc>
        <w:tc>
          <w:tcPr>
            <w:tcW w:w="3017" w:type="pct"/>
          </w:tcPr>
          <w:p w14:paraId="5F8AD2A5" w14:textId="777777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Individual plans identifying site-specific environmental control measures to be implemented. Construction Method Statements would be developed once the detailed design and refined construction methodology is prepared by the contractor.</w:t>
            </w:r>
          </w:p>
          <w:p w14:paraId="6BBFFCA6" w14:textId="66B3BC78"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The Construction Method Statements would address the requirements of the EMMs, </w:t>
            </w:r>
            <w:r w:rsidR="00256ACF">
              <w:t>Construction Environmental Management Plan</w:t>
            </w:r>
            <w:r w:rsidRPr="005E4DB5">
              <w:t xml:space="preserve"> and other plans required by the EMMs and project contracts</w:t>
            </w:r>
            <w:r w:rsidR="00BC02CA">
              <w:t>,</w:t>
            </w:r>
            <w:r w:rsidRPr="005E4DB5">
              <w:t xml:space="preserve"> and be developed in accordance with industry best practice. The Construction Method Statements would be developed to account for:</w:t>
            </w:r>
          </w:p>
          <w:p w14:paraId="3F4C5E0C" w14:textId="77777777"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each construction site’s environmental features</w:t>
            </w:r>
          </w:p>
          <w:p w14:paraId="6FC0C201" w14:textId="77777777"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the nature of the works to be undertaken</w:t>
            </w:r>
          </w:p>
          <w:p w14:paraId="50DFA3C9" w14:textId="24D538C8"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potential environmental impacts and activity</w:t>
            </w:r>
            <w:r w:rsidR="00BC02CA">
              <w:t>-</w:t>
            </w:r>
            <w:r w:rsidRPr="005E4DB5">
              <w:t>specific environmental risks</w:t>
            </w:r>
          </w:p>
          <w:p w14:paraId="2E9B46F0" w14:textId="77777777"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relevant EMMs</w:t>
            </w:r>
          </w:p>
          <w:p w14:paraId="15FD34C4" w14:textId="77777777"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relevant conditions of key approvals and any secondary approvals required</w:t>
            </w:r>
          </w:p>
          <w:p w14:paraId="2DDDF2EF" w14:textId="77777777" w:rsidR="00397857" w:rsidRPr="005E4DB5" w:rsidRDefault="00397857" w:rsidP="009E54D9">
            <w:pPr>
              <w:pStyle w:val="TableBullet1"/>
              <w:contextualSpacing/>
              <w:cnfStyle w:val="000000000000" w:firstRow="0" w:lastRow="0" w:firstColumn="0" w:lastColumn="0" w:oddVBand="0" w:evenVBand="0" w:oddHBand="0" w:evenHBand="0" w:firstRowFirstColumn="0" w:firstRowLastColumn="0" w:lastRowFirstColumn="0" w:lastRowLastColumn="0"/>
            </w:pPr>
            <w:r w:rsidRPr="005E4DB5">
              <w:t>the findings of any environmental investigations undertaken by the contractors.</w:t>
            </w:r>
          </w:p>
          <w:p w14:paraId="36BD895A" w14:textId="1CE985E4"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The Construction Method Statements would be prepared in consultation with stakeholders relevant to the works covered in the </w:t>
            </w:r>
            <w:r w:rsidR="007441BF">
              <w:t>statement</w:t>
            </w:r>
            <w:r w:rsidRPr="005E4DB5">
              <w:t>, including the relevant landowner or manager, responsible authorities where required in relation to issues within their jurisdiction, emergency services, and as required by any relevant EMM.</w:t>
            </w:r>
          </w:p>
        </w:tc>
        <w:tc>
          <w:tcPr>
            <w:tcW w:w="703" w:type="pct"/>
          </w:tcPr>
          <w:p w14:paraId="204B02F6" w14:textId="36EE65BD"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p>
        </w:tc>
      </w:tr>
      <w:tr w:rsidR="00397857" w:rsidRPr="005E4DB5" w14:paraId="578382CD"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1220A44E" w14:textId="77777777" w:rsidR="00397857" w:rsidRPr="005E4DB5" w:rsidRDefault="00397857" w:rsidP="00397857">
            <w:pPr>
              <w:pStyle w:val="TableText"/>
            </w:pPr>
            <w:r w:rsidRPr="005E4DB5">
              <w:t>Traffic Management Plan</w:t>
            </w:r>
          </w:p>
        </w:tc>
        <w:tc>
          <w:tcPr>
            <w:tcW w:w="3017" w:type="pct"/>
          </w:tcPr>
          <w:p w14:paraId="094C0AD9" w14:textId="6FD124FF"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A detailed Traffic Management Plan would be developed in consultation with </w:t>
            </w:r>
            <w:r w:rsidR="003F234F">
              <w:t xml:space="preserve">and to the satisfaction of </w:t>
            </w:r>
            <w:r w:rsidRPr="005E4DB5">
              <w:t xml:space="preserve">Regional Roads Victoria and Moyne Shire Council. The </w:t>
            </w:r>
            <w:r w:rsidR="00BC02CA" w:rsidRPr="005E4DB5">
              <w:t>Traffic Management Plan</w:t>
            </w:r>
            <w:r w:rsidRPr="005E4DB5">
              <w:t xml:space="preserve"> would address the traffic</w:t>
            </w:r>
            <w:r w:rsidR="00BC02CA">
              <w:t>-</w:t>
            </w:r>
            <w:r w:rsidRPr="005E4DB5">
              <w:t xml:space="preserve">related planning conditions and include: </w:t>
            </w:r>
          </w:p>
          <w:p w14:paraId="4548D763" w14:textId="77777777" w:rsidR="00397857" w:rsidRPr="005E4DB5" w:rsidRDefault="00397857" w:rsidP="00DC237C">
            <w:pPr>
              <w:pStyle w:val="TableBullet1"/>
              <w:cnfStyle w:val="000000000000" w:firstRow="0" w:lastRow="0" w:firstColumn="0" w:lastColumn="0" w:oddVBand="0" w:evenVBand="0" w:oddHBand="0" w:evenHBand="0" w:firstRowFirstColumn="0" w:firstRowLastColumn="0" w:lastRowFirstColumn="0" w:lastRowLastColumn="0"/>
            </w:pPr>
            <w:r w:rsidRPr="005E4DB5">
              <w:t>Pre- and post-construction condition surveys and details of the procedure for any road maintenance works during construction and remedial work required following construction.</w:t>
            </w:r>
          </w:p>
          <w:p w14:paraId="167BBF6B" w14:textId="77777777" w:rsidR="00397857" w:rsidRPr="005E4DB5" w:rsidRDefault="00397857" w:rsidP="00DC237C">
            <w:pPr>
              <w:pStyle w:val="TableBullet1"/>
              <w:cnfStyle w:val="000000000000" w:firstRow="0" w:lastRow="0" w:firstColumn="0" w:lastColumn="0" w:oddVBand="0" w:evenVBand="0" w:oddHBand="0" w:evenHBand="0" w:firstRowFirstColumn="0" w:firstRowLastColumn="0" w:lastRowFirstColumn="0" w:lastRowLastColumn="0"/>
            </w:pPr>
            <w:r w:rsidRPr="005E4DB5">
              <w:t xml:space="preserve">Communication – the plan for communication with local residents and businesses to ensure that people are kept informed about when works would be carried out and how to contact the construction team in the event of any questions or complaints. </w:t>
            </w:r>
          </w:p>
          <w:p w14:paraId="246B262B" w14:textId="70D98209" w:rsidR="00397857" w:rsidRPr="005E4DB5" w:rsidRDefault="00397857" w:rsidP="00DC237C">
            <w:pPr>
              <w:pStyle w:val="TableBullet1"/>
              <w:cnfStyle w:val="000000000000" w:firstRow="0" w:lastRow="0" w:firstColumn="0" w:lastColumn="0" w:oddVBand="0" w:evenVBand="0" w:oddHBand="0" w:evenHBand="0" w:firstRowFirstColumn="0" w:firstRowLastColumn="0" w:lastRowFirstColumn="0" w:lastRowLastColumn="0"/>
            </w:pPr>
            <w:r w:rsidRPr="005E4DB5">
              <w:t xml:space="preserve">Traffic management </w:t>
            </w:r>
            <w:r w:rsidR="009E54D9">
              <w:t>–</w:t>
            </w:r>
            <w:r w:rsidRPr="005E4DB5">
              <w:t xml:space="preserve"> for each stage of construction, a detailed traffic management strategy would be provided, which would include the delivery schedule of the over</w:t>
            </w:r>
            <w:r w:rsidR="00BC02CA">
              <w:t xml:space="preserve"> </w:t>
            </w:r>
            <w:r w:rsidRPr="005E4DB5">
              <w:t>size and over mass loads.</w:t>
            </w:r>
          </w:p>
        </w:tc>
        <w:tc>
          <w:tcPr>
            <w:tcW w:w="703" w:type="pct"/>
          </w:tcPr>
          <w:p w14:paraId="3DA3FF3C" w14:textId="7D866FA8"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T</w:t>
            </w:r>
            <w:r w:rsidR="008B3C9D">
              <w:t>T</w:t>
            </w:r>
            <w:r w:rsidRPr="005E4DB5">
              <w:t>01</w:t>
            </w:r>
          </w:p>
        </w:tc>
      </w:tr>
      <w:tr w:rsidR="00397857" w:rsidRPr="005E4DB5" w14:paraId="396475BC"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6B3DE2CA" w14:textId="25F1CEFC" w:rsidR="00397857" w:rsidRPr="005E4DB5" w:rsidRDefault="00397857" w:rsidP="00397857">
            <w:pPr>
              <w:pStyle w:val="TableText"/>
            </w:pPr>
            <w:r w:rsidRPr="005E4DB5">
              <w:t>Quarry Work Plan</w:t>
            </w:r>
          </w:p>
        </w:tc>
        <w:tc>
          <w:tcPr>
            <w:tcW w:w="3017" w:type="pct"/>
          </w:tcPr>
          <w:p w14:paraId="403243F0" w14:textId="777777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The on-site quarry would operate under commitments and measures outlined within an approved work plan, which includes a rehabilitation plan and a community consultation plan. </w:t>
            </w:r>
          </w:p>
        </w:tc>
        <w:tc>
          <w:tcPr>
            <w:tcW w:w="703" w:type="pct"/>
          </w:tcPr>
          <w:p w14:paraId="63651F09" w14:textId="2A5DB3B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GW01, </w:t>
            </w:r>
            <w:r w:rsidR="00C87AFE">
              <w:t>SW05,</w:t>
            </w:r>
            <w:r w:rsidR="00355CFB">
              <w:t xml:space="preserve"> NV0</w:t>
            </w:r>
            <w:r w:rsidR="009A3C54">
              <w:t>7</w:t>
            </w:r>
            <w:r w:rsidR="00355CFB">
              <w:t xml:space="preserve">, </w:t>
            </w:r>
            <w:r w:rsidRPr="005E4DB5">
              <w:t>AQ3</w:t>
            </w:r>
          </w:p>
        </w:tc>
      </w:tr>
      <w:tr w:rsidR="00397857" w:rsidRPr="005E4DB5" w14:paraId="43CC2F0B"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3F228E65" w14:textId="77777777" w:rsidR="00397857" w:rsidRPr="005E4DB5" w:rsidRDefault="00397857" w:rsidP="00397857">
            <w:pPr>
              <w:pStyle w:val="TableText"/>
            </w:pPr>
            <w:r w:rsidRPr="005E4DB5">
              <w:t>Growling Grass Frog Management Plan</w:t>
            </w:r>
          </w:p>
        </w:tc>
        <w:tc>
          <w:tcPr>
            <w:tcW w:w="3017" w:type="pct"/>
          </w:tcPr>
          <w:p w14:paraId="2BBD9036" w14:textId="7523E561"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A Growling Grass Frog Management Plan would be prepared with review and endorsement by </w:t>
            </w:r>
            <w:r w:rsidR="00BC02CA" w:rsidRPr="005E4DB5">
              <w:t>the Commonwealth Department of Agriculture, Water and the Environment</w:t>
            </w:r>
            <w:r w:rsidRPr="005E4DB5">
              <w:t xml:space="preserve"> and DELWP.</w:t>
            </w:r>
          </w:p>
        </w:tc>
        <w:tc>
          <w:tcPr>
            <w:tcW w:w="703" w:type="pct"/>
          </w:tcPr>
          <w:p w14:paraId="22522117" w14:textId="35B9D6C5" w:rsidR="00397857" w:rsidRPr="005E4DB5" w:rsidRDefault="00C87AFE" w:rsidP="00397857">
            <w:pPr>
              <w:pStyle w:val="TableText"/>
              <w:cnfStyle w:val="000000000000" w:firstRow="0" w:lastRow="0" w:firstColumn="0" w:lastColumn="0" w:oddVBand="0" w:evenVBand="0" w:oddHBand="0" w:evenHBand="0" w:firstRowFirstColumn="0" w:firstRowLastColumn="0" w:lastRowFirstColumn="0" w:lastRowLastColumn="0"/>
            </w:pPr>
            <w:r>
              <w:t>BH</w:t>
            </w:r>
            <w:r w:rsidRPr="005E4DB5">
              <w:t>02</w:t>
            </w:r>
            <w:r w:rsidR="00397857" w:rsidRPr="005E4DB5">
              <w:t xml:space="preserve">, </w:t>
            </w:r>
            <w:r>
              <w:t>BH</w:t>
            </w:r>
            <w:r w:rsidR="00332855">
              <w:t>11</w:t>
            </w:r>
          </w:p>
        </w:tc>
      </w:tr>
      <w:tr w:rsidR="00397857" w:rsidRPr="005E4DB5" w14:paraId="118992BE"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0B35A1F9" w14:textId="77777777" w:rsidR="00397857" w:rsidRPr="005E4DB5" w:rsidRDefault="00397857" w:rsidP="00397857">
            <w:pPr>
              <w:pStyle w:val="TableText"/>
            </w:pPr>
            <w:r w:rsidRPr="005E4DB5">
              <w:t>Brolga Monitoring and Compensation Plan</w:t>
            </w:r>
          </w:p>
        </w:tc>
        <w:tc>
          <w:tcPr>
            <w:tcW w:w="3017" w:type="pct"/>
          </w:tcPr>
          <w:p w14:paraId="2393934B" w14:textId="777777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A Brolga Monitoring and Compensation Plan would be prepared and implemented in accordance with the </w:t>
            </w:r>
            <w:r w:rsidRPr="00DC237C">
              <w:rPr>
                <w:i/>
                <w:iCs/>
              </w:rPr>
              <w:t>Interim Brolga Guidelines for the Assessment, Avoidance, Mitigation and Offsetting of Potential Wind Farm Impacts on the Victorian Brolga Population 2011</w:t>
            </w:r>
            <w:r w:rsidRPr="005E4DB5">
              <w:t xml:space="preserve"> (Rev 1, February 2012), and approved by DELWP and the responsible authority.</w:t>
            </w:r>
          </w:p>
        </w:tc>
        <w:tc>
          <w:tcPr>
            <w:tcW w:w="703" w:type="pct"/>
          </w:tcPr>
          <w:p w14:paraId="6F8662CF" w14:textId="6946D710"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BR0</w:t>
            </w:r>
            <w:r w:rsidR="00C87AFE">
              <w:t>2</w:t>
            </w:r>
            <w:r w:rsidRPr="005E4DB5">
              <w:t xml:space="preserve">, </w:t>
            </w:r>
            <w:r w:rsidR="00C87AFE">
              <w:t>BR</w:t>
            </w:r>
            <w:r w:rsidRPr="005E4DB5">
              <w:t xml:space="preserve">04, </w:t>
            </w:r>
            <w:r w:rsidR="00C87AFE">
              <w:t>BR</w:t>
            </w:r>
            <w:r w:rsidRPr="005E4DB5">
              <w:t xml:space="preserve">05, </w:t>
            </w:r>
            <w:r w:rsidR="00C87AFE">
              <w:t>BR</w:t>
            </w:r>
            <w:r w:rsidRPr="005E4DB5">
              <w:t>06</w:t>
            </w:r>
          </w:p>
        </w:tc>
      </w:tr>
      <w:tr w:rsidR="00397857" w:rsidRPr="005E4DB5" w14:paraId="3F9C55D5"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65CF3A18" w14:textId="2F7C6869" w:rsidR="00397857" w:rsidRPr="005E4DB5" w:rsidRDefault="00397857" w:rsidP="00397857">
            <w:pPr>
              <w:pStyle w:val="TableText"/>
            </w:pPr>
            <w:r w:rsidRPr="005E4DB5">
              <w:t xml:space="preserve">Landscape </w:t>
            </w:r>
            <w:r w:rsidR="00BC02CA">
              <w:t>p</w:t>
            </w:r>
            <w:r w:rsidRPr="005E4DB5">
              <w:t>lan</w:t>
            </w:r>
          </w:p>
        </w:tc>
        <w:tc>
          <w:tcPr>
            <w:tcW w:w="3017" w:type="pct"/>
          </w:tcPr>
          <w:p w14:paraId="59F497F7" w14:textId="777777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Development of an on-site landscaping plan to screen substations, buildings and lower infrastructure. This plan would include details of plant species to be used, and a maintenance and monitoring program.</w:t>
            </w:r>
          </w:p>
        </w:tc>
        <w:tc>
          <w:tcPr>
            <w:tcW w:w="703" w:type="pct"/>
          </w:tcPr>
          <w:p w14:paraId="1776B221" w14:textId="602BE18C"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LV02</w:t>
            </w:r>
          </w:p>
        </w:tc>
      </w:tr>
      <w:tr w:rsidR="00397857" w:rsidRPr="005E4DB5" w14:paraId="78B751F4"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6B95AEE8" w14:textId="0B5CF0A6" w:rsidR="00397857" w:rsidRPr="005E4DB5" w:rsidRDefault="00397857" w:rsidP="00397857">
            <w:pPr>
              <w:pStyle w:val="TableText"/>
            </w:pPr>
            <w:r w:rsidRPr="005E4DB5">
              <w:t>Off</w:t>
            </w:r>
            <w:r w:rsidR="00BC02CA">
              <w:t>-</w:t>
            </w:r>
            <w:r w:rsidRPr="005E4DB5">
              <w:t xml:space="preserve">site </w:t>
            </w:r>
            <w:r w:rsidR="00BC02CA">
              <w:t>l</w:t>
            </w:r>
            <w:r w:rsidRPr="005E4DB5">
              <w:t xml:space="preserve">andscape </w:t>
            </w:r>
            <w:r w:rsidR="00BC02CA">
              <w:t>p</w:t>
            </w:r>
            <w:r w:rsidRPr="005E4DB5">
              <w:t>lan</w:t>
            </w:r>
          </w:p>
        </w:tc>
        <w:tc>
          <w:tcPr>
            <w:tcW w:w="3017" w:type="pct"/>
          </w:tcPr>
          <w:p w14:paraId="6863F503" w14:textId="777777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Development of an off-site landscaping plan for vegetation screening of eligible dwellings, in consultation with the landowner on a case-by-case basis.</w:t>
            </w:r>
          </w:p>
        </w:tc>
        <w:tc>
          <w:tcPr>
            <w:tcW w:w="703" w:type="pct"/>
          </w:tcPr>
          <w:p w14:paraId="5DBB624F" w14:textId="36564977"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 xml:space="preserve">LV03, </w:t>
            </w:r>
            <w:r w:rsidR="00C87AFE">
              <w:t>BH</w:t>
            </w:r>
            <w:r w:rsidRPr="005E4DB5">
              <w:t xml:space="preserve">03, </w:t>
            </w:r>
          </w:p>
        </w:tc>
      </w:tr>
      <w:tr w:rsidR="00397857" w:rsidRPr="005E4DB5" w14:paraId="71AF62C8" w14:textId="77777777" w:rsidTr="00397857">
        <w:tc>
          <w:tcPr>
            <w:cnfStyle w:val="001000000000" w:firstRow="0" w:lastRow="0" w:firstColumn="1" w:lastColumn="0" w:oddVBand="0" w:evenVBand="0" w:oddHBand="0" w:evenHBand="0" w:firstRowFirstColumn="0" w:firstRowLastColumn="0" w:lastRowFirstColumn="0" w:lastRowLastColumn="0"/>
            <w:tcW w:w="1280" w:type="pct"/>
          </w:tcPr>
          <w:p w14:paraId="2BCFF501" w14:textId="77777777" w:rsidR="00397857" w:rsidRPr="005E4DB5" w:rsidRDefault="00397857" w:rsidP="00397857">
            <w:pPr>
              <w:pStyle w:val="TableText"/>
            </w:pPr>
            <w:r w:rsidRPr="005E4DB5">
              <w:t>Workforce Accommodation Strategy</w:t>
            </w:r>
          </w:p>
        </w:tc>
        <w:tc>
          <w:tcPr>
            <w:tcW w:w="3017" w:type="pct"/>
          </w:tcPr>
          <w:p w14:paraId="63F6E879" w14:textId="2121664B"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Before development starts, a Workforce Accommodation Strategy would be developed and implemented for the construction and decommissioning workforce to the satisfaction of Moyne Shire</w:t>
            </w:r>
            <w:r w:rsidR="00BC02CA">
              <w:t xml:space="preserve"> Council</w:t>
            </w:r>
            <w:r w:rsidRPr="005E4DB5">
              <w:t xml:space="preserve">. The aim of the accommodation strategy </w:t>
            </w:r>
            <w:r w:rsidR="001D2A37">
              <w:t>is</w:t>
            </w:r>
            <w:r w:rsidR="001D2A37" w:rsidRPr="005E4DB5">
              <w:t xml:space="preserve"> </w:t>
            </w:r>
            <w:r w:rsidRPr="005E4DB5">
              <w:t>to reduce the likelihood of displacement of existing residents during construction.</w:t>
            </w:r>
          </w:p>
        </w:tc>
        <w:tc>
          <w:tcPr>
            <w:tcW w:w="703" w:type="pct"/>
          </w:tcPr>
          <w:p w14:paraId="1241643E" w14:textId="7912BBFA" w:rsidR="00397857" w:rsidRPr="005E4DB5" w:rsidRDefault="00397857" w:rsidP="00397857">
            <w:pPr>
              <w:pStyle w:val="TableText"/>
              <w:cnfStyle w:val="000000000000" w:firstRow="0" w:lastRow="0" w:firstColumn="0" w:lastColumn="0" w:oddVBand="0" w:evenVBand="0" w:oddHBand="0" w:evenHBand="0" w:firstRowFirstColumn="0" w:firstRowLastColumn="0" w:lastRowFirstColumn="0" w:lastRowLastColumn="0"/>
            </w:pPr>
            <w:r w:rsidRPr="005E4DB5">
              <w:t>SE1</w:t>
            </w:r>
            <w:r w:rsidR="00057FE3">
              <w:t>5</w:t>
            </w:r>
          </w:p>
        </w:tc>
      </w:tr>
    </w:tbl>
    <w:p w14:paraId="7F75C2D5" w14:textId="77777777" w:rsidR="00397857" w:rsidRPr="00FC7FE4" w:rsidRDefault="00397857" w:rsidP="00FC7FE4">
      <w:pPr>
        <w:pStyle w:val="Heading3"/>
      </w:pPr>
      <w:bookmarkStart w:id="85" w:name="_Toc87023764"/>
      <w:bookmarkStart w:id="86" w:name="_Toc105159971"/>
      <w:r w:rsidRPr="00FC7FE4">
        <w:t>Operational environmental management</w:t>
      </w:r>
      <w:bookmarkEnd w:id="85"/>
      <w:bookmarkEnd w:id="86"/>
      <w:r w:rsidRPr="00FC7FE4">
        <w:t xml:space="preserve"> </w:t>
      </w:r>
    </w:p>
    <w:p w14:paraId="63C06701" w14:textId="6E2136DB" w:rsidR="00397857" w:rsidRPr="005E4DB5" w:rsidRDefault="00397857" w:rsidP="00397857">
      <w:pPr>
        <w:pStyle w:val="BodyText"/>
      </w:pPr>
      <w:r w:rsidRPr="005E4DB5">
        <w:t xml:space="preserve">The overarching management document for operation of the project would be the </w:t>
      </w:r>
      <w:r w:rsidR="00256ACF">
        <w:t>Operations</w:t>
      </w:r>
      <w:r w:rsidR="00A775DA">
        <w:t> </w:t>
      </w:r>
      <w:r w:rsidR="00256ACF">
        <w:t>Environmental Management Plan</w:t>
      </w:r>
      <w:r w:rsidRPr="005E4DB5">
        <w:t xml:space="preserve">. The operator would develop an </w:t>
      </w:r>
      <w:r w:rsidR="00256ACF">
        <w:t>Operations Environmental Management Plan</w:t>
      </w:r>
      <w:r w:rsidRPr="005E4DB5">
        <w:t xml:space="preserve"> in accordance with the requirements of the EMF</w:t>
      </w:r>
      <w:r w:rsidR="00BC02CA">
        <w:t xml:space="preserve"> and</w:t>
      </w:r>
      <w:r w:rsidRPr="005E4DB5">
        <w:t xml:space="preserve"> EMMs</w:t>
      </w:r>
      <w:r w:rsidR="00BC02CA">
        <w:t>,</w:t>
      </w:r>
      <w:r w:rsidRPr="005E4DB5">
        <w:t xml:space="preserve"> and address potential environmental impacts of operation and maintenance activities associated with the project.</w:t>
      </w:r>
    </w:p>
    <w:p w14:paraId="673C747E" w14:textId="5A51E1DC" w:rsidR="00397857" w:rsidRPr="005E4DB5" w:rsidRDefault="00397857" w:rsidP="00397857">
      <w:pPr>
        <w:pStyle w:val="BodyText"/>
      </w:pPr>
      <w:r w:rsidRPr="005E4DB5">
        <w:t xml:space="preserve">The </w:t>
      </w:r>
      <w:r w:rsidR="00256ACF">
        <w:t>Operations Environmental Management Plan</w:t>
      </w:r>
      <w:r w:rsidRPr="005E4DB5">
        <w:t xml:space="preserve"> would identify the nature of operational activities and environmental features of the project </w:t>
      </w:r>
      <w:r w:rsidR="00BC02CA">
        <w:t>site,</w:t>
      </w:r>
      <w:r w:rsidR="00BC02CA" w:rsidRPr="005E4DB5">
        <w:t xml:space="preserve"> </w:t>
      </w:r>
      <w:r w:rsidRPr="005E4DB5">
        <w:t>and contain detailed procedures and responsibilities for:</w:t>
      </w:r>
    </w:p>
    <w:p w14:paraId="154DEB87" w14:textId="77777777" w:rsidR="00397857" w:rsidRPr="005E4DB5" w:rsidRDefault="00397857" w:rsidP="009E54D9">
      <w:pPr>
        <w:pStyle w:val="ListBullet"/>
        <w:contextualSpacing/>
      </w:pPr>
      <w:r w:rsidRPr="005E4DB5">
        <w:t>achieving compliance with the operational EMMs</w:t>
      </w:r>
    </w:p>
    <w:p w14:paraId="69516724" w14:textId="77777777" w:rsidR="00397857" w:rsidRPr="005E4DB5" w:rsidRDefault="00397857" w:rsidP="009E54D9">
      <w:pPr>
        <w:pStyle w:val="ListBullet"/>
        <w:contextualSpacing/>
      </w:pPr>
      <w:r w:rsidRPr="005E4DB5">
        <w:t>achieving compliance with approval conditions and relevant legislation</w:t>
      </w:r>
    </w:p>
    <w:p w14:paraId="72EECCC2" w14:textId="0AC4ADBB" w:rsidR="00397857" w:rsidRPr="005E4DB5" w:rsidRDefault="00397857" w:rsidP="009E54D9">
      <w:pPr>
        <w:pStyle w:val="ListBullet"/>
        <w:contextualSpacing/>
      </w:pPr>
      <w:r w:rsidRPr="005E4DB5">
        <w:t>identifying, managing and monitoring environmental risks and issues during operation</w:t>
      </w:r>
      <w:r w:rsidR="00BC02CA">
        <w:t>,</w:t>
      </w:r>
      <w:r w:rsidRPr="005E4DB5">
        <w:t xml:space="preserve"> and implementing contingency measures</w:t>
      </w:r>
    </w:p>
    <w:p w14:paraId="4E3211E8" w14:textId="77777777" w:rsidR="00397857" w:rsidRPr="005E4DB5" w:rsidRDefault="00397857" w:rsidP="009E54D9">
      <w:pPr>
        <w:pStyle w:val="ListBullet"/>
        <w:contextualSpacing/>
      </w:pPr>
      <w:r w:rsidRPr="005E4DB5">
        <w:t>site inductions, training, competency and awareness</w:t>
      </w:r>
    </w:p>
    <w:p w14:paraId="71E5CC9E" w14:textId="77777777" w:rsidR="00397857" w:rsidRPr="005E4DB5" w:rsidRDefault="00397857" w:rsidP="009E54D9">
      <w:pPr>
        <w:pStyle w:val="ListBullet"/>
        <w:contextualSpacing/>
      </w:pPr>
      <w:r w:rsidRPr="005E4DB5">
        <w:t>communication and reporting</w:t>
      </w:r>
    </w:p>
    <w:p w14:paraId="17E7B35A" w14:textId="77777777" w:rsidR="00397857" w:rsidRPr="005E4DB5" w:rsidRDefault="00397857" w:rsidP="009E54D9">
      <w:pPr>
        <w:pStyle w:val="ListBullet"/>
        <w:contextualSpacing/>
      </w:pPr>
      <w:r w:rsidRPr="005E4DB5">
        <w:t>environmental monitoring, reporting and auditing requirements</w:t>
      </w:r>
    </w:p>
    <w:p w14:paraId="2ED8312E" w14:textId="0877714E" w:rsidR="00397857" w:rsidRPr="005E4DB5" w:rsidRDefault="00397857" w:rsidP="009E54D9">
      <w:pPr>
        <w:pStyle w:val="ListBullet"/>
        <w:contextualSpacing/>
      </w:pPr>
      <w:r w:rsidRPr="005E4DB5">
        <w:t>managing complaints, incidents</w:t>
      </w:r>
      <w:r w:rsidR="00BC02CA">
        <w:t xml:space="preserve"> and</w:t>
      </w:r>
      <w:r w:rsidRPr="005E4DB5">
        <w:t xml:space="preserve"> non-conformances</w:t>
      </w:r>
      <w:r w:rsidR="00BC02CA">
        <w:t>,</w:t>
      </w:r>
      <w:r w:rsidRPr="005E4DB5">
        <w:t xml:space="preserve"> and taking corrective and preventative action</w:t>
      </w:r>
    </w:p>
    <w:p w14:paraId="36E36F01" w14:textId="1B555EA9" w:rsidR="00397857" w:rsidRPr="005E4DB5" w:rsidRDefault="00397857" w:rsidP="009E54D9">
      <w:pPr>
        <w:pStyle w:val="ListBullet"/>
        <w:contextualSpacing/>
      </w:pPr>
      <w:r w:rsidRPr="005E4DB5">
        <w:t>emergency preparedness and response</w:t>
      </w:r>
      <w:r w:rsidR="00BC02CA">
        <w:t>,</w:t>
      </w:r>
      <w:r w:rsidRPr="005E4DB5">
        <w:t xml:space="preserve"> including arrangements for containing environmental damage and attendance on-site in the event of an emergency</w:t>
      </w:r>
    </w:p>
    <w:p w14:paraId="4E26432B" w14:textId="77777777" w:rsidR="00397857" w:rsidRPr="005E4DB5" w:rsidRDefault="00397857" w:rsidP="009E54D9">
      <w:pPr>
        <w:pStyle w:val="ListBullet"/>
        <w:contextualSpacing/>
      </w:pPr>
      <w:r w:rsidRPr="005E4DB5">
        <w:t>review and continuous improvement.</w:t>
      </w:r>
    </w:p>
    <w:p w14:paraId="2CEB9F3D" w14:textId="77035D00" w:rsidR="00397857" w:rsidRPr="005E4DB5" w:rsidRDefault="00397857" w:rsidP="00A775DA">
      <w:pPr>
        <w:pStyle w:val="BodyText"/>
      </w:pPr>
      <w:r w:rsidRPr="005E4DB5">
        <w:t xml:space="preserve">The </w:t>
      </w:r>
      <w:r w:rsidR="00256ACF">
        <w:t>Operations Environmental Management Plan</w:t>
      </w:r>
      <w:r w:rsidRPr="005E4DB5">
        <w:t xml:space="preserve"> would be prepared in consultation with agencies relevant to the works covered in the plan</w:t>
      </w:r>
      <w:r w:rsidR="00BC02CA">
        <w:t>,</w:t>
      </w:r>
      <w:r w:rsidRPr="005E4DB5">
        <w:t xml:space="preserve"> including DELWP, EPA Victoria, and as required by any relevant EMM. Like the </w:t>
      </w:r>
      <w:r w:rsidR="00256ACF">
        <w:t>Construction Environmental Management Plan</w:t>
      </w:r>
      <w:r w:rsidRPr="005E4DB5">
        <w:t xml:space="preserve">, a number of plans would sit within the </w:t>
      </w:r>
      <w:r w:rsidR="00256ACF">
        <w:t>Operations</w:t>
      </w:r>
      <w:r w:rsidR="00A775DA">
        <w:t> </w:t>
      </w:r>
      <w:r w:rsidR="00256ACF">
        <w:t>Environmental Management Plan</w:t>
      </w:r>
      <w:r w:rsidRPr="005E4DB5">
        <w:t xml:space="preserve">. These would include, but not be limited to: </w:t>
      </w:r>
    </w:p>
    <w:p w14:paraId="6648C019" w14:textId="304FEE5F" w:rsidR="00397857" w:rsidRPr="005E4DB5" w:rsidRDefault="009E54D9" w:rsidP="009E54D9">
      <w:pPr>
        <w:pStyle w:val="ListBullet"/>
        <w:contextualSpacing/>
      </w:pPr>
      <w:r w:rsidRPr="005E4DB5">
        <w:t xml:space="preserve">noise </w:t>
      </w:r>
      <w:r w:rsidR="00397857" w:rsidRPr="005E4DB5">
        <w:t>management</w:t>
      </w:r>
    </w:p>
    <w:p w14:paraId="0FFE703A" w14:textId="109E1D48" w:rsidR="00397857" w:rsidRPr="005E4DB5" w:rsidRDefault="009E54D9" w:rsidP="009E54D9">
      <w:pPr>
        <w:pStyle w:val="ListBullet"/>
        <w:contextualSpacing/>
      </w:pPr>
      <w:r w:rsidRPr="005E4DB5">
        <w:t xml:space="preserve">bat </w:t>
      </w:r>
      <w:r w:rsidR="00397857" w:rsidRPr="005E4DB5">
        <w:t xml:space="preserve">and avifauna management </w:t>
      </w:r>
    </w:p>
    <w:p w14:paraId="2F241F30" w14:textId="31A13BFD" w:rsidR="00397857" w:rsidRPr="005E4DB5" w:rsidRDefault="009E54D9" w:rsidP="009E54D9">
      <w:pPr>
        <w:pStyle w:val="ListBullet"/>
        <w:contextualSpacing/>
      </w:pPr>
      <w:r w:rsidRPr="005E4DB5">
        <w:t xml:space="preserve">bushfire </w:t>
      </w:r>
      <w:r w:rsidR="00397857" w:rsidRPr="005E4DB5">
        <w:t xml:space="preserve">management </w:t>
      </w:r>
    </w:p>
    <w:p w14:paraId="17CD3E2B" w14:textId="4D23D67D" w:rsidR="00397857" w:rsidRPr="005E4DB5" w:rsidRDefault="009E54D9" w:rsidP="009E54D9">
      <w:pPr>
        <w:pStyle w:val="ListBullet"/>
        <w:contextualSpacing/>
      </w:pPr>
      <w:r w:rsidRPr="005E4DB5">
        <w:t xml:space="preserve">biosecurity </w:t>
      </w:r>
      <w:r w:rsidR="00397857" w:rsidRPr="005E4DB5">
        <w:t>management</w:t>
      </w:r>
    </w:p>
    <w:p w14:paraId="37D6C745" w14:textId="28D12040" w:rsidR="00397857" w:rsidRPr="005E4DB5" w:rsidRDefault="009E54D9" w:rsidP="009E54D9">
      <w:pPr>
        <w:pStyle w:val="ListBullet"/>
        <w:contextualSpacing/>
      </w:pPr>
      <w:r w:rsidRPr="005E4DB5">
        <w:t>hazardous </w:t>
      </w:r>
      <w:r w:rsidR="00397857" w:rsidRPr="005E4DB5">
        <w:t xml:space="preserve">substances management </w:t>
      </w:r>
    </w:p>
    <w:p w14:paraId="45A77F21" w14:textId="0C463FFD" w:rsidR="00397857" w:rsidRPr="005E4DB5" w:rsidRDefault="009E54D9" w:rsidP="009E54D9">
      <w:pPr>
        <w:pStyle w:val="ListBullet"/>
        <w:contextualSpacing/>
      </w:pPr>
      <w:r w:rsidRPr="005E4DB5">
        <w:t xml:space="preserve">spills </w:t>
      </w:r>
      <w:r w:rsidR="00397857" w:rsidRPr="005E4DB5">
        <w:t xml:space="preserve">management and response </w:t>
      </w:r>
      <w:r w:rsidR="0024331B">
        <w:t>(</w:t>
      </w:r>
      <w:r w:rsidR="00397857" w:rsidRPr="005E4DB5">
        <w:t>SW07</w:t>
      </w:r>
      <w:r w:rsidR="00747230">
        <w:t>, GW11</w:t>
      </w:r>
      <w:r w:rsidR="0024331B">
        <w:t>)</w:t>
      </w:r>
      <w:r w:rsidR="00397857" w:rsidRPr="005E4DB5">
        <w:t xml:space="preserve"> </w:t>
      </w:r>
    </w:p>
    <w:p w14:paraId="45C4DF64" w14:textId="4618FC59" w:rsidR="00397857" w:rsidRPr="005E4DB5" w:rsidRDefault="009E54D9" w:rsidP="009E54D9">
      <w:pPr>
        <w:pStyle w:val="ListBullet"/>
        <w:contextualSpacing/>
      </w:pPr>
      <w:r w:rsidRPr="005E4DB5">
        <w:t xml:space="preserve">incident </w:t>
      </w:r>
      <w:r w:rsidR="00397857" w:rsidRPr="005E4DB5">
        <w:t>and emergency response.</w:t>
      </w:r>
    </w:p>
    <w:p w14:paraId="2CBAE755" w14:textId="77777777" w:rsidR="00397857" w:rsidRPr="00FC7FE4" w:rsidRDefault="00397857" w:rsidP="00FC7FE4">
      <w:pPr>
        <w:pStyle w:val="Heading3"/>
      </w:pPr>
      <w:bookmarkStart w:id="87" w:name="_Toc87023765"/>
      <w:bookmarkStart w:id="88" w:name="_Toc105159972"/>
      <w:r w:rsidRPr="00FC7FE4">
        <w:t>Decommissioning environmental management</w:t>
      </w:r>
      <w:bookmarkEnd w:id="87"/>
      <w:bookmarkEnd w:id="88"/>
      <w:r w:rsidRPr="00FC7FE4">
        <w:t xml:space="preserve"> </w:t>
      </w:r>
    </w:p>
    <w:p w14:paraId="19495FDA" w14:textId="726628D5" w:rsidR="00397857" w:rsidRPr="005E4DB5" w:rsidRDefault="00397857" w:rsidP="00397857">
      <w:pPr>
        <w:pStyle w:val="BodyText"/>
      </w:pPr>
      <w:r w:rsidRPr="005E4DB5">
        <w:t>The overarching management document for decommissioning of the project would be the Decommissioning</w:t>
      </w:r>
      <w:r w:rsidR="00A775DA">
        <w:t> </w:t>
      </w:r>
      <w:r w:rsidRPr="005E4DB5">
        <w:t>Plan. The operator would develop a Decommissioning Plan in accordance with the requirements of the EMF</w:t>
      </w:r>
      <w:r w:rsidR="00BC02CA">
        <w:t xml:space="preserve"> and</w:t>
      </w:r>
      <w:r w:rsidRPr="005E4DB5">
        <w:t xml:space="preserve"> EMMs</w:t>
      </w:r>
      <w:r w:rsidR="00BC02CA">
        <w:t>,</w:t>
      </w:r>
      <w:r w:rsidRPr="005E4DB5">
        <w:t xml:space="preserve"> and address potential environmental impacts of decommissioning activities associated with the project. The plan would identify the nature of decommissioning activities</w:t>
      </w:r>
      <w:r w:rsidR="00BC02CA">
        <w:t>,</w:t>
      </w:r>
      <w:r w:rsidRPr="005E4DB5">
        <w:t xml:space="preserve"> and contain detailed procedures and responsibilities including detailed plans for the following infrastructure elements:</w:t>
      </w:r>
    </w:p>
    <w:p w14:paraId="2EEEFBF9" w14:textId="77777777" w:rsidR="00397857" w:rsidRPr="005E4DB5" w:rsidRDefault="00397857" w:rsidP="00375C7D">
      <w:pPr>
        <w:pStyle w:val="ListBullet"/>
        <w:contextualSpacing/>
      </w:pPr>
      <w:r w:rsidRPr="005E4DB5">
        <w:t>access tracks</w:t>
      </w:r>
    </w:p>
    <w:p w14:paraId="214547C4" w14:textId="77777777" w:rsidR="00397857" w:rsidRPr="005E4DB5" w:rsidRDefault="00397857" w:rsidP="00375C7D">
      <w:pPr>
        <w:pStyle w:val="ListBullet"/>
        <w:contextualSpacing/>
      </w:pPr>
      <w:r w:rsidRPr="005E4DB5">
        <w:t>hardstands</w:t>
      </w:r>
    </w:p>
    <w:p w14:paraId="79DEE88A" w14:textId="77777777" w:rsidR="00397857" w:rsidRPr="005E4DB5" w:rsidRDefault="00397857" w:rsidP="00375C7D">
      <w:pPr>
        <w:pStyle w:val="ListBullet"/>
        <w:contextualSpacing/>
      </w:pPr>
      <w:r w:rsidRPr="005E4DB5">
        <w:t>footings</w:t>
      </w:r>
    </w:p>
    <w:p w14:paraId="778BFB21" w14:textId="77777777" w:rsidR="00397857" w:rsidRPr="005E4DB5" w:rsidRDefault="00397857" w:rsidP="00375C7D">
      <w:pPr>
        <w:pStyle w:val="ListBullet"/>
        <w:contextualSpacing/>
      </w:pPr>
      <w:r w:rsidRPr="005E4DB5">
        <w:t>wind turbine generators</w:t>
      </w:r>
    </w:p>
    <w:p w14:paraId="502E0AB6" w14:textId="77777777" w:rsidR="00397857" w:rsidRPr="005E4DB5" w:rsidRDefault="00397857" w:rsidP="00375C7D">
      <w:pPr>
        <w:pStyle w:val="ListBullet"/>
        <w:contextualSpacing/>
      </w:pPr>
      <w:r w:rsidRPr="005E4DB5">
        <w:t>battery energy storage facility</w:t>
      </w:r>
    </w:p>
    <w:p w14:paraId="115DCD59" w14:textId="77777777" w:rsidR="00397857" w:rsidRPr="005E4DB5" w:rsidRDefault="00397857" w:rsidP="00375C7D">
      <w:pPr>
        <w:pStyle w:val="ListBullet"/>
        <w:contextualSpacing/>
      </w:pPr>
      <w:r w:rsidRPr="005E4DB5">
        <w:t>on-site substation</w:t>
      </w:r>
    </w:p>
    <w:p w14:paraId="569B9204" w14:textId="77777777" w:rsidR="00397857" w:rsidRPr="005E4DB5" w:rsidRDefault="00397857" w:rsidP="00375C7D">
      <w:pPr>
        <w:pStyle w:val="ListBullet"/>
        <w:contextualSpacing/>
      </w:pPr>
      <w:r w:rsidRPr="005E4DB5">
        <w:t xml:space="preserve">operations and maintenance facility. </w:t>
      </w:r>
    </w:p>
    <w:p w14:paraId="293D969F" w14:textId="77777777" w:rsidR="00397857" w:rsidRPr="005E4DB5" w:rsidRDefault="00397857" w:rsidP="00397857">
      <w:pPr>
        <w:pStyle w:val="BodyText"/>
      </w:pPr>
      <w:r w:rsidRPr="005E4DB5">
        <w:t>The Decommissioning Plan would also outline:</w:t>
      </w:r>
    </w:p>
    <w:p w14:paraId="3AC80C35" w14:textId="77777777" w:rsidR="00397857" w:rsidRPr="005E4DB5" w:rsidRDefault="00397857" w:rsidP="00375C7D">
      <w:pPr>
        <w:pStyle w:val="ListBullet"/>
        <w:contextualSpacing/>
      </w:pPr>
      <w:r w:rsidRPr="005E4DB5">
        <w:t>waste and materials management</w:t>
      </w:r>
    </w:p>
    <w:p w14:paraId="27891ACE" w14:textId="77777777" w:rsidR="00397857" w:rsidRPr="005E4DB5" w:rsidRDefault="00397857" w:rsidP="00375C7D">
      <w:pPr>
        <w:pStyle w:val="ListBullet"/>
        <w:contextualSpacing/>
      </w:pPr>
      <w:r w:rsidRPr="005E4DB5">
        <w:t>ongoing site monitoring and rehabilitation plans</w:t>
      </w:r>
    </w:p>
    <w:p w14:paraId="51D62A99" w14:textId="77777777" w:rsidR="00397857" w:rsidRPr="005E4DB5" w:rsidRDefault="00397857" w:rsidP="00375C7D">
      <w:pPr>
        <w:pStyle w:val="ListBullet"/>
        <w:contextualSpacing/>
      </w:pPr>
      <w:r w:rsidRPr="005E4DB5">
        <w:t>the timeframe for decommissioning activities</w:t>
      </w:r>
    </w:p>
    <w:p w14:paraId="202D20A7" w14:textId="77777777" w:rsidR="00397857" w:rsidRPr="005E4DB5" w:rsidRDefault="00397857" w:rsidP="00375C7D">
      <w:pPr>
        <w:pStyle w:val="ListBullet"/>
        <w:contextualSpacing/>
      </w:pPr>
      <w:r w:rsidRPr="005E4DB5">
        <w:t xml:space="preserve">project management, monitoring and assurance. </w:t>
      </w:r>
    </w:p>
    <w:p w14:paraId="7E4A5DD0" w14:textId="77777777" w:rsidR="00397857" w:rsidRPr="005E4DB5" w:rsidRDefault="00397857" w:rsidP="00397857">
      <w:pPr>
        <w:pStyle w:val="BodyText"/>
      </w:pPr>
      <w:r w:rsidRPr="005E4DB5">
        <w:t>Several decommissioning-specific plans would also be prepared including:</w:t>
      </w:r>
    </w:p>
    <w:p w14:paraId="05FDE8C8" w14:textId="7C2E85FB" w:rsidR="00397857" w:rsidRPr="005E4DB5" w:rsidRDefault="00397857" w:rsidP="00375C7D">
      <w:pPr>
        <w:pStyle w:val="ListBullet"/>
        <w:contextualSpacing/>
      </w:pPr>
      <w:r w:rsidRPr="005E4DB5">
        <w:t xml:space="preserve">a decommissioning </w:t>
      </w:r>
      <w:r w:rsidR="00BC02CA">
        <w:t>T</w:t>
      </w:r>
      <w:r w:rsidRPr="005E4DB5">
        <w:t xml:space="preserve">raffic </w:t>
      </w:r>
      <w:r w:rsidR="00BC02CA">
        <w:t>M</w:t>
      </w:r>
      <w:r w:rsidRPr="005E4DB5">
        <w:t xml:space="preserve">anagement </w:t>
      </w:r>
      <w:r w:rsidR="00BC02CA">
        <w:t>P</w:t>
      </w:r>
      <w:r w:rsidRPr="005E4DB5">
        <w:t>lan that specifies measures to manage traffic impacts associated with removing the turbine(s) and associated infrastructure from the site</w:t>
      </w:r>
    </w:p>
    <w:p w14:paraId="78D7E9A4" w14:textId="77777777" w:rsidR="00397857" w:rsidRPr="005E4DB5" w:rsidRDefault="00397857" w:rsidP="00375C7D">
      <w:pPr>
        <w:pStyle w:val="ListBullet"/>
        <w:contextualSpacing/>
      </w:pPr>
      <w:r w:rsidRPr="005E4DB5">
        <w:t>noise and vibration management plan for decommissioning related works</w:t>
      </w:r>
    </w:p>
    <w:p w14:paraId="0E2B2022" w14:textId="77777777" w:rsidR="00397857" w:rsidRPr="005E4DB5" w:rsidRDefault="00397857" w:rsidP="00375C7D">
      <w:pPr>
        <w:pStyle w:val="ListBullet"/>
        <w:contextualSpacing/>
      </w:pPr>
      <w:r w:rsidRPr="005E4DB5">
        <w:t xml:space="preserve">dust management plan. </w:t>
      </w:r>
    </w:p>
    <w:p w14:paraId="277C6D07" w14:textId="77777777" w:rsidR="00397857" w:rsidRPr="00FC7FE4" w:rsidRDefault="00397857" w:rsidP="00FC7FE4">
      <w:pPr>
        <w:pStyle w:val="Heading2"/>
      </w:pPr>
      <w:bookmarkStart w:id="89" w:name="_Ref85811703"/>
      <w:bookmarkStart w:id="90" w:name="_Toc87023766"/>
      <w:bookmarkStart w:id="91" w:name="_Toc105159973"/>
      <w:r w:rsidRPr="00FC7FE4">
        <w:t>Performance management</w:t>
      </w:r>
      <w:bookmarkEnd w:id="89"/>
      <w:bookmarkEnd w:id="90"/>
      <w:bookmarkEnd w:id="91"/>
    </w:p>
    <w:p w14:paraId="6B6F739E" w14:textId="77777777" w:rsidR="00397857" w:rsidRPr="00FC7FE4" w:rsidRDefault="00397857" w:rsidP="00FC7FE4">
      <w:pPr>
        <w:pStyle w:val="Heading3"/>
      </w:pPr>
      <w:bookmarkStart w:id="92" w:name="_Toc87023767"/>
      <w:bookmarkStart w:id="93" w:name="_Toc105159974"/>
      <w:r w:rsidRPr="00FC7FE4">
        <w:t>Compliance monitoring</w:t>
      </w:r>
      <w:bookmarkEnd w:id="92"/>
      <w:bookmarkEnd w:id="93"/>
    </w:p>
    <w:p w14:paraId="2DB35894" w14:textId="45423888" w:rsidR="00397857" w:rsidRPr="005E4DB5" w:rsidRDefault="00397857" w:rsidP="00375C7D">
      <w:pPr>
        <w:pStyle w:val="BodyText"/>
      </w:pPr>
      <w:r w:rsidRPr="005E4DB5">
        <w:t xml:space="preserve">The project </w:t>
      </w:r>
      <w:r w:rsidR="001D2A37">
        <w:t>would</w:t>
      </w:r>
      <w:r w:rsidR="001D2A37" w:rsidRPr="005E4DB5">
        <w:t xml:space="preserve"> </w:t>
      </w:r>
      <w:r w:rsidRPr="005E4DB5">
        <w:t xml:space="preserve">implement a proactive monitoring regime to assess the ongoing environmental performance of the project and identify any instances of breaches against the performance criteria set out by legislation and the project’s planning permit. </w:t>
      </w:r>
    </w:p>
    <w:p w14:paraId="5459FA0F" w14:textId="7D41DBDC" w:rsidR="00397857" w:rsidRDefault="00397857" w:rsidP="00375C7D">
      <w:pPr>
        <w:pStyle w:val="BodyText"/>
      </w:pPr>
      <w:r w:rsidRPr="005E4DB5">
        <w:t xml:space="preserve">The contractor </w:t>
      </w:r>
      <w:r w:rsidR="001D2A37">
        <w:t>would</w:t>
      </w:r>
      <w:r w:rsidR="001D2A37" w:rsidRPr="005E4DB5">
        <w:t xml:space="preserve"> </w:t>
      </w:r>
      <w:r w:rsidRPr="005E4DB5">
        <w:t xml:space="preserve">employ an Environmental Manager who </w:t>
      </w:r>
      <w:r w:rsidR="001D2A37">
        <w:t>would</w:t>
      </w:r>
      <w:r w:rsidR="001D2A37" w:rsidRPr="005E4DB5">
        <w:t xml:space="preserve"> </w:t>
      </w:r>
      <w:r w:rsidRPr="005E4DB5">
        <w:t xml:space="preserve">be responsible for overseeing the implementation of management plans, correcting non-compliance, investigating environmental incidents, meeting monthly with the site manager, undertaking periodic reviews of performance against requirements, and procuring independent audits of the </w:t>
      </w:r>
      <w:r w:rsidR="00CB3865" w:rsidRPr="00CB3865">
        <w:t>environmental management system</w:t>
      </w:r>
      <w:r w:rsidRPr="005E4DB5">
        <w:t xml:space="preserve"> and management plans.</w:t>
      </w:r>
    </w:p>
    <w:p w14:paraId="629C7298" w14:textId="706CB054" w:rsidR="001F2A42" w:rsidRDefault="001F2A42" w:rsidP="001F2A42">
      <w:r>
        <w:t xml:space="preserve">Plans developed for the project (in Section </w:t>
      </w:r>
      <w:r>
        <w:fldChar w:fldCharType="begin"/>
      </w:r>
      <w:r>
        <w:instrText xml:space="preserve"> REF _Ref103332013 \w \h </w:instrText>
      </w:r>
      <w:r>
        <w:fldChar w:fldCharType="separate"/>
      </w:r>
      <w:r w:rsidR="00694153">
        <w:t>26.6</w:t>
      </w:r>
      <w:r>
        <w:fldChar w:fldCharType="end"/>
      </w:r>
      <w:r>
        <w:t>) would follow the plan-do-check-act framework to ensure continual improvement. This would include:</w:t>
      </w:r>
    </w:p>
    <w:p w14:paraId="68B9A217" w14:textId="7BC1C369" w:rsidR="001F2A42" w:rsidRDefault="00AA2245" w:rsidP="001F2A42">
      <w:pPr>
        <w:pStyle w:val="ListBullet"/>
        <w:contextualSpacing/>
      </w:pPr>
      <w:r>
        <w:t>d</w:t>
      </w:r>
      <w:r w:rsidR="001F2A42">
        <w:t>eveloping plans that establish clear processes necessary to deliver defined objectives</w:t>
      </w:r>
    </w:p>
    <w:p w14:paraId="14C98F70" w14:textId="5719A210" w:rsidR="001F2A42" w:rsidRDefault="00AA2245" w:rsidP="001F2A42">
      <w:pPr>
        <w:pStyle w:val="ListBullet"/>
        <w:contextualSpacing/>
      </w:pPr>
      <w:r>
        <w:t>i</w:t>
      </w:r>
      <w:r w:rsidR="001F2A42">
        <w:t xml:space="preserve">mplementing these processes </w:t>
      </w:r>
    </w:p>
    <w:p w14:paraId="339D3F8E" w14:textId="33B88CE0" w:rsidR="001F2A42" w:rsidRDefault="00AA2245" w:rsidP="001F2A42">
      <w:pPr>
        <w:pStyle w:val="ListBullet"/>
        <w:contextualSpacing/>
      </w:pPr>
      <w:r>
        <w:t>m</w:t>
      </w:r>
      <w:r w:rsidR="001F2A42">
        <w:t>onitor</w:t>
      </w:r>
      <w:r>
        <w:t>ing</w:t>
      </w:r>
      <w:r w:rsidR="001F2A42">
        <w:t xml:space="preserve"> and measur</w:t>
      </w:r>
      <w:r>
        <w:t>ing</w:t>
      </w:r>
      <w:r w:rsidR="001F2A42">
        <w:t xml:space="preserve"> the effectiveness of these processes to achieve the defined objectives (see</w:t>
      </w:r>
      <w:r w:rsidR="00A775DA">
        <w:t> </w:t>
      </w:r>
      <w:r w:rsidR="001F2A42">
        <w:t>below)</w:t>
      </w:r>
    </w:p>
    <w:p w14:paraId="1ACD95E0" w14:textId="5EEDA5DB" w:rsidR="001F2A42" w:rsidRPr="001F2A42" w:rsidRDefault="00AA2245" w:rsidP="00D32A2F">
      <w:pPr>
        <w:pStyle w:val="ListBullet"/>
        <w:contextualSpacing/>
      </w:pPr>
      <w:r>
        <w:t>a</w:t>
      </w:r>
      <w:r w:rsidR="00332855">
        <w:t>ct</w:t>
      </w:r>
      <w:r>
        <w:t>ing</w:t>
      </w:r>
      <w:r w:rsidR="00332855">
        <w:t xml:space="preserve"> by taking measures to continually improve processes.</w:t>
      </w:r>
    </w:p>
    <w:p w14:paraId="1ADAF88E" w14:textId="77777777" w:rsidR="00397857" w:rsidRPr="00FC7FE4" w:rsidRDefault="00397857" w:rsidP="00375C7D">
      <w:pPr>
        <w:pStyle w:val="Heading3"/>
      </w:pPr>
      <w:bookmarkStart w:id="94" w:name="_Toc87023768"/>
      <w:bookmarkStart w:id="95" w:name="_Toc105159975"/>
      <w:r w:rsidRPr="00FC7FE4">
        <w:t>Auditing and reporting</w:t>
      </w:r>
      <w:bookmarkEnd w:id="94"/>
      <w:bookmarkEnd w:id="95"/>
    </w:p>
    <w:p w14:paraId="5D7E10AA" w14:textId="1733431C" w:rsidR="00397857" w:rsidRPr="005E4DB5" w:rsidRDefault="00397857" w:rsidP="00375C7D">
      <w:pPr>
        <w:pStyle w:val="BodyText"/>
        <w:keepNext/>
      </w:pPr>
      <w:r w:rsidRPr="005E4DB5">
        <w:t xml:space="preserve">Three layers of review and audit </w:t>
      </w:r>
      <w:r w:rsidR="001D2A37">
        <w:t>would</w:t>
      </w:r>
      <w:r w:rsidR="001D2A37" w:rsidRPr="005E4DB5">
        <w:t xml:space="preserve"> </w:t>
      </w:r>
      <w:r w:rsidRPr="005E4DB5">
        <w:t>be implemented for the construction of the project to ensure adaptive management and continual improvement in environmental management can occur. The three levels would include:</w:t>
      </w:r>
    </w:p>
    <w:p w14:paraId="4852229F" w14:textId="4EEB0477" w:rsidR="00397857" w:rsidRPr="005E4DB5" w:rsidRDefault="00375C7D" w:rsidP="00A775DA">
      <w:pPr>
        <w:pStyle w:val="ListBullet"/>
        <w:keepNext/>
      </w:pPr>
      <w:r w:rsidRPr="005E4DB5">
        <w:t xml:space="preserve">monthly </w:t>
      </w:r>
      <w:r w:rsidR="00397857" w:rsidRPr="005E4DB5">
        <w:t>proponent/contractor meetings during the construction phase to discuss and minute:</w:t>
      </w:r>
    </w:p>
    <w:p w14:paraId="120717F0" w14:textId="26B2E951" w:rsidR="00397857" w:rsidRPr="005E4DB5" w:rsidRDefault="00397857" w:rsidP="00A775DA">
      <w:pPr>
        <w:pStyle w:val="ListBullet2"/>
        <w:keepNext/>
        <w:contextualSpacing/>
      </w:pPr>
      <w:r w:rsidRPr="005E4DB5">
        <w:t>compliance and performance against EMMs</w:t>
      </w:r>
    </w:p>
    <w:p w14:paraId="352E146D" w14:textId="77777777" w:rsidR="00397857" w:rsidRPr="005E4DB5" w:rsidRDefault="00397857" w:rsidP="00375C7D">
      <w:pPr>
        <w:pStyle w:val="ListBullet2"/>
        <w:contextualSpacing/>
      </w:pPr>
      <w:r w:rsidRPr="005E4DB5">
        <w:t xml:space="preserve">corrective actions undertaken to meet EMMs </w:t>
      </w:r>
    </w:p>
    <w:p w14:paraId="43D262F4" w14:textId="77777777" w:rsidR="00397857" w:rsidRPr="005E4DB5" w:rsidRDefault="00397857" w:rsidP="00375C7D">
      <w:pPr>
        <w:pStyle w:val="ListBullet2"/>
        <w:contextualSpacing/>
      </w:pPr>
      <w:r w:rsidRPr="005E4DB5">
        <w:t xml:space="preserve">stakeholder interactions and complaints </w:t>
      </w:r>
    </w:p>
    <w:p w14:paraId="792AFDCF" w14:textId="77777777" w:rsidR="00397857" w:rsidRPr="005E4DB5" w:rsidRDefault="00397857" w:rsidP="00375C7D">
      <w:pPr>
        <w:pStyle w:val="ListBullet2"/>
        <w:contextualSpacing/>
      </w:pPr>
      <w:r w:rsidRPr="005E4DB5">
        <w:t>implementation of monitoring programs</w:t>
      </w:r>
    </w:p>
    <w:p w14:paraId="0157DFDF" w14:textId="173EAE4A" w:rsidR="00397857" w:rsidRPr="005E4DB5" w:rsidRDefault="00375C7D" w:rsidP="00375C7D">
      <w:pPr>
        <w:pStyle w:val="ListBullet"/>
      </w:pPr>
      <w:r w:rsidRPr="005E4DB5">
        <w:t>six</w:t>
      </w:r>
      <w:r w:rsidR="00BC02CA">
        <w:t>-</w:t>
      </w:r>
      <w:r w:rsidR="00397857" w:rsidRPr="005E4DB5">
        <w:t>monthly documented contractor review/audit during the construction phase to report on the above items from the past six months</w:t>
      </w:r>
    </w:p>
    <w:p w14:paraId="23341042" w14:textId="200BF2AA" w:rsidR="00397857" w:rsidRPr="005E4DB5" w:rsidRDefault="00375C7D" w:rsidP="00375C7D">
      <w:pPr>
        <w:pStyle w:val="ListBullet"/>
      </w:pPr>
      <w:r w:rsidRPr="005E4DB5">
        <w:t xml:space="preserve">annual </w:t>
      </w:r>
      <w:r w:rsidR="00397857" w:rsidRPr="005E4DB5">
        <w:t>independent review/audit during the construction phase to report on:</w:t>
      </w:r>
    </w:p>
    <w:p w14:paraId="1F6067D5" w14:textId="77777777" w:rsidR="00397857" w:rsidRPr="005E4DB5" w:rsidRDefault="00397857" w:rsidP="00375C7D">
      <w:pPr>
        <w:pStyle w:val="ListBullet2"/>
        <w:contextualSpacing/>
      </w:pPr>
      <w:r w:rsidRPr="005E4DB5">
        <w:t>currency/adequacy of all environmental management documentation</w:t>
      </w:r>
    </w:p>
    <w:p w14:paraId="507C09AB" w14:textId="77777777" w:rsidR="00397857" w:rsidRPr="005E4DB5" w:rsidRDefault="00397857" w:rsidP="00375C7D">
      <w:pPr>
        <w:pStyle w:val="ListBullet2"/>
        <w:contextualSpacing/>
      </w:pPr>
      <w:r w:rsidRPr="005E4DB5">
        <w:t>monthly and six-monthly minutes/reports</w:t>
      </w:r>
    </w:p>
    <w:p w14:paraId="418BB88E" w14:textId="357FFF0F" w:rsidR="00397857" w:rsidRPr="005E4DB5" w:rsidRDefault="00397857" w:rsidP="00375C7D">
      <w:pPr>
        <w:pStyle w:val="ListBullet2"/>
        <w:contextualSpacing/>
      </w:pPr>
      <w:r w:rsidRPr="005E4DB5">
        <w:t xml:space="preserve">quality of </w:t>
      </w:r>
      <w:r w:rsidR="00CB3865" w:rsidRPr="00CB3865">
        <w:t>environmental management system</w:t>
      </w:r>
      <w:r w:rsidRPr="005E4DB5">
        <w:t xml:space="preserve"> against AS/NZS ISO 14001 </w:t>
      </w:r>
      <w:r w:rsidRPr="00EE3EAC">
        <w:rPr>
          <w:i/>
          <w:iCs/>
        </w:rPr>
        <w:t xml:space="preserve">Environmental management systems </w:t>
      </w:r>
      <w:r w:rsidR="00CB3865" w:rsidRPr="00EE3EAC">
        <w:rPr>
          <w:i/>
          <w:iCs/>
        </w:rPr>
        <w:t xml:space="preserve">– Requirements with guidance for use </w:t>
      </w:r>
      <w:r w:rsidRPr="005E4DB5">
        <w:t>standards</w:t>
      </w:r>
    </w:p>
    <w:p w14:paraId="2833F010" w14:textId="6B727E13" w:rsidR="00397857" w:rsidRPr="005E4DB5" w:rsidRDefault="00397857" w:rsidP="00375C7D">
      <w:pPr>
        <w:pStyle w:val="ListBullet2"/>
        <w:contextualSpacing/>
      </w:pPr>
      <w:r w:rsidRPr="005E4DB5">
        <w:t xml:space="preserve">documentation and record keeping of meeting minutes, incidents, non-conformances, </w:t>
      </w:r>
      <w:r w:rsidR="00DC237C" w:rsidRPr="00DC237C">
        <w:t>Construction Environmental Management Plan/Operations Environmental Management Plan</w:t>
      </w:r>
      <w:r w:rsidR="00DC237C">
        <w:t xml:space="preserve"> </w:t>
      </w:r>
      <w:r w:rsidRPr="005E4DB5">
        <w:t>reviews and audits</w:t>
      </w:r>
    </w:p>
    <w:p w14:paraId="6B8D4C6F" w14:textId="77777777" w:rsidR="00397857" w:rsidRPr="005E4DB5" w:rsidRDefault="00397857" w:rsidP="00375C7D">
      <w:pPr>
        <w:pStyle w:val="ListBullet2"/>
        <w:contextualSpacing/>
      </w:pPr>
      <w:r w:rsidRPr="005E4DB5">
        <w:t>compliance and performance against EMMs</w:t>
      </w:r>
    </w:p>
    <w:p w14:paraId="26BA2820" w14:textId="77777777" w:rsidR="00397857" w:rsidRPr="005E4DB5" w:rsidRDefault="00397857" w:rsidP="00375C7D">
      <w:pPr>
        <w:pStyle w:val="ListBullet2"/>
        <w:contextualSpacing/>
      </w:pPr>
      <w:r w:rsidRPr="005E4DB5">
        <w:t xml:space="preserve">corrective actions undertaken to meet EMMs </w:t>
      </w:r>
    </w:p>
    <w:p w14:paraId="4EA21962" w14:textId="77777777" w:rsidR="00397857" w:rsidRPr="005E4DB5" w:rsidRDefault="00397857" w:rsidP="00375C7D">
      <w:pPr>
        <w:pStyle w:val="ListBullet2"/>
        <w:contextualSpacing/>
      </w:pPr>
      <w:r w:rsidRPr="005E4DB5">
        <w:t xml:space="preserve">stakeholder interactions and complaints </w:t>
      </w:r>
    </w:p>
    <w:p w14:paraId="3BB4A290" w14:textId="3EFE75D5" w:rsidR="00397857" w:rsidRPr="005E4DB5" w:rsidRDefault="00397857" w:rsidP="00375C7D">
      <w:pPr>
        <w:pStyle w:val="ListBullet2"/>
        <w:contextualSpacing/>
      </w:pPr>
      <w:r w:rsidRPr="005E4DB5">
        <w:t>implementation of monitoring programs</w:t>
      </w:r>
      <w:r w:rsidR="00375C7D">
        <w:t>.</w:t>
      </w:r>
    </w:p>
    <w:p w14:paraId="1BCD3F9D" w14:textId="725FE9FF" w:rsidR="00397857" w:rsidRPr="005E4DB5" w:rsidRDefault="00355CFB" w:rsidP="00397857">
      <w:pPr>
        <w:pStyle w:val="BodyText"/>
      </w:pPr>
      <w:r>
        <w:t>Six</w:t>
      </w:r>
      <w:r w:rsidR="00501199">
        <w:t>-</w:t>
      </w:r>
      <w:r>
        <w:t>monthly</w:t>
      </w:r>
      <w:r w:rsidRPr="005E4DB5">
        <w:t xml:space="preserve"> </w:t>
      </w:r>
      <w:r w:rsidR="00397857" w:rsidRPr="005E4DB5">
        <w:t>audits during the construction phase would be provided to the Minster for Planning.</w:t>
      </w:r>
    </w:p>
    <w:p w14:paraId="2C0E2096" w14:textId="30615384" w:rsidR="00397857" w:rsidRDefault="00397857" w:rsidP="00397857">
      <w:pPr>
        <w:pStyle w:val="BodyText"/>
      </w:pPr>
      <w:r w:rsidRPr="005E4DB5">
        <w:t>During the operation phase the operator would report on the operational environmental performance against operation</w:t>
      </w:r>
      <w:r w:rsidR="00BC02CA">
        <w:t>-</w:t>
      </w:r>
      <w:r w:rsidRPr="005E4DB5">
        <w:t>specific EMMs. Monthly meeting minutes and annual reporting of performance against EMMs would be maintained and archived for the operational life of the project. Independent review and update of all operational management plans and associated processed would be undertaken at a five year frequency to ensure compliance with current legislation.</w:t>
      </w:r>
    </w:p>
    <w:p w14:paraId="3504D6F6" w14:textId="6DBFB9A1" w:rsidR="00397857" w:rsidRPr="005E4DB5" w:rsidRDefault="00397857" w:rsidP="00397857">
      <w:pPr>
        <w:pStyle w:val="BodyText"/>
      </w:pPr>
      <w:r w:rsidRPr="005E4DB5">
        <w:t>Decommission</w:t>
      </w:r>
      <w:r w:rsidR="00BC02CA">
        <w:t>ing</w:t>
      </w:r>
      <w:r w:rsidRPr="005E4DB5">
        <w:t xml:space="preserve"> phase management plans would be prepared towards the end of the project’s operational life. Development of management plans and engagement with statutory authorities would be undertaken and be guided by the relevant legislation of the day. </w:t>
      </w:r>
    </w:p>
    <w:p w14:paraId="15B76540" w14:textId="77777777" w:rsidR="00397857" w:rsidRPr="00FC7FE4" w:rsidRDefault="00397857" w:rsidP="00FC7FE4">
      <w:pPr>
        <w:pStyle w:val="Heading3"/>
      </w:pPr>
      <w:bookmarkStart w:id="96" w:name="_Toc87023769"/>
      <w:bookmarkStart w:id="97" w:name="_Toc105159976"/>
      <w:r w:rsidRPr="00FC7FE4">
        <w:t>Contingency measures</w:t>
      </w:r>
      <w:bookmarkEnd w:id="96"/>
      <w:bookmarkEnd w:id="97"/>
    </w:p>
    <w:p w14:paraId="37B3FF79" w14:textId="77777777" w:rsidR="00397857" w:rsidRPr="005E4DB5" w:rsidRDefault="00397857" w:rsidP="00397857">
      <w:pPr>
        <w:pStyle w:val="BodyText"/>
      </w:pPr>
      <w:r w:rsidRPr="005E4DB5">
        <w:t>Management plans would be live documents that allow for continual improvement and adaptive management throughout the construction, operation and decommissioning phases. Contingency measures are a function of management plans that would facilitate adaptive management and adhere to EMMs.</w:t>
      </w:r>
    </w:p>
    <w:p w14:paraId="0F5C99C7" w14:textId="7361781E" w:rsidR="00397857" w:rsidRPr="005E4DB5" w:rsidRDefault="00397857" w:rsidP="00397857">
      <w:pPr>
        <w:pStyle w:val="BodyText"/>
      </w:pPr>
      <w:r w:rsidRPr="005E4DB5">
        <w:t xml:space="preserve">Managements plans prepared for the project </w:t>
      </w:r>
      <w:r w:rsidR="001D2A37">
        <w:t>would</w:t>
      </w:r>
      <w:r w:rsidR="001D2A37" w:rsidRPr="005E4DB5">
        <w:t xml:space="preserve"> </w:t>
      </w:r>
      <w:r w:rsidRPr="005E4DB5">
        <w:t>include appropriate contingency measures to address identified environmental, social and business risks during the construction, operation and decommissioning phases of the project. Contingency measures may be required to take effect in the event that monitoring or auditing (or any other means) identifies:</w:t>
      </w:r>
    </w:p>
    <w:p w14:paraId="6E843272" w14:textId="77777777" w:rsidR="00397857" w:rsidRPr="005E4DB5" w:rsidRDefault="00397857" w:rsidP="00375C7D">
      <w:pPr>
        <w:pStyle w:val="ListBullet"/>
        <w:contextualSpacing/>
      </w:pPr>
      <w:r w:rsidRPr="005E4DB5">
        <w:t>unforeseen issues</w:t>
      </w:r>
    </w:p>
    <w:p w14:paraId="6090205F" w14:textId="77777777" w:rsidR="00397857" w:rsidRPr="005E4DB5" w:rsidRDefault="00397857" w:rsidP="00375C7D">
      <w:pPr>
        <w:pStyle w:val="ListBullet"/>
        <w:contextualSpacing/>
      </w:pPr>
      <w:r w:rsidRPr="005E4DB5">
        <w:t>issues which are foreseeable but not expected to occur</w:t>
      </w:r>
    </w:p>
    <w:p w14:paraId="1436B827" w14:textId="77777777" w:rsidR="00397857" w:rsidRPr="005E4DB5" w:rsidRDefault="00397857" w:rsidP="00375C7D">
      <w:pPr>
        <w:pStyle w:val="ListBullet"/>
        <w:contextualSpacing/>
      </w:pPr>
      <w:r w:rsidRPr="005E4DB5">
        <w:t>impacts which are expected but which prove greater than anticipated.</w:t>
      </w:r>
    </w:p>
    <w:p w14:paraId="12436944" w14:textId="77777777" w:rsidR="00397857" w:rsidRPr="005E4DB5" w:rsidRDefault="00397857" w:rsidP="00397857">
      <w:pPr>
        <w:pStyle w:val="BodyText"/>
      </w:pPr>
      <w:r w:rsidRPr="005E4DB5">
        <w:t>Contingency measures would be developed to comply with relevant regulations, standards and industry best practice guidelines.</w:t>
      </w:r>
    </w:p>
    <w:p w14:paraId="3F2A18EA" w14:textId="77777777" w:rsidR="00397857" w:rsidRPr="00FC7FE4" w:rsidRDefault="00397857" w:rsidP="00375C7D">
      <w:pPr>
        <w:pStyle w:val="Heading2"/>
      </w:pPr>
      <w:bookmarkStart w:id="98" w:name="_Ref87005008"/>
      <w:bookmarkStart w:id="99" w:name="_Ref87015601"/>
      <w:bookmarkStart w:id="100" w:name="_Toc87023770"/>
      <w:bookmarkStart w:id="101" w:name="_Toc105159977"/>
      <w:r w:rsidRPr="00FC7FE4">
        <w:t>Environmental management measures</w:t>
      </w:r>
      <w:bookmarkEnd w:id="98"/>
      <w:bookmarkEnd w:id="99"/>
      <w:bookmarkEnd w:id="100"/>
      <w:bookmarkEnd w:id="101"/>
    </w:p>
    <w:p w14:paraId="4D0AA039" w14:textId="6529473D" w:rsidR="00397857" w:rsidRPr="005E4DB5" w:rsidRDefault="00397857" w:rsidP="00375C7D">
      <w:pPr>
        <w:pStyle w:val="BodyText"/>
        <w:keepNext/>
        <w:keepLines/>
      </w:pPr>
      <w:r w:rsidRPr="005E4DB5">
        <w:t xml:space="preserve">The project </w:t>
      </w:r>
      <w:r w:rsidR="001D2A37">
        <w:t>would</w:t>
      </w:r>
      <w:r w:rsidR="001D2A37" w:rsidRPr="005E4DB5">
        <w:t xml:space="preserve"> </w:t>
      </w:r>
      <w:r w:rsidRPr="005E4DB5">
        <w:t>be delivered in accordance with the proposed EMMs</w:t>
      </w:r>
      <w:r w:rsidR="00BC02CA">
        <w:t>,</w:t>
      </w:r>
      <w:r w:rsidRPr="005E4DB5">
        <w:t xml:space="preserve"> which define the environmental measures that must be adopted during construction, operation and decommissioning of the wind farm to facilitate appropriate management of potential environmental impacts. These EMMs have been developed based on the recommendations of specialist technical experts to avoid, reduce or offset environmental impacts.</w:t>
      </w:r>
    </w:p>
    <w:p w14:paraId="39673B24" w14:textId="7CC28172" w:rsidR="00E04DD7" w:rsidRPr="00E04DD7" w:rsidRDefault="00397857" w:rsidP="00E04DD7">
      <w:r w:rsidRPr="00BC02CA">
        <w:rPr>
          <w:highlight w:val="yellow"/>
        </w:rPr>
        <w:fldChar w:fldCharType="begin"/>
      </w:r>
      <w:r w:rsidRPr="00BC02CA">
        <w:instrText xml:space="preserve"> REF _Ref76637120 \h </w:instrText>
      </w:r>
      <w:r w:rsidR="00BC02CA">
        <w:rPr>
          <w:highlight w:val="yellow"/>
        </w:rPr>
        <w:instrText xml:space="preserve"> \* MERGEFORMAT </w:instrText>
      </w:r>
      <w:r w:rsidRPr="00BC02CA">
        <w:rPr>
          <w:highlight w:val="yellow"/>
        </w:rPr>
      </w:r>
      <w:r w:rsidRPr="00BC02CA">
        <w:rPr>
          <w:highlight w:val="yellow"/>
        </w:rPr>
        <w:fldChar w:fldCharType="separate"/>
      </w:r>
      <w:r w:rsidR="00694153" w:rsidRPr="0040395D">
        <w:t xml:space="preserve">Table </w:t>
      </w:r>
      <w:r w:rsidR="00694153">
        <w:t>26.4</w:t>
      </w:r>
      <w:r w:rsidRPr="00BC02CA">
        <w:rPr>
          <w:highlight w:val="yellow"/>
        </w:rPr>
        <w:fldChar w:fldCharType="end"/>
      </w:r>
      <w:r w:rsidRPr="005E4DB5">
        <w:t xml:space="preserve"> details the EMMs that apply to the project. </w:t>
      </w:r>
      <w:r w:rsidR="00E04DD7" w:rsidRPr="00E04DD7">
        <w:t xml:space="preserve">If the project is approved and does proceed, all proposed design and management measures outlined in this </w:t>
      </w:r>
      <w:r w:rsidR="00E04DD7">
        <w:t>EMF</w:t>
      </w:r>
      <w:r w:rsidR="00E04DD7" w:rsidRPr="00E04DD7">
        <w:t xml:space="preserve"> </w:t>
      </w:r>
      <w:r w:rsidR="00E04DD7">
        <w:t>will</w:t>
      </w:r>
      <w:r w:rsidR="00E04DD7" w:rsidRPr="00E04DD7">
        <w:t xml:space="preserve"> be implemented.</w:t>
      </w:r>
    </w:p>
    <w:p w14:paraId="56AF2414" w14:textId="4854A021" w:rsidR="00397857" w:rsidRPr="005E4DB5" w:rsidRDefault="00397857" w:rsidP="00397857">
      <w:pPr>
        <w:pStyle w:val="BodyText"/>
      </w:pPr>
      <w:r w:rsidRPr="005E4DB5">
        <w:t xml:space="preserve">The EMMs are listed in the same order that they appear in the EES chapters. </w:t>
      </w:r>
    </w:p>
    <w:p w14:paraId="17263559" w14:textId="36E40C4F" w:rsidR="00397857" w:rsidRDefault="00397857" w:rsidP="00397857"/>
    <w:p w14:paraId="24E95250" w14:textId="77777777" w:rsidR="00397857" w:rsidRDefault="00397857" w:rsidP="00397857">
      <w:pPr>
        <w:sectPr w:rsidR="00397857" w:rsidSect="00397857">
          <w:headerReference w:type="even" r:id="rId13"/>
          <w:headerReference w:type="default" r:id="rId14"/>
          <w:footerReference w:type="even" r:id="rId15"/>
          <w:footerReference w:type="default" r:id="rId16"/>
          <w:headerReference w:type="first" r:id="rId17"/>
          <w:footerReference w:type="first" r:id="rId18"/>
          <w:pgSz w:w="11907" w:h="16839" w:code="9"/>
          <w:pgMar w:top="1276" w:right="1418" w:bottom="1134" w:left="1418" w:header="709" w:footer="284" w:gutter="0"/>
          <w:pgNumType w:chapStyle="1"/>
          <w:cols w:space="708"/>
          <w:docGrid w:linePitch="360"/>
        </w:sectPr>
      </w:pPr>
    </w:p>
    <w:p w14:paraId="2CA8DECD" w14:textId="59DB3787" w:rsidR="00397857" w:rsidRPr="0040395D" w:rsidRDefault="00397857" w:rsidP="00375C7D">
      <w:pPr>
        <w:pStyle w:val="Caption"/>
      </w:pPr>
      <w:bookmarkStart w:id="131" w:name="PasteHere"/>
      <w:bookmarkStart w:id="132" w:name="_Ref76637120"/>
      <w:bookmarkStart w:id="133" w:name="_Toc87023776"/>
      <w:bookmarkStart w:id="134" w:name="_Toc105159987"/>
      <w:bookmarkEnd w:id="131"/>
      <w:r w:rsidRPr="0040395D">
        <w:t xml:space="preserve">Table </w:t>
      </w:r>
      <w:r w:rsidR="00694153">
        <w:fldChar w:fldCharType="begin"/>
      </w:r>
      <w:r w:rsidR="00694153">
        <w:instrText xml:space="preserve"> STYLEREF 1 \s </w:instrText>
      </w:r>
      <w:r w:rsidR="00694153">
        <w:fldChar w:fldCharType="separate"/>
      </w:r>
      <w:r w:rsidR="00694153">
        <w:rPr>
          <w:noProof/>
        </w:rPr>
        <w:t>26</w:t>
      </w:r>
      <w:r w:rsidR="00694153">
        <w:rPr>
          <w:noProof/>
        </w:rPr>
        <w:fldChar w:fldCharType="end"/>
      </w:r>
      <w:r w:rsidR="00440A35">
        <w:t>.</w:t>
      </w:r>
      <w:r w:rsidR="00694153">
        <w:fldChar w:fldCharType="begin"/>
      </w:r>
      <w:r w:rsidR="00694153">
        <w:instrText xml:space="preserve"> SEQ Table \* ARABIC \s 1 </w:instrText>
      </w:r>
      <w:r w:rsidR="00694153">
        <w:fldChar w:fldCharType="separate"/>
      </w:r>
      <w:r w:rsidR="00694153">
        <w:rPr>
          <w:noProof/>
        </w:rPr>
        <w:t>4</w:t>
      </w:r>
      <w:r w:rsidR="00694153">
        <w:rPr>
          <w:noProof/>
        </w:rPr>
        <w:fldChar w:fldCharType="end"/>
      </w:r>
      <w:bookmarkEnd w:id="132"/>
      <w:r w:rsidR="00375C7D">
        <w:tab/>
      </w:r>
      <w:r w:rsidRPr="0040395D">
        <w:t xml:space="preserve">Environmental </w:t>
      </w:r>
      <w:r w:rsidR="00375C7D">
        <w:t>m</w:t>
      </w:r>
      <w:r w:rsidRPr="0040395D">
        <w:t xml:space="preserve">anagement </w:t>
      </w:r>
      <w:r w:rsidR="00375C7D">
        <w:t>m</w:t>
      </w:r>
      <w:r w:rsidRPr="0040395D">
        <w:t>easures</w:t>
      </w:r>
      <w:bookmarkEnd w:id="133"/>
      <w:bookmarkEnd w:id="134"/>
    </w:p>
    <w:tbl>
      <w:tblPr>
        <w:tblStyle w:val="Table1"/>
        <w:tblW w:w="5000" w:type="pct"/>
        <w:tblLook w:val="0420" w:firstRow="1" w:lastRow="0" w:firstColumn="0" w:lastColumn="0" w:noHBand="0" w:noVBand="1"/>
      </w:tblPr>
      <w:tblGrid>
        <w:gridCol w:w="1559"/>
        <w:gridCol w:w="10807"/>
        <w:gridCol w:w="1637"/>
      </w:tblGrid>
      <w:tr w:rsidR="00397857" w:rsidRPr="0040395D" w14:paraId="3BF48A9F" w14:textId="77777777" w:rsidTr="00A47875">
        <w:trPr>
          <w:cnfStyle w:val="100000000000" w:firstRow="1" w:lastRow="0" w:firstColumn="0" w:lastColumn="0" w:oddVBand="0" w:evenVBand="0" w:oddHBand="0" w:evenHBand="0" w:firstRowFirstColumn="0" w:firstRowLastColumn="0" w:lastRowFirstColumn="0" w:lastRowLastColumn="0"/>
          <w:cantSplit/>
          <w:tblHeader/>
        </w:trPr>
        <w:tc>
          <w:tcPr>
            <w:tcW w:w="576" w:type="pct"/>
          </w:tcPr>
          <w:p w14:paraId="6578346A" w14:textId="56DC459A" w:rsidR="00397857" w:rsidRPr="0040395D" w:rsidRDefault="0085415E" w:rsidP="00397857">
            <w:pPr>
              <w:pStyle w:val="TableHeading"/>
            </w:pPr>
            <w:r>
              <w:t>N</w:t>
            </w:r>
            <w:r w:rsidR="00397857" w:rsidRPr="0040395D">
              <w:t>umber</w:t>
            </w:r>
          </w:p>
        </w:tc>
        <w:tc>
          <w:tcPr>
            <w:tcW w:w="3878" w:type="pct"/>
          </w:tcPr>
          <w:p w14:paraId="4F7FAD75" w14:textId="108EFC4E" w:rsidR="00397857" w:rsidRPr="0040395D" w:rsidRDefault="00397857" w:rsidP="00397857">
            <w:pPr>
              <w:pStyle w:val="TableHeading"/>
            </w:pPr>
            <w:r w:rsidRPr="0040395D">
              <w:t xml:space="preserve">Management </w:t>
            </w:r>
            <w:r w:rsidR="00375C7D">
              <w:t>m</w:t>
            </w:r>
            <w:r w:rsidRPr="0040395D">
              <w:t>easures</w:t>
            </w:r>
          </w:p>
        </w:tc>
        <w:tc>
          <w:tcPr>
            <w:tcW w:w="546" w:type="pct"/>
          </w:tcPr>
          <w:p w14:paraId="702E515F" w14:textId="77777777" w:rsidR="00397857" w:rsidRPr="0040395D" w:rsidRDefault="00397857" w:rsidP="00397857">
            <w:pPr>
              <w:pStyle w:val="TableHeading"/>
            </w:pPr>
            <w:r w:rsidRPr="0040395D">
              <w:t>Project phase</w:t>
            </w:r>
          </w:p>
        </w:tc>
      </w:tr>
      <w:tr w:rsidR="00397857" w:rsidRPr="0040395D" w14:paraId="789D3FEE" w14:textId="77777777" w:rsidTr="00375C7D">
        <w:trPr>
          <w:cantSplit/>
        </w:trPr>
        <w:tc>
          <w:tcPr>
            <w:tcW w:w="5000" w:type="pct"/>
            <w:gridSpan w:val="3"/>
            <w:shd w:val="clear" w:color="auto" w:fill="E6EFE1"/>
          </w:tcPr>
          <w:p w14:paraId="2F76B8D3" w14:textId="77777777" w:rsidR="00397857" w:rsidRPr="0040395D" w:rsidRDefault="00397857" w:rsidP="00397857">
            <w:pPr>
              <w:pStyle w:val="TableText"/>
              <w:rPr>
                <w:b/>
                <w:i/>
              </w:rPr>
            </w:pPr>
            <w:r w:rsidRPr="0040395D">
              <w:rPr>
                <w:b/>
                <w:i/>
              </w:rPr>
              <w:t>Geoheritage</w:t>
            </w:r>
          </w:p>
        </w:tc>
      </w:tr>
      <w:tr w:rsidR="00D33894" w:rsidRPr="0040395D" w14:paraId="385234E9" w14:textId="77777777" w:rsidTr="00A47875">
        <w:trPr>
          <w:cantSplit/>
        </w:trPr>
        <w:tc>
          <w:tcPr>
            <w:tcW w:w="576" w:type="pct"/>
          </w:tcPr>
          <w:p w14:paraId="43AA8007" w14:textId="7D0F370D" w:rsidR="00D33894" w:rsidRPr="0040395D" w:rsidRDefault="00D33894" w:rsidP="00D33894">
            <w:pPr>
              <w:pStyle w:val="TableText"/>
            </w:pPr>
            <w:r w:rsidRPr="0040395D">
              <w:t>G</w:t>
            </w:r>
            <w:r w:rsidR="00744D3B">
              <w:t>EO</w:t>
            </w:r>
            <w:r w:rsidRPr="0040395D">
              <w:t>01</w:t>
            </w:r>
          </w:p>
        </w:tc>
        <w:tc>
          <w:tcPr>
            <w:tcW w:w="3878" w:type="pct"/>
          </w:tcPr>
          <w:p w14:paraId="7EFE5C0A" w14:textId="50FDFF26" w:rsidR="00D33894" w:rsidRPr="0040395D" w:rsidRDefault="00D33894" w:rsidP="00D33894">
            <w:pPr>
              <w:pStyle w:val="TableText"/>
            </w:pPr>
            <w:r w:rsidRPr="005A2F27">
              <w:t>Minimise the number of towers and other structures built on narrow lava ridges and where possible move to broader flat surfaces</w:t>
            </w:r>
            <w:r>
              <w:t>.</w:t>
            </w:r>
          </w:p>
        </w:tc>
        <w:tc>
          <w:tcPr>
            <w:tcW w:w="546" w:type="pct"/>
          </w:tcPr>
          <w:p w14:paraId="7F1DE11E" w14:textId="23CDDBA6" w:rsidR="00D33894" w:rsidRPr="0040395D" w:rsidRDefault="00D33894" w:rsidP="00D33894">
            <w:pPr>
              <w:pStyle w:val="TableText"/>
            </w:pPr>
            <w:r w:rsidRPr="005A2F27">
              <w:t>Design</w:t>
            </w:r>
            <w:r w:rsidR="0090498E">
              <w:t xml:space="preserve"> and</w:t>
            </w:r>
            <w:r w:rsidRPr="005A2F27">
              <w:t xml:space="preserve"> construction</w:t>
            </w:r>
          </w:p>
        </w:tc>
      </w:tr>
      <w:tr w:rsidR="00D33894" w:rsidRPr="0040395D" w14:paraId="38E162B4" w14:textId="77777777" w:rsidTr="00A47875">
        <w:trPr>
          <w:cantSplit/>
        </w:trPr>
        <w:tc>
          <w:tcPr>
            <w:tcW w:w="576" w:type="pct"/>
          </w:tcPr>
          <w:p w14:paraId="44C48F9B" w14:textId="514F6101" w:rsidR="00D33894" w:rsidRPr="0040395D" w:rsidRDefault="00D33894" w:rsidP="00D33894">
            <w:pPr>
              <w:pStyle w:val="TableText"/>
            </w:pPr>
            <w:r w:rsidRPr="0040395D">
              <w:t>G</w:t>
            </w:r>
            <w:r w:rsidR="00744D3B">
              <w:t>EO</w:t>
            </w:r>
            <w:r w:rsidRPr="0040395D">
              <w:t>02</w:t>
            </w:r>
          </w:p>
        </w:tc>
        <w:tc>
          <w:tcPr>
            <w:tcW w:w="3878" w:type="pct"/>
          </w:tcPr>
          <w:p w14:paraId="43C619A8" w14:textId="5AD49850" w:rsidR="00D33894" w:rsidRPr="0040395D" w:rsidRDefault="00D33894" w:rsidP="00D33894">
            <w:pPr>
              <w:pStyle w:val="TableText"/>
            </w:pPr>
            <w:r w:rsidRPr="005A2F27">
              <w:t>Limit reshaping and filling of the significant and sensitive geoheritage features of the Mount Rouse and Tarrone lava flow surfaces, where practicable</w:t>
            </w:r>
            <w:r>
              <w:t>.</w:t>
            </w:r>
          </w:p>
        </w:tc>
        <w:tc>
          <w:tcPr>
            <w:tcW w:w="546" w:type="pct"/>
          </w:tcPr>
          <w:p w14:paraId="21D30E89" w14:textId="7DD0137E" w:rsidR="00D33894" w:rsidRPr="0040395D" w:rsidRDefault="00D33894" w:rsidP="00D33894">
            <w:pPr>
              <w:pStyle w:val="TableText"/>
            </w:pPr>
            <w:r w:rsidRPr="005A2F27">
              <w:t>Design</w:t>
            </w:r>
            <w:r w:rsidR="0090498E">
              <w:t xml:space="preserve"> and</w:t>
            </w:r>
            <w:r w:rsidRPr="005A2F27">
              <w:t xml:space="preserve"> construction</w:t>
            </w:r>
          </w:p>
        </w:tc>
      </w:tr>
      <w:tr w:rsidR="00D33894" w:rsidRPr="0040395D" w14:paraId="6FBC011B" w14:textId="77777777" w:rsidTr="00A47875">
        <w:trPr>
          <w:cantSplit/>
        </w:trPr>
        <w:tc>
          <w:tcPr>
            <w:tcW w:w="576" w:type="pct"/>
          </w:tcPr>
          <w:p w14:paraId="3994716D" w14:textId="378BC052" w:rsidR="00D33894" w:rsidRPr="0040395D" w:rsidRDefault="00D33894" w:rsidP="00D33894">
            <w:pPr>
              <w:pStyle w:val="TableText"/>
            </w:pPr>
            <w:r w:rsidRPr="0040395D">
              <w:t>G</w:t>
            </w:r>
            <w:r w:rsidR="00744D3B">
              <w:t>EO</w:t>
            </w:r>
            <w:r w:rsidRPr="0040395D">
              <w:t>03</w:t>
            </w:r>
          </w:p>
        </w:tc>
        <w:tc>
          <w:tcPr>
            <w:tcW w:w="3878" w:type="pct"/>
          </w:tcPr>
          <w:p w14:paraId="0ED03ADE" w14:textId="33192102" w:rsidR="00D33894" w:rsidRPr="0040395D" w:rsidRDefault="00D33894" w:rsidP="00D33894">
            <w:pPr>
              <w:pStyle w:val="TableText"/>
            </w:pPr>
            <w:r w:rsidRPr="005A2F27">
              <w:t>Agree stockpile locations with the appropriate consultant specialists to avoid stockpiling excess excavated rock at locations that would compromise the nature and interpretation of significant geoheritage features</w:t>
            </w:r>
            <w:r>
              <w:t>.</w:t>
            </w:r>
          </w:p>
        </w:tc>
        <w:tc>
          <w:tcPr>
            <w:tcW w:w="546" w:type="pct"/>
          </w:tcPr>
          <w:p w14:paraId="656F0913" w14:textId="11957B09" w:rsidR="00D33894" w:rsidRPr="0040395D" w:rsidRDefault="00D33894" w:rsidP="00D33894">
            <w:pPr>
              <w:pStyle w:val="TableText"/>
            </w:pPr>
            <w:r w:rsidRPr="005A2F27">
              <w:t>Pre-construction</w:t>
            </w:r>
            <w:r w:rsidR="0090498E">
              <w:t xml:space="preserve"> and</w:t>
            </w:r>
            <w:r w:rsidRPr="005A2F27">
              <w:t xml:space="preserve"> construction</w:t>
            </w:r>
          </w:p>
        </w:tc>
      </w:tr>
      <w:tr w:rsidR="00D33894" w:rsidRPr="0040395D" w14:paraId="4B0695D4" w14:textId="77777777" w:rsidTr="00A47875">
        <w:trPr>
          <w:cantSplit/>
        </w:trPr>
        <w:tc>
          <w:tcPr>
            <w:tcW w:w="576" w:type="pct"/>
          </w:tcPr>
          <w:p w14:paraId="1A835588" w14:textId="5688BD2F" w:rsidR="00D33894" w:rsidRPr="0040395D" w:rsidRDefault="00D33894" w:rsidP="00D33894">
            <w:pPr>
              <w:pStyle w:val="TableText"/>
            </w:pPr>
            <w:r w:rsidRPr="0040395D">
              <w:t>G</w:t>
            </w:r>
            <w:r w:rsidR="00744D3B">
              <w:t>EO</w:t>
            </w:r>
            <w:r w:rsidRPr="0040395D">
              <w:t>04</w:t>
            </w:r>
          </w:p>
        </w:tc>
        <w:tc>
          <w:tcPr>
            <w:tcW w:w="3878" w:type="pct"/>
          </w:tcPr>
          <w:p w14:paraId="3B750B76" w14:textId="635703BA" w:rsidR="00D33894" w:rsidRPr="0040395D" w:rsidRDefault="00D33894" w:rsidP="00D33894">
            <w:pPr>
              <w:pStyle w:val="TableText"/>
            </w:pPr>
            <w:r w:rsidRPr="005A2F27">
              <w:t>Avoid siting underground cabling and access tracks across high and narrow lava ridges</w:t>
            </w:r>
            <w:r>
              <w:t>.</w:t>
            </w:r>
          </w:p>
        </w:tc>
        <w:tc>
          <w:tcPr>
            <w:tcW w:w="546" w:type="pct"/>
          </w:tcPr>
          <w:p w14:paraId="14458B88" w14:textId="5C13EEE3" w:rsidR="00D33894" w:rsidRPr="0040395D" w:rsidRDefault="00D33894" w:rsidP="00D33894">
            <w:pPr>
              <w:pStyle w:val="TableText"/>
            </w:pPr>
            <w:r w:rsidRPr="005A2F27">
              <w:t>Design</w:t>
            </w:r>
            <w:r w:rsidR="0090498E">
              <w:t xml:space="preserve"> and</w:t>
            </w:r>
            <w:r w:rsidRPr="005A2F27">
              <w:t xml:space="preserve"> construction</w:t>
            </w:r>
          </w:p>
        </w:tc>
      </w:tr>
      <w:tr w:rsidR="00D33894" w:rsidRPr="0040395D" w14:paraId="4FC8D7CD" w14:textId="77777777" w:rsidTr="00A47875">
        <w:trPr>
          <w:cantSplit/>
        </w:trPr>
        <w:tc>
          <w:tcPr>
            <w:tcW w:w="576" w:type="pct"/>
          </w:tcPr>
          <w:p w14:paraId="56AED369" w14:textId="58EA35EE" w:rsidR="00D33894" w:rsidRPr="0040395D" w:rsidRDefault="00D33894" w:rsidP="00D33894">
            <w:pPr>
              <w:pStyle w:val="TableText"/>
            </w:pPr>
            <w:r w:rsidRPr="0040395D">
              <w:t>G</w:t>
            </w:r>
            <w:r w:rsidR="00744D3B">
              <w:t>EO</w:t>
            </w:r>
            <w:r w:rsidRPr="0040395D">
              <w:t>05</w:t>
            </w:r>
          </w:p>
        </w:tc>
        <w:tc>
          <w:tcPr>
            <w:tcW w:w="3878" w:type="pct"/>
          </w:tcPr>
          <w:p w14:paraId="0BF1447B" w14:textId="3CCBFCF3" w:rsidR="00D33894" w:rsidRPr="0040395D" w:rsidRDefault="00D33894" w:rsidP="00D33894">
            <w:pPr>
              <w:pStyle w:val="TableText"/>
            </w:pPr>
            <w:r w:rsidRPr="005A2F27">
              <w:t>Design access tracks and underground electricity cables to minimise crossing, and maintain the inherent geometry of, lava ridges and depressions</w:t>
            </w:r>
            <w:r>
              <w:t>.</w:t>
            </w:r>
          </w:p>
        </w:tc>
        <w:tc>
          <w:tcPr>
            <w:tcW w:w="546" w:type="pct"/>
          </w:tcPr>
          <w:p w14:paraId="41DCD449" w14:textId="08E0E16D" w:rsidR="00D33894" w:rsidRPr="0040395D" w:rsidRDefault="00D33894" w:rsidP="00D33894">
            <w:pPr>
              <w:pStyle w:val="TableText"/>
            </w:pPr>
            <w:r w:rsidRPr="005A2F27">
              <w:t>Design</w:t>
            </w:r>
          </w:p>
        </w:tc>
      </w:tr>
      <w:tr w:rsidR="00D33894" w:rsidRPr="0040395D" w14:paraId="6AF5CC4C" w14:textId="77777777" w:rsidTr="00A47875">
        <w:trPr>
          <w:cantSplit/>
        </w:trPr>
        <w:tc>
          <w:tcPr>
            <w:tcW w:w="576" w:type="pct"/>
          </w:tcPr>
          <w:p w14:paraId="670BA0CC" w14:textId="4270E04B" w:rsidR="00D33894" w:rsidRPr="0040395D" w:rsidRDefault="00D33894" w:rsidP="00D33894">
            <w:pPr>
              <w:pStyle w:val="TableText"/>
            </w:pPr>
            <w:r w:rsidRPr="0040395D">
              <w:t>G</w:t>
            </w:r>
            <w:r w:rsidR="00744D3B">
              <w:t>EO</w:t>
            </w:r>
            <w:r w:rsidRPr="0040395D">
              <w:t>0</w:t>
            </w:r>
            <w:r w:rsidR="00744D3B">
              <w:t>6</w:t>
            </w:r>
          </w:p>
        </w:tc>
        <w:tc>
          <w:tcPr>
            <w:tcW w:w="3878" w:type="pct"/>
          </w:tcPr>
          <w:p w14:paraId="44249D55" w14:textId="1929412F" w:rsidR="00D33894" w:rsidRPr="0040395D" w:rsidRDefault="00D33894" w:rsidP="00D33894">
            <w:pPr>
              <w:pStyle w:val="TableText"/>
            </w:pPr>
            <w:r w:rsidRPr="005A2F27">
              <w:t>Construction and crossing points are engineered to minimise changes to the geometry and function of stream channels</w:t>
            </w:r>
            <w:r>
              <w:t>.</w:t>
            </w:r>
          </w:p>
        </w:tc>
        <w:tc>
          <w:tcPr>
            <w:tcW w:w="546" w:type="pct"/>
          </w:tcPr>
          <w:p w14:paraId="4BB49CF2" w14:textId="1ED97628" w:rsidR="00D33894" w:rsidRPr="0040395D" w:rsidRDefault="00D33894" w:rsidP="00D33894">
            <w:pPr>
              <w:pStyle w:val="TableText"/>
            </w:pPr>
            <w:r w:rsidRPr="005A2F27">
              <w:t>Design</w:t>
            </w:r>
          </w:p>
        </w:tc>
      </w:tr>
      <w:tr w:rsidR="00397857" w:rsidRPr="0040395D" w14:paraId="12CDBFDD" w14:textId="77777777" w:rsidTr="00375C7D">
        <w:trPr>
          <w:cantSplit/>
        </w:trPr>
        <w:tc>
          <w:tcPr>
            <w:tcW w:w="5000" w:type="pct"/>
            <w:gridSpan w:val="3"/>
            <w:shd w:val="clear" w:color="auto" w:fill="E6EFE1"/>
          </w:tcPr>
          <w:p w14:paraId="725A71D4" w14:textId="77777777" w:rsidR="00397857" w:rsidRPr="0040395D" w:rsidRDefault="00397857" w:rsidP="00397857">
            <w:pPr>
              <w:pStyle w:val="TableText"/>
              <w:rPr>
                <w:b/>
                <w:i/>
              </w:rPr>
            </w:pPr>
            <w:r w:rsidRPr="0040395D">
              <w:rPr>
                <w:b/>
                <w:i/>
              </w:rPr>
              <w:t>Groundwater</w:t>
            </w:r>
          </w:p>
        </w:tc>
      </w:tr>
      <w:tr w:rsidR="00D33894" w:rsidRPr="0040395D" w14:paraId="1BA1B93D" w14:textId="77777777" w:rsidTr="00A47875">
        <w:trPr>
          <w:cantSplit/>
        </w:trPr>
        <w:tc>
          <w:tcPr>
            <w:tcW w:w="576" w:type="pct"/>
          </w:tcPr>
          <w:p w14:paraId="7A463FD9" w14:textId="77777777" w:rsidR="00D33894" w:rsidRPr="0040395D" w:rsidRDefault="00D33894" w:rsidP="00D33894">
            <w:pPr>
              <w:pStyle w:val="TableText"/>
            </w:pPr>
            <w:r w:rsidRPr="0040395D">
              <w:t>GW01</w:t>
            </w:r>
          </w:p>
        </w:tc>
        <w:tc>
          <w:tcPr>
            <w:tcW w:w="3878" w:type="pct"/>
          </w:tcPr>
          <w:p w14:paraId="740C5B5E" w14:textId="09C4DF23" w:rsidR="00D33894" w:rsidRPr="0040395D" w:rsidRDefault="00D33894" w:rsidP="00D33894">
            <w:pPr>
              <w:pStyle w:val="TableText"/>
            </w:pPr>
            <w:r w:rsidRPr="00D341EA">
              <w:t>Obtain a Work Authority (through approval by Earth Resources</w:t>
            </w:r>
            <w:r>
              <w:t xml:space="preserve"> Regulation</w:t>
            </w:r>
            <w:r w:rsidRPr="00D341EA">
              <w:t xml:space="preserve">, Department of Jobs, Precincts and Regions) for the quarry construction and operation and adhere to its requirements. </w:t>
            </w:r>
          </w:p>
        </w:tc>
        <w:tc>
          <w:tcPr>
            <w:tcW w:w="546" w:type="pct"/>
          </w:tcPr>
          <w:p w14:paraId="191A28F3" w14:textId="07B2F325" w:rsidR="00D33894" w:rsidRPr="0040395D" w:rsidRDefault="00D33894" w:rsidP="00D33894">
            <w:pPr>
              <w:pStyle w:val="TableText"/>
            </w:pPr>
            <w:r w:rsidRPr="00D341EA">
              <w:t>Pre-construction</w:t>
            </w:r>
          </w:p>
        </w:tc>
      </w:tr>
      <w:tr w:rsidR="00D33894" w:rsidRPr="0040395D" w14:paraId="24F80434" w14:textId="77777777" w:rsidTr="00A47875">
        <w:trPr>
          <w:cantSplit/>
        </w:trPr>
        <w:tc>
          <w:tcPr>
            <w:tcW w:w="576" w:type="pct"/>
          </w:tcPr>
          <w:p w14:paraId="264C0D2A" w14:textId="77777777" w:rsidR="00D33894" w:rsidRPr="0040395D" w:rsidRDefault="00D33894" w:rsidP="00D33894">
            <w:pPr>
              <w:pStyle w:val="TableText"/>
            </w:pPr>
            <w:r w:rsidRPr="0040395D">
              <w:t>GW02</w:t>
            </w:r>
          </w:p>
        </w:tc>
        <w:tc>
          <w:tcPr>
            <w:tcW w:w="3878" w:type="pct"/>
          </w:tcPr>
          <w:p w14:paraId="4EA1B9FB" w14:textId="6745D72F" w:rsidR="00D33894" w:rsidRPr="0040395D" w:rsidRDefault="00D33894" w:rsidP="00D33894">
            <w:pPr>
              <w:pStyle w:val="TableText"/>
            </w:pPr>
            <w:r w:rsidRPr="00D341EA">
              <w:t>Consult with relevant landowners about potential impacts to bores would occur prior to commencement of construction.</w:t>
            </w:r>
          </w:p>
        </w:tc>
        <w:tc>
          <w:tcPr>
            <w:tcW w:w="546" w:type="pct"/>
          </w:tcPr>
          <w:p w14:paraId="2D68B517" w14:textId="579E3EB2" w:rsidR="00D33894" w:rsidRPr="0040395D" w:rsidRDefault="00D33894" w:rsidP="00D33894">
            <w:pPr>
              <w:pStyle w:val="TableText"/>
            </w:pPr>
            <w:r w:rsidRPr="00D341EA">
              <w:t>Pre-construction</w:t>
            </w:r>
          </w:p>
        </w:tc>
      </w:tr>
      <w:tr w:rsidR="00D33894" w:rsidRPr="0040395D" w14:paraId="70013E3C" w14:textId="77777777" w:rsidTr="00A47875">
        <w:trPr>
          <w:cantSplit/>
        </w:trPr>
        <w:tc>
          <w:tcPr>
            <w:tcW w:w="576" w:type="pct"/>
          </w:tcPr>
          <w:p w14:paraId="59C6185B" w14:textId="77777777" w:rsidR="00D33894" w:rsidRPr="0040395D" w:rsidRDefault="00D33894" w:rsidP="00D33894">
            <w:pPr>
              <w:pStyle w:val="TableText"/>
            </w:pPr>
            <w:r w:rsidRPr="0040395D">
              <w:t>GW03</w:t>
            </w:r>
          </w:p>
        </w:tc>
        <w:tc>
          <w:tcPr>
            <w:tcW w:w="3878" w:type="pct"/>
          </w:tcPr>
          <w:p w14:paraId="1FA13041" w14:textId="28490C1F" w:rsidR="00D33894" w:rsidRPr="0040395D" w:rsidRDefault="00D33894" w:rsidP="00D33894">
            <w:pPr>
              <w:pStyle w:val="TableText"/>
            </w:pPr>
            <w:r w:rsidRPr="00D341EA">
              <w:t>Conduct further groundwater monitoring within and around the quarry excavation to refine estimates of hydraulic conductivity.</w:t>
            </w:r>
          </w:p>
        </w:tc>
        <w:tc>
          <w:tcPr>
            <w:tcW w:w="546" w:type="pct"/>
          </w:tcPr>
          <w:p w14:paraId="05C4F540" w14:textId="45198EE0" w:rsidR="00D33894" w:rsidRPr="0040395D" w:rsidRDefault="00D33894" w:rsidP="00D33894">
            <w:pPr>
              <w:pStyle w:val="TableText"/>
            </w:pPr>
            <w:r w:rsidRPr="00D341EA">
              <w:t>Pre-construction</w:t>
            </w:r>
          </w:p>
        </w:tc>
      </w:tr>
      <w:tr w:rsidR="00D33894" w:rsidRPr="0040395D" w14:paraId="0E933CC9" w14:textId="77777777" w:rsidTr="00A47875">
        <w:trPr>
          <w:cantSplit/>
        </w:trPr>
        <w:tc>
          <w:tcPr>
            <w:tcW w:w="576" w:type="pct"/>
          </w:tcPr>
          <w:p w14:paraId="7ABD8784" w14:textId="77777777" w:rsidR="00D33894" w:rsidRPr="0040395D" w:rsidRDefault="00D33894" w:rsidP="00D33894">
            <w:pPr>
              <w:pStyle w:val="TableText"/>
            </w:pPr>
            <w:r w:rsidRPr="0040395D">
              <w:t>GW04</w:t>
            </w:r>
          </w:p>
        </w:tc>
        <w:tc>
          <w:tcPr>
            <w:tcW w:w="3878" w:type="pct"/>
          </w:tcPr>
          <w:p w14:paraId="5404DFBE" w14:textId="3CA95AC4" w:rsidR="00D33894" w:rsidRPr="0040395D" w:rsidRDefault="00D33894" w:rsidP="00D33894">
            <w:pPr>
              <w:pStyle w:val="TableText"/>
            </w:pPr>
            <w:r w:rsidRPr="00D341EA">
              <w:t>If any assumptions underpinning predictions of groundwater drawdown from the quarry change, update drawdown predictions and complete a site-specific risk analysis for neighbouring environmental values.</w:t>
            </w:r>
            <w:r>
              <w:t xml:space="preserve"> </w:t>
            </w:r>
          </w:p>
        </w:tc>
        <w:tc>
          <w:tcPr>
            <w:tcW w:w="546" w:type="pct"/>
          </w:tcPr>
          <w:p w14:paraId="5A08618D" w14:textId="5B47B541" w:rsidR="00D33894" w:rsidRPr="0040395D" w:rsidRDefault="00D33894" w:rsidP="00D33894">
            <w:pPr>
              <w:pStyle w:val="TableText"/>
            </w:pPr>
            <w:r w:rsidRPr="00D341EA">
              <w:t>Pre-construction</w:t>
            </w:r>
          </w:p>
        </w:tc>
      </w:tr>
      <w:tr w:rsidR="00D33894" w:rsidRPr="0040395D" w14:paraId="7EA44087" w14:textId="77777777" w:rsidTr="00A47875">
        <w:trPr>
          <w:cantSplit/>
        </w:trPr>
        <w:tc>
          <w:tcPr>
            <w:tcW w:w="576" w:type="pct"/>
          </w:tcPr>
          <w:p w14:paraId="418FA756" w14:textId="77777777" w:rsidR="00D33894" w:rsidRPr="0040395D" w:rsidRDefault="00D33894" w:rsidP="00D33894">
            <w:pPr>
              <w:pStyle w:val="TableText"/>
            </w:pPr>
            <w:r w:rsidRPr="0040395D">
              <w:t>GW05</w:t>
            </w:r>
          </w:p>
        </w:tc>
        <w:tc>
          <w:tcPr>
            <w:tcW w:w="3878" w:type="pct"/>
          </w:tcPr>
          <w:p w14:paraId="464105D0" w14:textId="7C03D74B" w:rsidR="00D33894" w:rsidRPr="00D341EA" w:rsidRDefault="00D33894" w:rsidP="00D33894">
            <w:pPr>
              <w:pStyle w:val="TableText"/>
            </w:pPr>
            <w:r w:rsidRPr="00D341EA">
              <w:t xml:space="preserve">A Water Management Plan would be developed and its requirements carried out by the contractor, and approved by the </w:t>
            </w:r>
            <w:r w:rsidR="00E6072A">
              <w:t>r</w:t>
            </w:r>
            <w:r w:rsidRPr="00D341EA">
              <w:t xml:space="preserve">esponsible </w:t>
            </w:r>
            <w:r w:rsidR="00E6072A">
              <w:t>a</w:t>
            </w:r>
            <w:r w:rsidRPr="00D341EA">
              <w:t xml:space="preserve">uthority, prior to the commencement of project construction. The </w:t>
            </w:r>
            <w:r w:rsidRPr="005305AF">
              <w:t>Water Management Plan</w:t>
            </w:r>
            <w:r>
              <w:t xml:space="preserve"> </w:t>
            </w:r>
            <w:r w:rsidRPr="00D341EA">
              <w:t xml:space="preserve">would respond to any final design details and ensure all risks are appropriately managed. </w:t>
            </w:r>
          </w:p>
          <w:p w14:paraId="4788E47D" w14:textId="77777777" w:rsidR="00D33894" w:rsidRPr="00D341EA" w:rsidRDefault="00D33894" w:rsidP="00D33894">
            <w:pPr>
              <w:pStyle w:val="TableText"/>
            </w:pPr>
            <w:r w:rsidRPr="00D341EA">
              <w:t xml:space="preserve">The </w:t>
            </w:r>
            <w:r w:rsidRPr="005305AF">
              <w:t>Water Management Plan</w:t>
            </w:r>
            <w:r w:rsidRPr="00D341EA">
              <w:t xml:space="preserve"> would include, but not be limited to:</w:t>
            </w:r>
          </w:p>
          <w:p w14:paraId="69B266C6" w14:textId="77777777" w:rsidR="00D33894" w:rsidRPr="00D341EA" w:rsidRDefault="00D33894" w:rsidP="00D33894">
            <w:pPr>
              <w:pStyle w:val="TableBullet1"/>
            </w:pPr>
            <w:r w:rsidRPr="00D341EA">
              <w:t>dewatering procedures (including discharge location and quality of water, pollution control and management of sediment) in line with EPA</w:t>
            </w:r>
            <w:r>
              <w:t xml:space="preserve"> Victoria</w:t>
            </w:r>
            <w:r w:rsidRPr="00D341EA">
              <w:t xml:space="preserve"> approval processes</w:t>
            </w:r>
          </w:p>
          <w:p w14:paraId="7C1DB230" w14:textId="77777777" w:rsidR="00D33894" w:rsidRPr="00D341EA" w:rsidRDefault="00D33894" w:rsidP="00D33894">
            <w:pPr>
              <w:pStyle w:val="TableBullet1"/>
            </w:pPr>
            <w:r w:rsidRPr="00D341EA">
              <w:t xml:space="preserve">procedures for groundwater inflow monitoring in accordance with EPA </w:t>
            </w:r>
            <w:r>
              <w:t xml:space="preserve">Victoria </w:t>
            </w:r>
            <w:r w:rsidRPr="00D341EA">
              <w:t xml:space="preserve">Publication 669: </w:t>
            </w:r>
            <w:r w:rsidRPr="00D341EA">
              <w:rPr>
                <w:i/>
              </w:rPr>
              <w:t>Groundwater sampling guidelines</w:t>
            </w:r>
          </w:p>
          <w:p w14:paraId="0B2F24D3" w14:textId="27C265CE" w:rsidR="00D33894" w:rsidRPr="0040395D" w:rsidRDefault="00D33894" w:rsidP="00D33894">
            <w:pPr>
              <w:pStyle w:val="TableBullet1"/>
            </w:pPr>
            <w:r w:rsidRPr="00D341EA">
              <w:t>groundwater level triggers for further management measures, if needed.</w:t>
            </w:r>
          </w:p>
        </w:tc>
        <w:tc>
          <w:tcPr>
            <w:tcW w:w="546" w:type="pct"/>
          </w:tcPr>
          <w:p w14:paraId="2AA45D83" w14:textId="05837366" w:rsidR="00D33894" w:rsidRPr="0040395D" w:rsidRDefault="00D33894" w:rsidP="00D33894">
            <w:pPr>
              <w:pStyle w:val="TableText"/>
            </w:pPr>
            <w:r w:rsidRPr="00D341EA">
              <w:t>Pre-construction</w:t>
            </w:r>
            <w:r w:rsidR="0090498E">
              <w:t xml:space="preserve"> and</w:t>
            </w:r>
            <w:r w:rsidRPr="00D341EA">
              <w:t xml:space="preserve"> </w:t>
            </w:r>
            <w:r>
              <w:t>c</w:t>
            </w:r>
            <w:r w:rsidRPr="00D341EA">
              <w:t>onstruction</w:t>
            </w:r>
          </w:p>
        </w:tc>
      </w:tr>
      <w:tr w:rsidR="00D33894" w:rsidRPr="0040395D" w14:paraId="349C62F8" w14:textId="77777777" w:rsidTr="00A47875">
        <w:trPr>
          <w:cantSplit/>
        </w:trPr>
        <w:tc>
          <w:tcPr>
            <w:tcW w:w="576" w:type="pct"/>
          </w:tcPr>
          <w:p w14:paraId="7E4C885B" w14:textId="77777777" w:rsidR="00D33894" w:rsidRPr="0040395D" w:rsidRDefault="00D33894" w:rsidP="00D33894">
            <w:pPr>
              <w:pStyle w:val="TableText"/>
            </w:pPr>
            <w:r w:rsidRPr="0040395D">
              <w:t>GW06</w:t>
            </w:r>
          </w:p>
        </w:tc>
        <w:tc>
          <w:tcPr>
            <w:tcW w:w="3878" w:type="pct"/>
          </w:tcPr>
          <w:p w14:paraId="5917FB13" w14:textId="1AA50D59" w:rsidR="00D33894" w:rsidRPr="0040395D" w:rsidRDefault="00D33894" w:rsidP="00D33894">
            <w:pPr>
              <w:pStyle w:val="TableText"/>
            </w:pPr>
            <w:r w:rsidRPr="00D341EA">
              <w:t xml:space="preserve">The use of quarry water would be in accordance with a Take and Use licence under Section 51 of the </w:t>
            </w:r>
            <w:r w:rsidRPr="00D341EA">
              <w:rPr>
                <w:i/>
              </w:rPr>
              <w:t>Water Act 1989</w:t>
            </w:r>
            <w:r>
              <w:t xml:space="preserve"> and in accordance with</w:t>
            </w:r>
            <w:r w:rsidRPr="008D1A85">
              <w:t xml:space="preserve"> Environment Protection Regulations</w:t>
            </w:r>
            <w:r>
              <w:t xml:space="preserve"> 2021</w:t>
            </w:r>
            <w:r w:rsidR="00B2768F">
              <w:t>.</w:t>
            </w:r>
          </w:p>
        </w:tc>
        <w:tc>
          <w:tcPr>
            <w:tcW w:w="546" w:type="pct"/>
          </w:tcPr>
          <w:p w14:paraId="0807F706" w14:textId="77777777" w:rsidR="00D33894" w:rsidRPr="0040395D" w:rsidRDefault="00D33894" w:rsidP="00D33894">
            <w:pPr>
              <w:pStyle w:val="TableText"/>
            </w:pPr>
            <w:r w:rsidRPr="0040395D">
              <w:t>Construction</w:t>
            </w:r>
          </w:p>
        </w:tc>
      </w:tr>
      <w:tr w:rsidR="00D33894" w:rsidRPr="0040395D" w14:paraId="1505B356" w14:textId="77777777" w:rsidTr="00A47875">
        <w:trPr>
          <w:cantSplit/>
        </w:trPr>
        <w:tc>
          <w:tcPr>
            <w:tcW w:w="576" w:type="pct"/>
          </w:tcPr>
          <w:p w14:paraId="6E8D8A00" w14:textId="77777777" w:rsidR="00D33894" w:rsidRPr="0040395D" w:rsidRDefault="00D33894" w:rsidP="00D33894">
            <w:pPr>
              <w:pStyle w:val="TableText"/>
            </w:pPr>
            <w:r w:rsidRPr="0040395D">
              <w:t>GW07</w:t>
            </w:r>
          </w:p>
        </w:tc>
        <w:tc>
          <w:tcPr>
            <w:tcW w:w="3878" w:type="pct"/>
          </w:tcPr>
          <w:p w14:paraId="46F40DE6" w14:textId="0812F6B5" w:rsidR="00D33894" w:rsidRPr="0040395D" w:rsidRDefault="00D33894" w:rsidP="00D33894">
            <w:pPr>
              <w:pStyle w:val="TableText"/>
            </w:pPr>
            <w:r w:rsidRPr="00D341EA">
              <w:t>Conduct further groundwater monitoring and mapping using exiting bores prior to and during construction to establish local groundwater levels and groundwater quality.</w:t>
            </w:r>
          </w:p>
        </w:tc>
        <w:tc>
          <w:tcPr>
            <w:tcW w:w="546" w:type="pct"/>
          </w:tcPr>
          <w:p w14:paraId="1BC5F99D" w14:textId="54943D6A" w:rsidR="00D33894" w:rsidRPr="0040395D" w:rsidRDefault="00D33894" w:rsidP="00D33894">
            <w:pPr>
              <w:pStyle w:val="TableText"/>
            </w:pPr>
            <w:r w:rsidRPr="00D341EA">
              <w:t>Pre-construction</w:t>
            </w:r>
            <w:r w:rsidR="0090498E">
              <w:t xml:space="preserve"> and</w:t>
            </w:r>
            <w:r w:rsidRPr="00D341EA">
              <w:t xml:space="preserve"> </w:t>
            </w:r>
            <w:r>
              <w:t>c</w:t>
            </w:r>
            <w:r w:rsidRPr="00D341EA">
              <w:t>onstruction</w:t>
            </w:r>
          </w:p>
        </w:tc>
      </w:tr>
      <w:tr w:rsidR="00D33894" w:rsidRPr="0040395D" w14:paraId="702CE3EA" w14:textId="77777777" w:rsidTr="00A47875">
        <w:trPr>
          <w:cantSplit/>
        </w:trPr>
        <w:tc>
          <w:tcPr>
            <w:tcW w:w="576" w:type="pct"/>
          </w:tcPr>
          <w:p w14:paraId="16BD9FAB" w14:textId="77777777" w:rsidR="00D33894" w:rsidRPr="0040395D" w:rsidRDefault="00D33894" w:rsidP="00D33894">
            <w:pPr>
              <w:pStyle w:val="TableText"/>
            </w:pPr>
            <w:r w:rsidRPr="0040395D">
              <w:t>GW08</w:t>
            </w:r>
          </w:p>
        </w:tc>
        <w:tc>
          <w:tcPr>
            <w:tcW w:w="3878" w:type="pct"/>
          </w:tcPr>
          <w:p w14:paraId="29F68B5E" w14:textId="7006EAA7" w:rsidR="00D33894" w:rsidRPr="00D341EA" w:rsidRDefault="00D33894" w:rsidP="00D33894">
            <w:pPr>
              <w:pStyle w:val="TableText"/>
            </w:pPr>
            <w:r w:rsidRPr="00D341EA">
              <w:t xml:space="preserve">Construction activities and temporary works that may impact on surface permeability and groundwater would be included within the contractor’s </w:t>
            </w:r>
            <w:r w:rsidRPr="00256ACF">
              <w:t>Construction Environmental Management Plan</w:t>
            </w:r>
            <w:r w:rsidRPr="00D341EA">
              <w:t xml:space="preserve">. </w:t>
            </w:r>
          </w:p>
          <w:p w14:paraId="724D63E5" w14:textId="77777777" w:rsidR="00D33894" w:rsidRPr="00D341EA" w:rsidRDefault="00D33894" w:rsidP="00D33894">
            <w:pPr>
              <w:pStyle w:val="TableText"/>
            </w:pPr>
            <w:r w:rsidRPr="00D341EA">
              <w:t>Measures to minimise groundwater recharge and flow related impacts relating to these activities and works would include, but not be limited to:</w:t>
            </w:r>
          </w:p>
          <w:p w14:paraId="1DFE44BA" w14:textId="77777777" w:rsidR="00D33894" w:rsidRPr="00D341EA" w:rsidRDefault="00D33894" w:rsidP="00D33894">
            <w:pPr>
              <w:pStyle w:val="TableBullet1"/>
            </w:pPr>
            <w:r w:rsidRPr="00D341EA">
              <w:t>revegetation of disturbed areas</w:t>
            </w:r>
          </w:p>
          <w:p w14:paraId="5F813577" w14:textId="0A2D761E" w:rsidR="00D33894" w:rsidRPr="0040395D" w:rsidRDefault="00D33894" w:rsidP="00D33894">
            <w:pPr>
              <w:pStyle w:val="TableBullet1"/>
            </w:pPr>
            <w:r w:rsidRPr="00D341EA">
              <w:t>backfilling using excavated material were possible.</w:t>
            </w:r>
          </w:p>
        </w:tc>
        <w:tc>
          <w:tcPr>
            <w:tcW w:w="546" w:type="pct"/>
          </w:tcPr>
          <w:p w14:paraId="7AECF982" w14:textId="7D38F762" w:rsidR="00D33894" w:rsidRPr="0040395D" w:rsidRDefault="00D33894" w:rsidP="00D33894">
            <w:pPr>
              <w:pStyle w:val="TableText"/>
            </w:pPr>
            <w:r w:rsidRPr="00D341EA">
              <w:t>Pre-construction</w:t>
            </w:r>
            <w:r w:rsidR="0090498E">
              <w:t xml:space="preserve"> and</w:t>
            </w:r>
            <w:r w:rsidRPr="00D341EA">
              <w:t xml:space="preserve"> </w:t>
            </w:r>
            <w:r>
              <w:t>c</w:t>
            </w:r>
            <w:r w:rsidRPr="00D341EA">
              <w:t>onstruction</w:t>
            </w:r>
          </w:p>
        </w:tc>
      </w:tr>
      <w:tr w:rsidR="00D33894" w:rsidRPr="0040395D" w14:paraId="79DAC5C5" w14:textId="77777777" w:rsidTr="00A47875">
        <w:trPr>
          <w:cantSplit/>
        </w:trPr>
        <w:tc>
          <w:tcPr>
            <w:tcW w:w="576" w:type="pct"/>
          </w:tcPr>
          <w:p w14:paraId="0530733C" w14:textId="77777777" w:rsidR="00D33894" w:rsidRPr="0040395D" w:rsidRDefault="00D33894" w:rsidP="00D33894">
            <w:pPr>
              <w:pStyle w:val="TableText"/>
            </w:pPr>
            <w:r w:rsidRPr="0040395D">
              <w:t>GW09</w:t>
            </w:r>
          </w:p>
        </w:tc>
        <w:tc>
          <w:tcPr>
            <w:tcW w:w="3878" w:type="pct"/>
          </w:tcPr>
          <w:p w14:paraId="64FD738D" w14:textId="77777777" w:rsidR="00D33894" w:rsidRPr="00BF3224" w:rsidRDefault="00D33894" w:rsidP="00D33894">
            <w:pPr>
              <w:pStyle w:val="TableText"/>
            </w:pPr>
            <w:r w:rsidRPr="00BF3224">
              <w:t xml:space="preserve">Water collected dewatering of excavations would be </w:t>
            </w:r>
            <w:r>
              <w:t>managed</w:t>
            </w:r>
            <w:r w:rsidRPr="00BF3224">
              <w:t xml:space="preserve"> </w:t>
            </w:r>
            <w:r>
              <w:t xml:space="preserve">in accordance with the </w:t>
            </w:r>
            <w:r w:rsidRPr="008D1A85">
              <w:t>Environment Protection Regulations</w:t>
            </w:r>
            <w:r>
              <w:t xml:space="preserve"> 2021</w:t>
            </w:r>
            <w:r w:rsidRPr="00BF3224">
              <w:t xml:space="preserve">. These measures would include, but not be limited to: </w:t>
            </w:r>
          </w:p>
          <w:p w14:paraId="6A46E6B3" w14:textId="380CCDC8" w:rsidR="00D33894" w:rsidRPr="00BF3224" w:rsidRDefault="00D33894" w:rsidP="00D33894">
            <w:pPr>
              <w:pStyle w:val="TableBullet1"/>
            </w:pPr>
            <w:r w:rsidRPr="00BF3224">
              <w:t>monitoring of water quality of captured water</w:t>
            </w:r>
            <w:r>
              <w:t xml:space="preserve"> (e.g., pH, salinity, suspended solids)</w:t>
            </w:r>
          </w:p>
          <w:p w14:paraId="11A464EC" w14:textId="2FBB4DD8" w:rsidR="00BC02CA" w:rsidRDefault="00D33894" w:rsidP="00BC02CA">
            <w:pPr>
              <w:pStyle w:val="TableBullet1"/>
            </w:pPr>
            <w:r w:rsidRPr="00BF3224">
              <w:t xml:space="preserve">approval would be sought from relevant authorities to discharge water </w:t>
            </w:r>
          </w:p>
          <w:p w14:paraId="2EC17594" w14:textId="2792B4EA" w:rsidR="00D33894" w:rsidRPr="0040395D" w:rsidRDefault="00D33894" w:rsidP="00DD256F">
            <w:pPr>
              <w:pStyle w:val="TableBullet1"/>
            </w:pPr>
            <w:r>
              <w:t xml:space="preserve">disposal of </w:t>
            </w:r>
            <w:r w:rsidRPr="00BF3224">
              <w:t>water a</w:t>
            </w:r>
            <w:r>
              <w:t>t a</w:t>
            </w:r>
            <w:r w:rsidRPr="00BF3224">
              <w:t xml:space="preserve"> site that is lawfully able to receive it</w:t>
            </w:r>
            <w:r>
              <w:t>.</w:t>
            </w:r>
            <w:r w:rsidRPr="00BF3224">
              <w:t xml:space="preserve"> </w:t>
            </w:r>
          </w:p>
        </w:tc>
        <w:tc>
          <w:tcPr>
            <w:tcW w:w="546" w:type="pct"/>
          </w:tcPr>
          <w:p w14:paraId="4EC86BC2" w14:textId="3A4D72AE" w:rsidR="00D33894" w:rsidRPr="0040395D" w:rsidRDefault="00D33894" w:rsidP="00D33894">
            <w:pPr>
              <w:pStyle w:val="TableText"/>
            </w:pPr>
            <w:r w:rsidRPr="00D341EA">
              <w:t>Construction</w:t>
            </w:r>
          </w:p>
        </w:tc>
      </w:tr>
      <w:tr w:rsidR="00D33894" w:rsidRPr="0040395D" w14:paraId="63E3A1AB" w14:textId="77777777" w:rsidTr="00A47875">
        <w:trPr>
          <w:cantSplit/>
        </w:trPr>
        <w:tc>
          <w:tcPr>
            <w:tcW w:w="576" w:type="pct"/>
          </w:tcPr>
          <w:p w14:paraId="58E1FDAB" w14:textId="77777777" w:rsidR="00D33894" w:rsidRPr="0040395D" w:rsidRDefault="00D33894" w:rsidP="00D33894">
            <w:pPr>
              <w:pStyle w:val="TableText"/>
            </w:pPr>
            <w:r w:rsidRPr="0040395D">
              <w:t>GW10</w:t>
            </w:r>
          </w:p>
        </w:tc>
        <w:tc>
          <w:tcPr>
            <w:tcW w:w="3878" w:type="pct"/>
          </w:tcPr>
          <w:p w14:paraId="70CD608F" w14:textId="223D2EC6" w:rsidR="00D33894" w:rsidRPr="0040395D" w:rsidRDefault="00D33894" w:rsidP="00D33894">
            <w:pPr>
              <w:pStyle w:val="TableText"/>
            </w:pPr>
            <w:r w:rsidRPr="00D341EA">
              <w:t>In areas of predicted elevated salinity, groundwater would be tested to determine the appropriate disposal method</w:t>
            </w:r>
            <w:r w:rsidR="00C14AAC">
              <w:t xml:space="preserve">. </w:t>
            </w:r>
          </w:p>
        </w:tc>
        <w:tc>
          <w:tcPr>
            <w:tcW w:w="546" w:type="pct"/>
          </w:tcPr>
          <w:p w14:paraId="11FE4D2E" w14:textId="078809B0" w:rsidR="00D33894" w:rsidRPr="0040395D" w:rsidRDefault="00D33894" w:rsidP="00D33894">
            <w:pPr>
              <w:pStyle w:val="TableText"/>
            </w:pPr>
            <w:r w:rsidRPr="00D341EA">
              <w:t>Construction</w:t>
            </w:r>
          </w:p>
        </w:tc>
      </w:tr>
      <w:tr w:rsidR="00D33894" w:rsidRPr="0040395D" w14:paraId="7BE100D3" w14:textId="77777777" w:rsidTr="00A47875">
        <w:trPr>
          <w:cantSplit/>
        </w:trPr>
        <w:tc>
          <w:tcPr>
            <w:tcW w:w="576" w:type="pct"/>
          </w:tcPr>
          <w:p w14:paraId="2EBE13A9" w14:textId="77777777" w:rsidR="00D33894" w:rsidRPr="0040395D" w:rsidRDefault="00D33894" w:rsidP="00D33894">
            <w:pPr>
              <w:pStyle w:val="TableText"/>
            </w:pPr>
            <w:r w:rsidRPr="0040395D">
              <w:t>GW11</w:t>
            </w:r>
          </w:p>
        </w:tc>
        <w:tc>
          <w:tcPr>
            <w:tcW w:w="3878" w:type="pct"/>
          </w:tcPr>
          <w:p w14:paraId="2B217405" w14:textId="77777777" w:rsidR="00D33894" w:rsidRPr="00D341EA" w:rsidRDefault="00D33894" w:rsidP="00D33894">
            <w:pPr>
              <w:pStyle w:val="TableText"/>
            </w:pPr>
            <w:r w:rsidRPr="00D341EA">
              <w:t>To manage potential impacts to groundwater quality, management measures to be carried out (in accordance with relevant guidelines and procedures) would include, but not be limited to:</w:t>
            </w:r>
          </w:p>
          <w:p w14:paraId="3D6CABD3" w14:textId="7F4428F3" w:rsidR="00D33894" w:rsidRPr="00D341EA" w:rsidRDefault="00D33894" w:rsidP="00D33894">
            <w:pPr>
              <w:pStyle w:val="TableBullet1"/>
            </w:pPr>
            <w:r w:rsidRPr="00D341EA">
              <w:t>a site-specific risk analysis for any hazardous chemicals (batteries, explosives etc.) under relevant guidelines including EPA</w:t>
            </w:r>
            <w:r w:rsidR="00A775DA">
              <w:t> </w:t>
            </w:r>
            <w:r>
              <w:t xml:space="preserve">Victoria </w:t>
            </w:r>
            <w:r w:rsidR="00BC02CA">
              <w:t xml:space="preserve">Publication </w:t>
            </w:r>
            <w:r w:rsidRPr="00D341EA">
              <w:t xml:space="preserve">1698: </w:t>
            </w:r>
            <w:r w:rsidRPr="00D341EA">
              <w:rPr>
                <w:i/>
              </w:rPr>
              <w:t>Liquid storage and handling guidelines</w:t>
            </w:r>
          </w:p>
          <w:p w14:paraId="0D08867C" w14:textId="77777777" w:rsidR="00D33894" w:rsidRPr="00D341EA" w:rsidRDefault="00D33894" w:rsidP="00D33894">
            <w:pPr>
              <w:pStyle w:val="TableBullet1"/>
            </w:pPr>
            <w:r w:rsidRPr="00D341EA">
              <w:t>storage of fuels and chemicals within containment facilities (</w:t>
            </w:r>
            <w:r>
              <w:t>e.g.,</w:t>
            </w:r>
            <w:r w:rsidRPr="00D341EA">
              <w:t xml:space="preserve"> self-bunded, above ground in a suitable covered area), outside floodplains or watercourse areas, in accordance with relevant legislative requirements</w:t>
            </w:r>
          </w:p>
          <w:p w14:paraId="1B1C0BCE" w14:textId="77777777" w:rsidR="00D33894" w:rsidRPr="00D341EA" w:rsidRDefault="00D33894" w:rsidP="00D33894">
            <w:pPr>
              <w:pStyle w:val="TableBullet1"/>
            </w:pPr>
            <w:r w:rsidRPr="00D341EA">
              <w:t>spill kits for fuel, chemical and oil spills to be maintained on site</w:t>
            </w:r>
          </w:p>
          <w:p w14:paraId="1DFD9FA0" w14:textId="77777777" w:rsidR="00D33894" w:rsidRPr="00D341EA" w:rsidRDefault="00D33894" w:rsidP="00D33894">
            <w:pPr>
              <w:pStyle w:val="TableBullet1"/>
            </w:pPr>
            <w:r w:rsidRPr="00D341EA">
              <w:t>chemical handling training for construction personnel</w:t>
            </w:r>
          </w:p>
          <w:p w14:paraId="25E18309" w14:textId="0076A272" w:rsidR="00D33894" w:rsidRPr="00D341EA" w:rsidRDefault="00D33894" w:rsidP="00D33894">
            <w:pPr>
              <w:pStyle w:val="TableBullet1"/>
            </w:pPr>
            <w:r w:rsidRPr="00D341EA">
              <w:t xml:space="preserve">spill response procedure, to be contained within the </w:t>
            </w:r>
            <w:r w:rsidR="00256ACF" w:rsidRPr="00DD256F">
              <w:t>Construction Environmental Management Plan</w:t>
            </w:r>
          </w:p>
          <w:p w14:paraId="346471B4" w14:textId="05DB93EA" w:rsidR="00D33894" w:rsidRPr="0040395D" w:rsidRDefault="00D33894" w:rsidP="00D33894">
            <w:pPr>
              <w:pStyle w:val="TableBullet1"/>
            </w:pPr>
            <w:r w:rsidRPr="00D341EA">
              <w:t>rehabilitation of any areas where a spill has occurred.</w:t>
            </w:r>
          </w:p>
        </w:tc>
        <w:tc>
          <w:tcPr>
            <w:tcW w:w="546" w:type="pct"/>
          </w:tcPr>
          <w:p w14:paraId="0C6AE507" w14:textId="0C6F6580" w:rsidR="00D33894" w:rsidRPr="0040395D" w:rsidRDefault="00D33894" w:rsidP="00D33894">
            <w:pPr>
              <w:pStyle w:val="TableText"/>
            </w:pPr>
            <w:r w:rsidRPr="00D341EA">
              <w:t xml:space="preserve">Construction, </w:t>
            </w:r>
            <w:r>
              <w:t>o</w:t>
            </w:r>
            <w:r w:rsidRPr="00D341EA">
              <w:t>peration</w:t>
            </w:r>
            <w:r w:rsidR="0090498E">
              <w:t xml:space="preserve"> and </w:t>
            </w:r>
            <w:r>
              <w:t>d</w:t>
            </w:r>
            <w:r w:rsidRPr="00D341EA">
              <w:t>ecommissioning</w:t>
            </w:r>
          </w:p>
        </w:tc>
      </w:tr>
      <w:tr w:rsidR="00397857" w:rsidRPr="0040395D" w14:paraId="7B26C1CD" w14:textId="77777777" w:rsidTr="00375C7D">
        <w:trPr>
          <w:cantSplit/>
        </w:trPr>
        <w:tc>
          <w:tcPr>
            <w:tcW w:w="5000" w:type="pct"/>
            <w:gridSpan w:val="3"/>
            <w:shd w:val="clear" w:color="auto" w:fill="E6EFE1"/>
          </w:tcPr>
          <w:p w14:paraId="01E9A334" w14:textId="77777777" w:rsidR="00397857" w:rsidRPr="0040395D" w:rsidRDefault="00397857" w:rsidP="007D3C12">
            <w:pPr>
              <w:pStyle w:val="TableText"/>
              <w:keepNext/>
              <w:rPr>
                <w:b/>
                <w:i/>
              </w:rPr>
            </w:pPr>
            <w:r w:rsidRPr="0040395D">
              <w:rPr>
                <w:b/>
                <w:i/>
              </w:rPr>
              <w:t>Surface water</w:t>
            </w:r>
          </w:p>
        </w:tc>
      </w:tr>
      <w:tr w:rsidR="00397857" w:rsidRPr="0040395D" w14:paraId="5B4C568D" w14:textId="77777777" w:rsidTr="00A47875">
        <w:trPr>
          <w:cantSplit/>
        </w:trPr>
        <w:tc>
          <w:tcPr>
            <w:tcW w:w="576" w:type="pct"/>
          </w:tcPr>
          <w:p w14:paraId="18E5D35B" w14:textId="77777777" w:rsidR="00397857" w:rsidRPr="0040395D" w:rsidRDefault="00397857" w:rsidP="00397857">
            <w:pPr>
              <w:pStyle w:val="TableText"/>
            </w:pPr>
            <w:r w:rsidRPr="0040395D">
              <w:t>SW01</w:t>
            </w:r>
          </w:p>
        </w:tc>
        <w:tc>
          <w:tcPr>
            <w:tcW w:w="3878" w:type="pct"/>
          </w:tcPr>
          <w:p w14:paraId="01D6D348" w14:textId="77777777" w:rsidR="00690190" w:rsidRPr="00BF3224" w:rsidRDefault="00690190" w:rsidP="00690190">
            <w:pPr>
              <w:pStyle w:val="TableText"/>
            </w:pPr>
            <w:r w:rsidRPr="00BF3224">
              <w:t>Development of the detailed drainage design in consultation with Glenelg Hopkins Catchment Management Authority, considering best practice design guidelines.</w:t>
            </w:r>
          </w:p>
          <w:p w14:paraId="2974162C" w14:textId="77777777" w:rsidR="00690190" w:rsidRPr="00BF3224" w:rsidRDefault="00690190" w:rsidP="00690190">
            <w:pPr>
              <w:pStyle w:val="TableText"/>
            </w:pPr>
            <w:r w:rsidRPr="00BF3224">
              <w:t>Design measures would include, but not be limited to:</w:t>
            </w:r>
          </w:p>
          <w:p w14:paraId="6583657C" w14:textId="77777777" w:rsidR="00690190" w:rsidRPr="00BF3224" w:rsidRDefault="00690190" w:rsidP="00690190">
            <w:pPr>
              <w:pStyle w:val="TableBullet1"/>
            </w:pPr>
            <w:r w:rsidRPr="00BF3224">
              <w:t>permanent surface structures designed to maintain existing overland flow paths and not cause increased upstream flood levels</w:t>
            </w:r>
          </w:p>
          <w:p w14:paraId="7CD92C2C" w14:textId="77777777" w:rsidR="00690190" w:rsidRPr="00BF3224" w:rsidRDefault="00690190" w:rsidP="00690190">
            <w:pPr>
              <w:pStyle w:val="TableBullet1"/>
            </w:pPr>
            <w:r w:rsidRPr="00BF3224">
              <w:t>culverts installed parallel to the alignment of the banks of the waterway</w:t>
            </w:r>
          </w:p>
          <w:p w14:paraId="73E37C0E" w14:textId="77777777" w:rsidR="00690190" w:rsidRDefault="00690190" w:rsidP="00690190">
            <w:pPr>
              <w:pStyle w:val="TableBullet1"/>
            </w:pPr>
            <w:r>
              <w:t xml:space="preserve">the </w:t>
            </w:r>
            <w:r w:rsidRPr="00BF3224">
              <w:t>use of a reduced-width construction right of way at watercourse crossings and aim to avoid any standing water</w:t>
            </w:r>
          </w:p>
          <w:p w14:paraId="10C4D5B8" w14:textId="18F00C82" w:rsidR="00397857" w:rsidRPr="0040395D" w:rsidRDefault="00690190" w:rsidP="007D3C12">
            <w:pPr>
              <w:pStyle w:val="TableBullet1"/>
            </w:pPr>
            <w:r w:rsidRPr="00BF3224">
              <w:t>micro-siting crossings of Back Creek to avoid deeper pools where practicable to prevent potential effects on Yarra Pygmy Perch, Little Galaxias and Growling Grass Frog.</w:t>
            </w:r>
          </w:p>
        </w:tc>
        <w:tc>
          <w:tcPr>
            <w:tcW w:w="546" w:type="pct"/>
          </w:tcPr>
          <w:p w14:paraId="6A47B089" w14:textId="77777777" w:rsidR="00397857" w:rsidRPr="0040395D" w:rsidRDefault="00397857" w:rsidP="00397857">
            <w:pPr>
              <w:pStyle w:val="TableText"/>
            </w:pPr>
            <w:r w:rsidRPr="0040395D">
              <w:t>Design</w:t>
            </w:r>
          </w:p>
        </w:tc>
      </w:tr>
      <w:tr w:rsidR="00397857" w:rsidRPr="0040395D" w14:paraId="35703969" w14:textId="77777777" w:rsidTr="00A47875">
        <w:trPr>
          <w:cantSplit/>
        </w:trPr>
        <w:tc>
          <w:tcPr>
            <w:tcW w:w="576" w:type="pct"/>
          </w:tcPr>
          <w:p w14:paraId="1AA156D0" w14:textId="77777777" w:rsidR="00397857" w:rsidRPr="0040395D" w:rsidRDefault="00397857" w:rsidP="00397857">
            <w:pPr>
              <w:pStyle w:val="TableText"/>
            </w:pPr>
            <w:r w:rsidRPr="0040395D">
              <w:t>SW02</w:t>
            </w:r>
          </w:p>
        </w:tc>
        <w:tc>
          <w:tcPr>
            <w:tcW w:w="3878" w:type="pct"/>
          </w:tcPr>
          <w:p w14:paraId="3A8C1925" w14:textId="25BA7F93" w:rsidR="00397857" w:rsidRPr="0040395D" w:rsidRDefault="00690190" w:rsidP="00397857">
            <w:pPr>
              <w:pStyle w:val="TableText"/>
            </w:pPr>
            <w:r w:rsidRPr="00BF3224">
              <w:t>Works within a designated watercourse require a Works on a Waterway licence from Glenelg Hopkins Catchment Management Authority. Works would be undertaken in accordance with the requirements of the Catchment Management Authority licence.</w:t>
            </w:r>
          </w:p>
        </w:tc>
        <w:tc>
          <w:tcPr>
            <w:tcW w:w="546" w:type="pct"/>
          </w:tcPr>
          <w:p w14:paraId="2BAD6108" w14:textId="19A0B2D5" w:rsidR="00397857" w:rsidRPr="0040395D" w:rsidRDefault="00744D3B" w:rsidP="00397857">
            <w:pPr>
              <w:pStyle w:val="TableText"/>
            </w:pPr>
            <w:r>
              <w:t>C</w:t>
            </w:r>
            <w:r w:rsidR="00397857" w:rsidRPr="0040395D">
              <w:t>onstruction</w:t>
            </w:r>
          </w:p>
        </w:tc>
      </w:tr>
      <w:tr w:rsidR="00397857" w:rsidRPr="0040395D" w14:paraId="4E62EBB5" w14:textId="77777777" w:rsidTr="00A47875">
        <w:trPr>
          <w:cantSplit/>
        </w:trPr>
        <w:tc>
          <w:tcPr>
            <w:tcW w:w="576" w:type="pct"/>
          </w:tcPr>
          <w:p w14:paraId="2D575241" w14:textId="77777777" w:rsidR="00397857" w:rsidRPr="0040395D" w:rsidRDefault="00397857" w:rsidP="00397857">
            <w:pPr>
              <w:pStyle w:val="TableText"/>
            </w:pPr>
            <w:r w:rsidRPr="0040395D">
              <w:t>SW03</w:t>
            </w:r>
          </w:p>
        </w:tc>
        <w:tc>
          <w:tcPr>
            <w:tcW w:w="3878" w:type="pct"/>
          </w:tcPr>
          <w:p w14:paraId="4CD1F24F" w14:textId="77777777" w:rsidR="00690190" w:rsidRPr="00BF3224" w:rsidRDefault="00690190" w:rsidP="00690190">
            <w:pPr>
              <w:pStyle w:val="TableText"/>
            </w:pPr>
            <w:r w:rsidRPr="00256ACF">
              <w:t>Where essential wind farm infrastructure (e.g., access tracks and electrical cables) crosses a creek, measures for avoiding and minimising impacts would be documented in the Construction Environmental Management Plan, including:</w:t>
            </w:r>
          </w:p>
          <w:p w14:paraId="2D49A28F" w14:textId="77777777" w:rsidR="00690190" w:rsidRPr="00BF3224" w:rsidRDefault="00690190" w:rsidP="00690190">
            <w:pPr>
              <w:pStyle w:val="TableBullet1"/>
            </w:pPr>
            <w:r w:rsidRPr="00BF3224">
              <w:t>preferentially schedule works during drier months of the year and lowest flow of the waterway</w:t>
            </w:r>
          </w:p>
          <w:p w14:paraId="7CEE03F7" w14:textId="77777777" w:rsidR="00690190" w:rsidRPr="00BF3224" w:rsidRDefault="00690190" w:rsidP="00690190">
            <w:pPr>
              <w:pStyle w:val="TableBullet1"/>
            </w:pPr>
            <w:r w:rsidRPr="00BF3224">
              <w:t>avoiding undertaking of works when high rainfall events are expected</w:t>
            </w:r>
          </w:p>
          <w:p w14:paraId="521B0787" w14:textId="77777777" w:rsidR="00690190" w:rsidRPr="00BF3224" w:rsidRDefault="00690190" w:rsidP="00690190">
            <w:pPr>
              <w:pStyle w:val="TableBullet1"/>
            </w:pPr>
            <w:r w:rsidRPr="00BF3224">
              <w:t>maintaining adequate flow rates and water levels in waterway to be crossed (as determined in consultation with the relevant authorities) to minimise impacts on aquatic ecosystem and environmental values</w:t>
            </w:r>
          </w:p>
          <w:p w14:paraId="71FC95FD" w14:textId="77777777" w:rsidR="00690190" w:rsidRPr="00BF3224" w:rsidRDefault="00690190" w:rsidP="00690190">
            <w:pPr>
              <w:pStyle w:val="TableBullet1"/>
            </w:pPr>
            <w:r w:rsidRPr="00BF3224">
              <w:t>restoration of temporarily disturbed waterways and vegetation (removing any obstructions to waterway flow) as soon as practicable following the open cut trenching works to at least its pre-construction condition</w:t>
            </w:r>
          </w:p>
          <w:p w14:paraId="021303D9" w14:textId="523ACF2C" w:rsidR="00690190" w:rsidRPr="00BF3224" w:rsidRDefault="00690190" w:rsidP="00690190">
            <w:pPr>
              <w:pStyle w:val="TableBullet1"/>
            </w:pPr>
            <w:r w:rsidRPr="00BF3224">
              <w:t>design measures to minimise future erosion in areas where trenching occurred (</w:t>
            </w:r>
            <w:r>
              <w:t>e.g.,</w:t>
            </w:r>
            <w:r w:rsidRPr="00BF3224">
              <w:t xml:space="preserve"> use of riprap made of stones to stabilise the waterway, geofabric to prevent erosion and scour until establishment of vegetation</w:t>
            </w:r>
          </w:p>
          <w:p w14:paraId="4D2D9D9E" w14:textId="51A185D3" w:rsidR="00397857" w:rsidRPr="0040395D" w:rsidRDefault="00690190" w:rsidP="007D3C12">
            <w:pPr>
              <w:pStyle w:val="TableBullet1"/>
            </w:pPr>
            <w:r w:rsidRPr="00BF3224">
              <w:t>avoiding the creation of continuous rows of stockpiled materials and providing gaps to allow flow.</w:t>
            </w:r>
          </w:p>
        </w:tc>
        <w:tc>
          <w:tcPr>
            <w:tcW w:w="546" w:type="pct"/>
          </w:tcPr>
          <w:p w14:paraId="6A049F5F" w14:textId="2C564AA2" w:rsidR="00397857" w:rsidRPr="0040395D" w:rsidRDefault="00397857" w:rsidP="00397857">
            <w:pPr>
              <w:pStyle w:val="TableText"/>
            </w:pPr>
            <w:r w:rsidRPr="0040395D">
              <w:t>Construction</w:t>
            </w:r>
          </w:p>
        </w:tc>
      </w:tr>
      <w:tr w:rsidR="00397857" w:rsidRPr="0040395D" w14:paraId="799F82EC" w14:textId="77777777" w:rsidTr="00A47875">
        <w:trPr>
          <w:cantSplit/>
        </w:trPr>
        <w:tc>
          <w:tcPr>
            <w:tcW w:w="576" w:type="pct"/>
          </w:tcPr>
          <w:p w14:paraId="43F963AF" w14:textId="77777777" w:rsidR="00397857" w:rsidRPr="0040395D" w:rsidRDefault="00397857" w:rsidP="00397857">
            <w:pPr>
              <w:pStyle w:val="TableText"/>
            </w:pPr>
            <w:r w:rsidRPr="0040395D">
              <w:t>SW04</w:t>
            </w:r>
          </w:p>
        </w:tc>
        <w:tc>
          <w:tcPr>
            <w:tcW w:w="3878" w:type="pct"/>
          </w:tcPr>
          <w:p w14:paraId="54D460F3" w14:textId="77777777" w:rsidR="00690190" w:rsidRPr="00BF3224" w:rsidRDefault="00690190" w:rsidP="00690190">
            <w:pPr>
              <w:pStyle w:val="TableText"/>
            </w:pPr>
            <w:r w:rsidRPr="00BF3224">
              <w:t xml:space="preserve">Development and implementation of a </w:t>
            </w:r>
            <w:bookmarkStart w:id="135" w:name="_Hlk99101229"/>
            <w:r w:rsidRPr="00BF3224">
              <w:t>Sediment, Erosion and Water Quality Management Plan,</w:t>
            </w:r>
            <w:bookmarkEnd w:id="135"/>
            <w:r w:rsidRPr="00BF3224">
              <w:t xml:space="preserve"> in consultation with Glenelg Hopkins Catchment Management Authority and EPA Victoria. </w:t>
            </w:r>
          </w:p>
          <w:p w14:paraId="72981ECB" w14:textId="77777777" w:rsidR="00690190" w:rsidRPr="00BF3224" w:rsidRDefault="00690190" w:rsidP="00690190">
            <w:pPr>
              <w:pStyle w:val="TableText"/>
            </w:pPr>
            <w:r w:rsidRPr="00BF3224">
              <w:t>Erosion and sediment control measures within the construction site would adopt a treatment train approach and would include:</w:t>
            </w:r>
          </w:p>
          <w:p w14:paraId="50E24DC0" w14:textId="77777777" w:rsidR="00690190" w:rsidRPr="00BF3224" w:rsidRDefault="00690190" w:rsidP="00690190">
            <w:pPr>
              <w:pStyle w:val="TableBullet1"/>
            </w:pPr>
            <w:r w:rsidRPr="00BF3224">
              <w:t xml:space="preserve">phasing of ground-disturbing works to periods of lower rainfall, where possible </w:t>
            </w:r>
          </w:p>
          <w:p w14:paraId="14CDB045" w14:textId="77777777" w:rsidR="00690190" w:rsidRPr="00BF3224" w:rsidRDefault="00690190" w:rsidP="00690190">
            <w:pPr>
              <w:pStyle w:val="TableBullet1"/>
            </w:pPr>
            <w:r w:rsidRPr="00BF3224">
              <w:t xml:space="preserve">maintaining watercourse and wetland buffers (with the exception of watercourse crossings) and adopt other measures consistent with EPA Victoria Publication 1896: </w:t>
            </w:r>
            <w:r w:rsidRPr="00BF3224">
              <w:rPr>
                <w:i/>
              </w:rPr>
              <w:t>Working within or adjacent to waterways</w:t>
            </w:r>
          </w:p>
          <w:p w14:paraId="31F001A9" w14:textId="77777777" w:rsidR="00690190" w:rsidRPr="00BF3224" w:rsidRDefault="00690190" w:rsidP="00690190">
            <w:pPr>
              <w:pStyle w:val="TableBullet1"/>
            </w:pPr>
            <w:r w:rsidRPr="00BF3224">
              <w:t xml:space="preserve">minimising clearance of vegetation, particularly along drainage lines, waterways and steep slopes. Vegetation, including within the watercourse and riparian zones, would be reinstated as quickly as practicable as open cut trenching works are completed </w:t>
            </w:r>
          </w:p>
          <w:p w14:paraId="5F7C8BE1" w14:textId="0F85DB5A" w:rsidR="00690190" w:rsidRPr="00BF3224" w:rsidRDefault="00690190" w:rsidP="00690190">
            <w:pPr>
              <w:pStyle w:val="TableBullet1"/>
            </w:pPr>
            <w:r>
              <w:t>installation of</w:t>
            </w:r>
            <w:r w:rsidRPr="00BF3224">
              <w:t xml:space="preserve"> primary, secondary and tertiary treatment control measures based on site-specific hazards consistent with EPA</w:t>
            </w:r>
            <w:r w:rsidR="00A775DA">
              <w:t> </w:t>
            </w:r>
            <w:r w:rsidRPr="00BF3224">
              <w:t xml:space="preserve">Victoria Publication 1893: </w:t>
            </w:r>
            <w:r w:rsidRPr="00BF3224">
              <w:rPr>
                <w:i/>
              </w:rPr>
              <w:t>Erosion, sediment and dust: treatment train</w:t>
            </w:r>
          </w:p>
          <w:p w14:paraId="480F2EA0" w14:textId="77777777" w:rsidR="00690190" w:rsidRPr="00BF3224" w:rsidRDefault="00690190" w:rsidP="00690190">
            <w:pPr>
              <w:pStyle w:val="TableBullet1"/>
            </w:pPr>
            <w:r w:rsidRPr="00BF3224">
              <w:t>design and designat</w:t>
            </w:r>
            <w:r>
              <w:t>ing</w:t>
            </w:r>
            <w:r w:rsidRPr="00BF3224">
              <w:t xml:space="preserve"> an area for stockpiles before construction commences ensuring that stockpiles and batters are designed with slopes no greater than 2:1 (horizontal/vertical)</w:t>
            </w:r>
          </w:p>
          <w:p w14:paraId="097C7B95" w14:textId="77777777" w:rsidR="00690190" w:rsidRPr="00BF3224" w:rsidRDefault="00690190" w:rsidP="00690190">
            <w:pPr>
              <w:pStyle w:val="TableBullet1"/>
            </w:pPr>
            <w:r w:rsidRPr="00BF3224">
              <w:t>implement</w:t>
            </w:r>
            <w:r>
              <w:t>ing</w:t>
            </w:r>
            <w:r w:rsidRPr="00BF3224">
              <w:t xml:space="preserve"> management controls for stockpiles consistent with EPA Victoria Publication 1895: </w:t>
            </w:r>
            <w:r w:rsidRPr="006F3726">
              <w:rPr>
                <w:i/>
                <w:iCs/>
              </w:rPr>
              <w:t>Managing stockpiles</w:t>
            </w:r>
          </w:p>
          <w:p w14:paraId="079DB33D" w14:textId="10BC6CAA" w:rsidR="00690190" w:rsidRPr="00BF3224" w:rsidRDefault="00690190" w:rsidP="00690190">
            <w:pPr>
              <w:pStyle w:val="TableBullet1"/>
            </w:pPr>
            <w:r w:rsidRPr="00BF3224">
              <w:t>stabilising exposed soils and implement other management controls for managing ground disturbance in accordance with EPA</w:t>
            </w:r>
            <w:r w:rsidR="00A775DA">
              <w:t> </w:t>
            </w:r>
            <w:r w:rsidRPr="00BF3224">
              <w:t>Victoria Publication 1894</w:t>
            </w:r>
            <w:r>
              <w:t>:</w:t>
            </w:r>
            <w:r w:rsidRPr="00BF3224">
              <w:t xml:space="preserve"> </w:t>
            </w:r>
            <w:r w:rsidRPr="00BF3224">
              <w:rPr>
                <w:i/>
              </w:rPr>
              <w:t>Managing soil disturbance</w:t>
            </w:r>
          </w:p>
          <w:p w14:paraId="47F1CFCD" w14:textId="77777777" w:rsidR="00690190" w:rsidRPr="00BF3224" w:rsidRDefault="00690190" w:rsidP="00690190">
            <w:pPr>
              <w:pStyle w:val="TableBullet1"/>
            </w:pPr>
            <w:r w:rsidRPr="00BF3224">
              <w:t>installing sediment fencing during construction to protect riparian zones if works are to be undertaken within 30 metres of creeks</w:t>
            </w:r>
          </w:p>
          <w:p w14:paraId="22BDBE7F" w14:textId="77777777" w:rsidR="00690190" w:rsidRPr="00BF3224" w:rsidRDefault="00690190" w:rsidP="00690190">
            <w:pPr>
              <w:pStyle w:val="TableBullet1"/>
            </w:pPr>
            <w:r w:rsidRPr="00BF3224">
              <w:t>installing sediment treatment control measures as appropriate (including around stockpiles) to adequately capture sediment loads</w:t>
            </w:r>
          </w:p>
          <w:p w14:paraId="6441CB80" w14:textId="77777777" w:rsidR="00690190" w:rsidRPr="00BF3224" w:rsidRDefault="00690190" w:rsidP="00690190">
            <w:pPr>
              <w:pStyle w:val="TableBullet1"/>
            </w:pPr>
            <w:r w:rsidRPr="00BF3224">
              <w:t>managing vehicle movements to designated roads and access areas</w:t>
            </w:r>
          </w:p>
          <w:p w14:paraId="4B28E4A3" w14:textId="688B0C9B" w:rsidR="00690190" w:rsidRPr="00BF3224" w:rsidRDefault="00690190" w:rsidP="00690190">
            <w:pPr>
              <w:pStyle w:val="TableBullet1"/>
            </w:pPr>
            <w:r w:rsidRPr="00BF3224">
              <w:t>directing stormwater within a constructed lined channel or sediment basin where applicable to reduce the velocity of runoff water</w:t>
            </w:r>
          </w:p>
          <w:p w14:paraId="7AD813B5" w14:textId="77777777" w:rsidR="00690190" w:rsidRPr="00BF3224" w:rsidRDefault="00690190" w:rsidP="00690190">
            <w:pPr>
              <w:pStyle w:val="TableBullet1"/>
            </w:pPr>
            <w:r w:rsidRPr="00BF3224">
              <w:t>monitoring surface water quality upstream and downstream from the works area, and confirm effectiveness of established controls and if environmental values are being protected</w:t>
            </w:r>
          </w:p>
          <w:p w14:paraId="4A77315E" w14:textId="35EAD7E0" w:rsidR="00397857" w:rsidRPr="0040395D" w:rsidRDefault="00690190" w:rsidP="007D3C12">
            <w:pPr>
              <w:pStyle w:val="TableBullet1"/>
            </w:pPr>
            <w:r w:rsidRPr="00BF3224">
              <w:t>development of contingency measures for works within a waterway or floodplain, including controls to be implemented when a storm event is forecast</w:t>
            </w:r>
            <w:r>
              <w:t>.</w:t>
            </w:r>
          </w:p>
        </w:tc>
        <w:tc>
          <w:tcPr>
            <w:tcW w:w="546" w:type="pct"/>
          </w:tcPr>
          <w:p w14:paraId="59ADBFAF" w14:textId="2544A0A0" w:rsidR="00397857" w:rsidRPr="0040395D" w:rsidRDefault="00744D3B" w:rsidP="00397857">
            <w:pPr>
              <w:pStyle w:val="TableText"/>
            </w:pPr>
            <w:r>
              <w:t>Design, p</w:t>
            </w:r>
            <w:r w:rsidR="00397857" w:rsidRPr="0040395D">
              <w:t>re-construction and construction</w:t>
            </w:r>
          </w:p>
        </w:tc>
      </w:tr>
      <w:tr w:rsidR="00397857" w:rsidRPr="0040395D" w14:paraId="0242FAD6" w14:textId="77777777" w:rsidTr="00A47875">
        <w:trPr>
          <w:cantSplit/>
        </w:trPr>
        <w:tc>
          <w:tcPr>
            <w:tcW w:w="576" w:type="pct"/>
          </w:tcPr>
          <w:p w14:paraId="776E9C94" w14:textId="77777777" w:rsidR="00397857" w:rsidRPr="0040395D" w:rsidRDefault="00397857" w:rsidP="00397857">
            <w:pPr>
              <w:pStyle w:val="TableText"/>
            </w:pPr>
            <w:r w:rsidRPr="0040395D">
              <w:t>SW05</w:t>
            </w:r>
          </w:p>
        </w:tc>
        <w:tc>
          <w:tcPr>
            <w:tcW w:w="3878" w:type="pct"/>
          </w:tcPr>
          <w:p w14:paraId="78D4BB79" w14:textId="48B2F8AA" w:rsidR="00690190" w:rsidRPr="00BF3224" w:rsidRDefault="00690190" w:rsidP="00690190">
            <w:pPr>
              <w:pStyle w:val="TableText"/>
            </w:pPr>
            <w:r w:rsidRPr="00BF3224">
              <w:t>Implement an approved Quarry Work Plan that includes risk treatment plans to manage and monitor surface water impacts in accordance with the Work Authority. These measures are likely to include, but are not limited to:</w:t>
            </w:r>
          </w:p>
          <w:p w14:paraId="14290938" w14:textId="77777777" w:rsidR="00690190" w:rsidRPr="00BF3224" w:rsidRDefault="00690190" w:rsidP="00690190">
            <w:pPr>
              <w:pStyle w:val="TableBullet1"/>
            </w:pPr>
            <w:r w:rsidRPr="00BF3224">
              <w:t>dam storage be properly designed by an accredited dam engineer and constructed to meet the relevant construction standards</w:t>
            </w:r>
          </w:p>
          <w:p w14:paraId="0553715B" w14:textId="77777777" w:rsidR="00690190" w:rsidRPr="00BF3224" w:rsidRDefault="00690190" w:rsidP="00690190">
            <w:pPr>
              <w:pStyle w:val="TableBullet1"/>
            </w:pPr>
            <w:r w:rsidRPr="00BF3224">
              <w:t>weekly record of storage water levels should be kept throughout the operation of the quarry</w:t>
            </w:r>
          </w:p>
          <w:p w14:paraId="2346CC9C" w14:textId="421B5643" w:rsidR="00397857" w:rsidRPr="0040395D" w:rsidRDefault="00690190" w:rsidP="007D3C12">
            <w:pPr>
              <w:pStyle w:val="TableBullet1"/>
            </w:pPr>
            <w:r w:rsidRPr="00BF3224">
              <w:t>management of surface water inflows through in-pit sump pumping during quarry operation.</w:t>
            </w:r>
          </w:p>
        </w:tc>
        <w:tc>
          <w:tcPr>
            <w:tcW w:w="546" w:type="pct"/>
          </w:tcPr>
          <w:p w14:paraId="6E2450F7" w14:textId="7A0FAE72" w:rsidR="00397857" w:rsidRPr="0040395D" w:rsidRDefault="00397857" w:rsidP="00397857">
            <w:pPr>
              <w:pStyle w:val="TableText"/>
            </w:pPr>
            <w:r w:rsidRPr="0040395D">
              <w:t>Design</w:t>
            </w:r>
            <w:r w:rsidR="00744D3B">
              <w:t xml:space="preserve">, </w:t>
            </w:r>
            <w:r w:rsidRPr="0040395D">
              <w:t>construction</w:t>
            </w:r>
            <w:r w:rsidR="00744D3B">
              <w:t>, operation and decommissioning</w:t>
            </w:r>
          </w:p>
        </w:tc>
      </w:tr>
      <w:tr w:rsidR="00397857" w:rsidRPr="0040395D" w14:paraId="43375B9C" w14:textId="77777777" w:rsidTr="00A47875">
        <w:trPr>
          <w:cantSplit/>
        </w:trPr>
        <w:tc>
          <w:tcPr>
            <w:tcW w:w="576" w:type="pct"/>
          </w:tcPr>
          <w:p w14:paraId="5E9D94D2" w14:textId="77777777" w:rsidR="00397857" w:rsidRPr="0040395D" w:rsidRDefault="00397857" w:rsidP="00397857">
            <w:pPr>
              <w:pStyle w:val="TableText"/>
            </w:pPr>
            <w:r w:rsidRPr="0040395D">
              <w:t>SW06</w:t>
            </w:r>
          </w:p>
        </w:tc>
        <w:tc>
          <w:tcPr>
            <w:tcW w:w="3878" w:type="pct"/>
          </w:tcPr>
          <w:p w14:paraId="5E631528" w14:textId="72AB753E" w:rsidR="00397857" w:rsidRPr="0040395D" w:rsidRDefault="00397857" w:rsidP="00397857">
            <w:pPr>
              <w:pStyle w:val="TableText"/>
            </w:pPr>
            <w:r w:rsidRPr="0040395D">
              <w:t>Implement a risk-based approach to management of potential acid sulfate soil</w:t>
            </w:r>
            <w:r w:rsidR="00E76777">
              <w:t xml:space="preserve"> and potentially contaminated soils</w:t>
            </w:r>
            <w:r w:rsidRPr="0040395D">
              <w:t>, in accordance with EPA Victoria Publication 655.1</w:t>
            </w:r>
            <w:r w:rsidR="00744D3B">
              <w:t>:</w:t>
            </w:r>
            <w:r w:rsidRPr="0040395D">
              <w:t xml:space="preserve"> </w:t>
            </w:r>
            <w:r w:rsidRPr="0040395D">
              <w:rPr>
                <w:i/>
              </w:rPr>
              <w:t>Acid sulfate soil and rock</w:t>
            </w:r>
            <w:r w:rsidRPr="0040395D">
              <w:t xml:space="preserve">, which may include: </w:t>
            </w:r>
          </w:p>
          <w:p w14:paraId="1A2F7A59" w14:textId="2D49A3D3" w:rsidR="00397857" w:rsidRDefault="00397857" w:rsidP="00611E7D">
            <w:pPr>
              <w:pStyle w:val="TableBullet1"/>
            </w:pPr>
            <w:r w:rsidRPr="0040395D">
              <w:t>identification of high-risk locations through mapping and soil testing</w:t>
            </w:r>
          </w:p>
          <w:p w14:paraId="7D1E908B" w14:textId="65E838F0" w:rsidR="00744D3B" w:rsidRPr="0040395D" w:rsidRDefault="00744D3B" w:rsidP="00611E7D">
            <w:pPr>
              <w:pStyle w:val="TableBullet1"/>
            </w:pPr>
            <w:r w:rsidRPr="00BF3224">
              <w:t>implementing targeted measures at high-risk locations such the handling and stockpiling of material, protocols to neutralise soil acidity, monitoring and contingencies</w:t>
            </w:r>
          </w:p>
          <w:p w14:paraId="10592992" w14:textId="14D5392E" w:rsidR="00C47DEE" w:rsidRDefault="00C47DEE" w:rsidP="00611E7D">
            <w:pPr>
              <w:pStyle w:val="TableBullet1"/>
            </w:pPr>
            <w:r w:rsidRPr="0040395D">
              <w:t>development of an acid sulfate soil management plan</w:t>
            </w:r>
            <w:r w:rsidR="00744D3B">
              <w:t>.</w:t>
            </w:r>
          </w:p>
          <w:p w14:paraId="1819E518" w14:textId="021B5053" w:rsidR="00397857" w:rsidRPr="0040395D" w:rsidRDefault="00397857" w:rsidP="00397857">
            <w:pPr>
              <w:pStyle w:val="TableText"/>
            </w:pPr>
            <w:r w:rsidRPr="0040395D">
              <w:t xml:space="preserve">If acid sulfate soil </w:t>
            </w:r>
            <w:r w:rsidR="00E76777">
              <w:t xml:space="preserve">or contaminated soil </w:t>
            </w:r>
            <w:r w:rsidRPr="0040395D">
              <w:t xml:space="preserve">is encountered it would be managed as a priority waste in accordance with EPA </w:t>
            </w:r>
            <w:r w:rsidR="00744D3B">
              <w:t>Victoria P</w:t>
            </w:r>
            <w:r w:rsidRPr="0040395D">
              <w:t>ublication 1968</w:t>
            </w:r>
            <w:r w:rsidR="00744D3B">
              <w:t>:</w:t>
            </w:r>
            <w:r w:rsidRPr="0040395D">
              <w:t xml:space="preserve"> </w:t>
            </w:r>
            <w:r w:rsidRPr="009A3C54">
              <w:rPr>
                <w:i/>
                <w:iCs/>
              </w:rPr>
              <w:t>Guide to classifying industrial waste</w:t>
            </w:r>
            <w:r w:rsidRPr="0040395D">
              <w:t>.</w:t>
            </w:r>
          </w:p>
        </w:tc>
        <w:tc>
          <w:tcPr>
            <w:tcW w:w="546" w:type="pct"/>
          </w:tcPr>
          <w:p w14:paraId="34768E21" w14:textId="48D9C9C1" w:rsidR="00397857" w:rsidRPr="0040395D" w:rsidRDefault="00744D3B" w:rsidP="00397857">
            <w:pPr>
              <w:pStyle w:val="TableText"/>
            </w:pPr>
            <w:r>
              <w:t>C</w:t>
            </w:r>
            <w:r w:rsidR="00397857" w:rsidRPr="0040395D">
              <w:t>onstruction</w:t>
            </w:r>
          </w:p>
        </w:tc>
      </w:tr>
      <w:tr w:rsidR="00397857" w:rsidRPr="0040395D" w14:paraId="36FFA989" w14:textId="77777777" w:rsidTr="00A47875">
        <w:trPr>
          <w:cantSplit/>
        </w:trPr>
        <w:tc>
          <w:tcPr>
            <w:tcW w:w="576" w:type="pct"/>
          </w:tcPr>
          <w:p w14:paraId="3DC23E6C" w14:textId="77777777" w:rsidR="00397857" w:rsidRPr="0040395D" w:rsidRDefault="00397857" w:rsidP="00397857">
            <w:pPr>
              <w:pStyle w:val="TableText"/>
            </w:pPr>
            <w:r w:rsidRPr="0040395D">
              <w:t>SW07</w:t>
            </w:r>
          </w:p>
        </w:tc>
        <w:tc>
          <w:tcPr>
            <w:tcW w:w="3878" w:type="pct"/>
          </w:tcPr>
          <w:p w14:paraId="43247883" w14:textId="77777777" w:rsidR="00690190" w:rsidRPr="00BF3224" w:rsidRDefault="00690190" w:rsidP="00690190">
            <w:pPr>
              <w:pStyle w:val="TableText"/>
            </w:pPr>
            <w:r w:rsidRPr="00BF3224">
              <w:t>Measures to manage potential pollutants from entering waterways include:</w:t>
            </w:r>
          </w:p>
          <w:p w14:paraId="693005F1" w14:textId="77777777" w:rsidR="00690190" w:rsidRPr="00BF3224" w:rsidRDefault="00690190" w:rsidP="00690190">
            <w:pPr>
              <w:pStyle w:val="TableBullet1"/>
            </w:pPr>
            <w:r w:rsidRPr="00BF3224">
              <w:t xml:space="preserve">spills risk assessment and response plan, incorporating measures for the use, storage, transfer and disposal of hydrocarbons and chemicals (in accordance with EPA Victoria Publication 1698: </w:t>
            </w:r>
            <w:r w:rsidRPr="00BF3224">
              <w:rPr>
                <w:i/>
              </w:rPr>
              <w:t>Liquid storage and handling guidelines</w:t>
            </w:r>
            <w:r w:rsidRPr="00BF3224">
              <w:t>)</w:t>
            </w:r>
          </w:p>
          <w:p w14:paraId="7260CBE9" w14:textId="77777777" w:rsidR="00690190" w:rsidRPr="00BF3224" w:rsidRDefault="00690190" w:rsidP="00690190">
            <w:pPr>
              <w:pStyle w:val="TableBullet1"/>
            </w:pPr>
            <w:r w:rsidRPr="00BF3224">
              <w:t>storage of liquid fuels and chemicals within containment facilities (</w:t>
            </w:r>
            <w:r>
              <w:t>e.g.,</w:t>
            </w:r>
            <w:r w:rsidRPr="00BF3224">
              <w:t xml:space="preserve"> bunded areas) more than 100 metres from waterways in designated areas within the project site</w:t>
            </w:r>
          </w:p>
          <w:p w14:paraId="067B8FED" w14:textId="77777777" w:rsidR="00690190" w:rsidRPr="00BF3224" w:rsidRDefault="00690190" w:rsidP="00690190">
            <w:pPr>
              <w:pStyle w:val="TableBullet1"/>
            </w:pPr>
            <w:r w:rsidRPr="00BF3224">
              <w:t>spill response kit, to be located at waterway crossings, at locations where machinery/plant are operating, and refuelling and fuel/chemical storage areas during construction</w:t>
            </w:r>
          </w:p>
          <w:p w14:paraId="17218922" w14:textId="4A65238C" w:rsidR="00397857" w:rsidRPr="0040395D" w:rsidRDefault="00690190" w:rsidP="00611E7D">
            <w:pPr>
              <w:pStyle w:val="TableBullet1"/>
            </w:pPr>
            <w:r w:rsidRPr="00BF3224">
              <w:t>incorporation of spill containment measures into the drainage design.</w:t>
            </w:r>
          </w:p>
        </w:tc>
        <w:tc>
          <w:tcPr>
            <w:tcW w:w="546" w:type="pct"/>
          </w:tcPr>
          <w:p w14:paraId="7C968F2D" w14:textId="76B3C84C" w:rsidR="00397857" w:rsidRPr="0040395D" w:rsidRDefault="00C71225" w:rsidP="00397857">
            <w:pPr>
              <w:pStyle w:val="TableText"/>
            </w:pPr>
            <w:r>
              <w:t>C</w:t>
            </w:r>
            <w:r w:rsidR="00397857" w:rsidRPr="0040395D">
              <w:t>onstruction</w:t>
            </w:r>
            <w:r>
              <w:t>, operation and decommissioning</w:t>
            </w:r>
          </w:p>
        </w:tc>
      </w:tr>
      <w:tr w:rsidR="00397857" w:rsidRPr="0040395D" w14:paraId="78104185" w14:textId="77777777" w:rsidTr="00A47875">
        <w:trPr>
          <w:cantSplit/>
        </w:trPr>
        <w:tc>
          <w:tcPr>
            <w:tcW w:w="576" w:type="pct"/>
          </w:tcPr>
          <w:p w14:paraId="0917ADBC" w14:textId="77777777" w:rsidR="00397857" w:rsidRPr="0040395D" w:rsidRDefault="00397857" w:rsidP="00397857">
            <w:pPr>
              <w:pStyle w:val="TableText"/>
            </w:pPr>
            <w:r w:rsidRPr="0040395D">
              <w:t>SW08</w:t>
            </w:r>
          </w:p>
        </w:tc>
        <w:tc>
          <w:tcPr>
            <w:tcW w:w="3878" w:type="pct"/>
          </w:tcPr>
          <w:p w14:paraId="5173FFC3" w14:textId="77777777" w:rsidR="00690190" w:rsidRPr="00BF3224" w:rsidRDefault="00690190" w:rsidP="00690190">
            <w:pPr>
              <w:pStyle w:val="TableText"/>
            </w:pPr>
            <w:r w:rsidRPr="00BF3224">
              <w:t xml:space="preserve">Water collected dewatering of excavations would be </w:t>
            </w:r>
            <w:r>
              <w:t>managed</w:t>
            </w:r>
            <w:r w:rsidRPr="00BF3224">
              <w:t xml:space="preserve"> </w:t>
            </w:r>
            <w:r>
              <w:t xml:space="preserve">in accordance with the </w:t>
            </w:r>
            <w:r w:rsidRPr="008D1A85">
              <w:t>Environment Protection Regulations</w:t>
            </w:r>
            <w:r>
              <w:t xml:space="preserve"> 2021</w:t>
            </w:r>
            <w:r w:rsidRPr="00BF3224">
              <w:t xml:space="preserve">. These measures would be incorporated into the Construction Environmental Management Plan and would include, but not be limited to: </w:t>
            </w:r>
          </w:p>
          <w:p w14:paraId="6A27C2A4" w14:textId="77777777" w:rsidR="00690190" w:rsidRPr="00BF3224" w:rsidRDefault="00690190" w:rsidP="00690190">
            <w:pPr>
              <w:pStyle w:val="TableBullet1"/>
            </w:pPr>
            <w:r w:rsidRPr="00BF3224">
              <w:t>monitoring of water quality of captured water</w:t>
            </w:r>
            <w:r>
              <w:t xml:space="preserve"> (e.g., pH, salinity, suspended solids)</w:t>
            </w:r>
            <w:r w:rsidRPr="00BF3224">
              <w:t>.</w:t>
            </w:r>
          </w:p>
          <w:p w14:paraId="1262EF83" w14:textId="77777777" w:rsidR="00690190" w:rsidRPr="00BF3224" w:rsidRDefault="00690190" w:rsidP="00690190">
            <w:pPr>
              <w:pStyle w:val="TableBullet1"/>
            </w:pPr>
            <w:r w:rsidRPr="00BF3224">
              <w:t xml:space="preserve">approval would be sought from relevant authorities to discharge water </w:t>
            </w:r>
          </w:p>
          <w:p w14:paraId="788B3793" w14:textId="77777777" w:rsidR="00690190" w:rsidRPr="00BF3224" w:rsidRDefault="00690190" w:rsidP="00690190">
            <w:pPr>
              <w:pStyle w:val="TableBullet1"/>
            </w:pPr>
            <w:r>
              <w:t xml:space="preserve">disposal of </w:t>
            </w:r>
            <w:r w:rsidRPr="00BF3224">
              <w:t>water a</w:t>
            </w:r>
            <w:r>
              <w:t>t a</w:t>
            </w:r>
            <w:r w:rsidRPr="00BF3224">
              <w:t xml:space="preserve"> site that is lawfully able to receive it </w:t>
            </w:r>
          </w:p>
          <w:p w14:paraId="0FDFEB15" w14:textId="0C761D41" w:rsidR="00690190" w:rsidRPr="00BF3224" w:rsidRDefault="00690190" w:rsidP="00690190">
            <w:pPr>
              <w:pStyle w:val="TableBullet1"/>
            </w:pPr>
            <w:r w:rsidRPr="00BF3224">
              <w:t>use of sediment control devices, where required</w:t>
            </w:r>
            <w:r w:rsidR="00A775DA">
              <w:t>.</w:t>
            </w:r>
          </w:p>
          <w:p w14:paraId="00BACC84" w14:textId="474F6957" w:rsidR="00397857" w:rsidRPr="0040395D" w:rsidRDefault="00690190" w:rsidP="00397857">
            <w:pPr>
              <w:pStyle w:val="TableText"/>
            </w:pPr>
            <w:r w:rsidRPr="00BF3224">
              <w:t xml:space="preserve">EPA </w:t>
            </w:r>
            <w:r>
              <w:t xml:space="preserve">Victoria </w:t>
            </w:r>
            <w:r w:rsidRPr="00BF3224">
              <w:t xml:space="preserve">would be consulted in the preparation </w:t>
            </w:r>
            <w:r w:rsidRPr="00256ACF">
              <w:t>Construction Environmental Management Plan</w:t>
            </w:r>
            <w:r w:rsidRPr="00BF3224">
              <w:t xml:space="preserve"> before construction commences.</w:t>
            </w:r>
          </w:p>
        </w:tc>
        <w:tc>
          <w:tcPr>
            <w:tcW w:w="546" w:type="pct"/>
          </w:tcPr>
          <w:p w14:paraId="19449B8D" w14:textId="77777777" w:rsidR="00397857" w:rsidRPr="0040395D" w:rsidRDefault="00397857" w:rsidP="00397857">
            <w:pPr>
              <w:pStyle w:val="TableText"/>
            </w:pPr>
            <w:r w:rsidRPr="0040395D">
              <w:t>Construction</w:t>
            </w:r>
          </w:p>
        </w:tc>
      </w:tr>
      <w:tr w:rsidR="00397857" w:rsidRPr="0040395D" w14:paraId="564A88A5" w14:textId="77777777" w:rsidTr="00A47875">
        <w:trPr>
          <w:cantSplit/>
        </w:trPr>
        <w:tc>
          <w:tcPr>
            <w:tcW w:w="576" w:type="pct"/>
          </w:tcPr>
          <w:p w14:paraId="22AE73BB" w14:textId="77777777" w:rsidR="00397857" w:rsidRPr="0040395D" w:rsidRDefault="00397857" w:rsidP="00397857">
            <w:pPr>
              <w:pStyle w:val="TableText"/>
            </w:pPr>
            <w:r w:rsidRPr="0040395D">
              <w:t>SW09</w:t>
            </w:r>
          </w:p>
        </w:tc>
        <w:tc>
          <w:tcPr>
            <w:tcW w:w="3878" w:type="pct"/>
          </w:tcPr>
          <w:p w14:paraId="64AE0013" w14:textId="77777777" w:rsidR="00690190" w:rsidRPr="00BF3224" w:rsidRDefault="00690190" w:rsidP="00690190">
            <w:pPr>
              <w:pStyle w:val="TableText"/>
            </w:pPr>
            <w:r>
              <w:t xml:space="preserve">As part of the </w:t>
            </w:r>
            <w:r w:rsidRPr="006F3726">
              <w:t>Sediment, Erosion and Water Quality Management Plan</w:t>
            </w:r>
            <w:r>
              <w:t xml:space="preserve"> (SW04) there would be</w:t>
            </w:r>
            <w:r w:rsidRPr="00BF3224">
              <w:t>:</w:t>
            </w:r>
          </w:p>
          <w:p w14:paraId="0245D729" w14:textId="77777777" w:rsidR="00690190" w:rsidRPr="00BF3224" w:rsidRDefault="00690190" w:rsidP="00690190">
            <w:pPr>
              <w:pStyle w:val="TableBullet1"/>
            </w:pPr>
            <w:r w:rsidRPr="00BF3224">
              <w:t>regular inspection and maintenance of any on-site wastewater management system</w:t>
            </w:r>
          </w:p>
          <w:p w14:paraId="2183E4E1" w14:textId="77777777" w:rsidR="00690190" w:rsidRDefault="00690190" w:rsidP="00690190">
            <w:pPr>
              <w:pStyle w:val="TableBullet1"/>
            </w:pPr>
            <w:r w:rsidRPr="00BF3224">
              <w:t xml:space="preserve">inspection and monitoring program, including regular checks of sediment controls to ensure effectiveness, and remediation of any localised erosion </w:t>
            </w:r>
          </w:p>
          <w:p w14:paraId="5F41C5B9" w14:textId="56834374" w:rsidR="00397857" w:rsidRPr="0040395D" w:rsidRDefault="00690190" w:rsidP="00611E7D">
            <w:pPr>
              <w:pStyle w:val="TableBullet1"/>
            </w:pPr>
            <w:r w:rsidRPr="00BF3224">
              <w:t>complaint investigation and response plan</w:t>
            </w:r>
            <w:r w:rsidR="00397857" w:rsidRPr="0040395D">
              <w:t>.</w:t>
            </w:r>
          </w:p>
        </w:tc>
        <w:tc>
          <w:tcPr>
            <w:tcW w:w="546" w:type="pct"/>
          </w:tcPr>
          <w:p w14:paraId="794B3C05" w14:textId="77777777" w:rsidR="00397857" w:rsidRPr="0040395D" w:rsidRDefault="00397857" w:rsidP="00397857">
            <w:pPr>
              <w:pStyle w:val="TableText"/>
            </w:pPr>
            <w:r w:rsidRPr="0040395D">
              <w:t>Pre-construction</w:t>
            </w:r>
          </w:p>
        </w:tc>
      </w:tr>
      <w:tr w:rsidR="00397857" w:rsidRPr="0040395D" w14:paraId="4E1C5076" w14:textId="77777777" w:rsidTr="00375C7D">
        <w:trPr>
          <w:cantSplit/>
        </w:trPr>
        <w:tc>
          <w:tcPr>
            <w:tcW w:w="5000" w:type="pct"/>
            <w:gridSpan w:val="3"/>
            <w:shd w:val="clear" w:color="auto" w:fill="E6EFE1"/>
          </w:tcPr>
          <w:p w14:paraId="04691376" w14:textId="77777777" w:rsidR="00397857" w:rsidRPr="0040395D" w:rsidRDefault="00397857" w:rsidP="00A775DA">
            <w:pPr>
              <w:pStyle w:val="TableText"/>
              <w:keepNext/>
              <w:rPr>
                <w:b/>
                <w:i/>
              </w:rPr>
            </w:pPr>
            <w:r w:rsidRPr="0040395D">
              <w:rPr>
                <w:b/>
                <w:i/>
              </w:rPr>
              <w:t>Brolga</w:t>
            </w:r>
          </w:p>
        </w:tc>
      </w:tr>
      <w:tr w:rsidR="00397857" w:rsidRPr="0040395D" w14:paraId="539E8398" w14:textId="77777777" w:rsidTr="00A47875">
        <w:trPr>
          <w:cantSplit/>
        </w:trPr>
        <w:tc>
          <w:tcPr>
            <w:tcW w:w="576" w:type="pct"/>
          </w:tcPr>
          <w:p w14:paraId="2F479A5B" w14:textId="77777777" w:rsidR="00397857" w:rsidRPr="0040395D" w:rsidRDefault="00397857" w:rsidP="00694153">
            <w:pPr>
              <w:pStyle w:val="TableText"/>
              <w:keepNext/>
            </w:pPr>
            <w:r w:rsidRPr="0040395D">
              <w:t>BR01</w:t>
            </w:r>
          </w:p>
        </w:tc>
        <w:tc>
          <w:tcPr>
            <w:tcW w:w="3878" w:type="pct"/>
          </w:tcPr>
          <w:p w14:paraId="68F96694" w14:textId="3BBE5EEB" w:rsidR="00397857" w:rsidRPr="0040395D" w:rsidRDefault="00077062" w:rsidP="00397857">
            <w:pPr>
              <w:pStyle w:val="TableText"/>
            </w:pPr>
            <w:r w:rsidRPr="00E62F51">
              <w:t xml:space="preserve">Before development starts, a Bat and </w:t>
            </w:r>
            <w:r w:rsidR="00691D7D">
              <w:t>Bat Adaptive</w:t>
            </w:r>
            <w:r w:rsidR="00691D7D" w:rsidRPr="00E62F51">
              <w:t xml:space="preserve"> </w:t>
            </w:r>
            <w:r w:rsidRPr="00E62F51">
              <w:t>Management Plan is to be approved by DELWP</w:t>
            </w:r>
            <w:r w:rsidR="00691D7D">
              <w:t>, DAWE</w:t>
            </w:r>
            <w:r w:rsidRPr="00E62F51">
              <w:t xml:space="preserve"> and the responsible authority.</w:t>
            </w:r>
          </w:p>
        </w:tc>
        <w:tc>
          <w:tcPr>
            <w:tcW w:w="546" w:type="pct"/>
          </w:tcPr>
          <w:p w14:paraId="42E12D95" w14:textId="77777777" w:rsidR="00397857" w:rsidRPr="0040395D" w:rsidRDefault="00397857" w:rsidP="00397857">
            <w:pPr>
              <w:pStyle w:val="TableText"/>
            </w:pPr>
            <w:r w:rsidRPr="0040395D">
              <w:t xml:space="preserve">Detailed design </w:t>
            </w:r>
          </w:p>
        </w:tc>
      </w:tr>
      <w:tr w:rsidR="00397857" w:rsidRPr="0040395D" w14:paraId="1DC88291" w14:textId="77777777" w:rsidTr="00A47875">
        <w:trPr>
          <w:cantSplit/>
        </w:trPr>
        <w:tc>
          <w:tcPr>
            <w:tcW w:w="576" w:type="pct"/>
          </w:tcPr>
          <w:p w14:paraId="032B4F97" w14:textId="77777777" w:rsidR="00397857" w:rsidRPr="0040395D" w:rsidRDefault="00397857" w:rsidP="00397857">
            <w:pPr>
              <w:pStyle w:val="TableText"/>
            </w:pPr>
            <w:r w:rsidRPr="0040395D">
              <w:t>BR02</w:t>
            </w:r>
          </w:p>
        </w:tc>
        <w:tc>
          <w:tcPr>
            <w:tcW w:w="3878" w:type="pct"/>
          </w:tcPr>
          <w:p w14:paraId="2F990084" w14:textId="28892EA0" w:rsidR="00397857" w:rsidRPr="0040395D" w:rsidRDefault="00077062" w:rsidP="00397857">
            <w:pPr>
              <w:pStyle w:val="TableText"/>
            </w:pPr>
            <w:r w:rsidRPr="00E62F51">
              <w:t xml:space="preserve">Before development starts, a </w:t>
            </w:r>
            <w:r>
              <w:t>Brolga Compensation</w:t>
            </w:r>
            <w:r w:rsidRPr="00E62F51">
              <w:t xml:space="preserve"> Plan is to be approved by DELWP and the responsible authority.</w:t>
            </w:r>
          </w:p>
        </w:tc>
        <w:tc>
          <w:tcPr>
            <w:tcW w:w="546" w:type="pct"/>
          </w:tcPr>
          <w:p w14:paraId="1BB58553" w14:textId="77777777" w:rsidR="00397857" w:rsidRPr="0040395D" w:rsidRDefault="00397857" w:rsidP="00397857">
            <w:pPr>
              <w:pStyle w:val="TableText"/>
            </w:pPr>
            <w:r w:rsidRPr="0040395D">
              <w:t>Pre-construction</w:t>
            </w:r>
          </w:p>
        </w:tc>
      </w:tr>
      <w:tr w:rsidR="00397857" w:rsidRPr="0040395D" w14:paraId="6564C7EC" w14:textId="77777777" w:rsidTr="00A47875">
        <w:trPr>
          <w:cantSplit/>
        </w:trPr>
        <w:tc>
          <w:tcPr>
            <w:tcW w:w="576" w:type="pct"/>
          </w:tcPr>
          <w:p w14:paraId="3045BE1B" w14:textId="77777777" w:rsidR="00397857" w:rsidRPr="0040395D" w:rsidRDefault="00397857" w:rsidP="00397857">
            <w:pPr>
              <w:pStyle w:val="TableText"/>
            </w:pPr>
            <w:r w:rsidRPr="0040395D">
              <w:t>BR03</w:t>
            </w:r>
          </w:p>
        </w:tc>
        <w:tc>
          <w:tcPr>
            <w:tcW w:w="3878" w:type="pct"/>
          </w:tcPr>
          <w:p w14:paraId="7E9AEBF2" w14:textId="62A4E0D3" w:rsidR="00397857" w:rsidRPr="0040395D" w:rsidRDefault="00077062" w:rsidP="00397857">
            <w:pPr>
              <w:pStyle w:val="TableText"/>
            </w:pPr>
            <w:r w:rsidRPr="00077062">
              <w:t>As part of the Bat and Avifauna Management Plan</w:t>
            </w:r>
            <w:r w:rsidR="00E6072A">
              <w:t>,</w:t>
            </w:r>
            <w:r w:rsidRPr="00077062">
              <w:t xml:space="preserve"> develop a mortality monitoring program of at least three years’ duration that commences when the first turbine is commissioned.</w:t>
            </w:r>
          </w:p>
        </w:tc>
        <w:tc>
          <w:tcPr>
            <w:tcW w:w="546" w:type="pct"/>
          </w:tcPr>
          <w:p w14:paraId="185A9076" w14:textId="77777777" w:rsidR="00397857" w:rsidRPr="0040395D" w:rsidRDefault="00397857" w:rsidP="00397857">
            <w:pPr>
              <w:pStyle w:val="TableText"/>
            </w:pPr>
            <w:r w:rsidRPr="0040395D">
              <w:t>Pre-construction</w:t>
            </w:r>
          </w:p>
        </w:tc>
      </w:tr>
      <w:tr w:rsidR="00397857" w:rsidRPr="0040395D" w14:paraId="73DE807A" w14:textId="77777777" w:rsidTr="00A47875">
        <w:trPr>
          <w:cantSplit/>
        </w:trPr>
        <w:tc>
          <w:tcPr>
            <w:tcW w:w="576" w:type="pct"/>
          </w:tcPr>
          <w:p w14:paraId="66568665" w14:textId="77777777" w:rsidR="00397857" w:rsidRPr="0040395D" w:rsidRDefault="00397857" w:rsidP="00397857">
            <w:pPr>
              <w:pStyle w:val="TableText"/>
            </w:pPr>
            <w:r w:rsidRPr="0040395D">
              <w:t>BR04</w:t>
            </w:r>
          </w:p>
        </w:tc>
        <w:tc>
          <w:tcPr>
            <w:tcW w:w="3878" w:type="pct"/>
          </w:tcPr>
          <w:p w14:paraId="1BF782F3" w14:textId="0E83EBA7" w:rsidR="00077062" w:rsidRPr="00E62F51" w:rsidRDefault="00077062" w:rsidP="00077062">
            <w:pPr>
              <w:pStyle w:val="TableText"/>
            </w:pPr>
            <w:r w:rsidRPr="00E62F51">
              <w:t xml:space="preserve">Monthly Brolga monitoring </w:t>
            </w:r>
            <w:r w:rsidR="00E6072A">
              <w:t>would</w:t>
            </w:r>
            <w:r w:rsidRPr="00E62F51">
              <w:t xml:space="preserve"> be conducted between June and December for all wetlands within two kilometres of wind turbine locations.</w:t>
            </w:r>
          </w:p>
          <w:p w14:paraId="01675523" w14:textId="49D00FEF" w:rsidR="00077062" w:rsidRPr="00E62F51" w:rsidRDefault="00077062" w:rsidP="00077062">
            <w:pPr>
              <w:pStyle w:val="TableText"/>
            </w:pPr>
            <w:r w:rsidRPr="00E62F51">
              <w:t xml:space="preserve">Should breeding activity be observed then regular surveys </w:t>
            </w:r>
            <w:r w:rsidR="00E6072A">
              <w:t xml:space="preserve">would </w:t>
            </w:r>
            <w:r w:rsidRPr="00E62F51">
              <w:t>be conducted to collect the following information:</w:t>
            </w:r>
          </w:p>
          <w:p w14:paraId="7439C8CF" w14:textId="77777777" w:rsidR="00077062" w:rsidRPr="001069F5" w:rsidRDefault="00077062" w:rsidP="00077062">
            <w:pPr>
              <w:pStyle w:val="TableBullet1"/>
            </w:pPr>
            <w:r w:rsidRPr="001069F5">
              <w:t>observations of breeding behaviour</w:t>
            </w:r>
          </w:p>
          <w:p w14:paraId="67D9B262" w14:textId="58B13D7D" w:rsidR="00077062" w:rsidRPr="001069F5" w:rsidRDefault="00077062" w:rsidP="00077062">
            <w:pPr>
              <w:pStyle w:val="TableBullet1"/>
            </w:pPr>
            <w:r w:rsidRPr="001069F5">
              <w:t>observed flights, including start and end times, as well as flight path (mapped), height (including range), interaction with turbines</w:t>
            </w:r>
            <w:r w:rsidR="00E6072A">
              <w:t>,</w:t>
            </w:r>
            <w:r w:rsidRPr="001069F5">
              <w:t xml:space="preserve"> and habitat and activity at destination (where observable)</w:t>
            </w:r>
          </w:p>
          <w:p w14:paraId="3168F588" w14:textId="370AF596" w:rsidR="00397857" w:rsidRPr="0040395D" w:rsidRDefault="00077062" w:rsidP="00611E7D">
            <w:pPr>
              <w:pStyle w:val="TableBullet1"/>
            </w:pPr>
            <w:r w:rsidRPr="001069F5">
              <w:t>the number of young successfully fledged.</w:t>
            </w:r>
          </w:p>
        </w:tc>
        <w:tc>
          <w:tcPr>
            <w:tcW w:w="546" w:type="pct"/>
          </w:tcPr>
          <w:p w14:paraId="22A01F53" w14:textId="053268E8" w:rsidR="00397857" w:rsidRPr="0040395D" w:rsidRDefault="00397857" w:rsidP="00397857">
            <w:pPr>
              <w:pStyle w:val="TableText"/>
            </w:pPr>
            <w:r w:rsidRPr="0040395D">
              <w:t>Construction</w:t>
            </w:r>
            <w:r w:rsidR="0090498E">
              <w:t xml:space="preserve"> and </w:t>
            </w:r>
            <w:r w:rsidRPr="0040395D">
              <w:t>operation</w:t>
            </w:r>
          </w:p>
        </w:tc>
      </w:tr>
      <w:tr w:rsidR="00397857" w:rsidRPr="0040395D" w14:paraId="7526FEE1" w14:textId="77777777" w:rsidTr="00A47875">
        <w:trPr>
          <w:cantSplit/>
        </w:trPr>
        <w:tc>
          <w:tcPr>
            <w:tcW w:w="576" w:type="pct"/>
          </w:tcPr>
          <w:p w14:paraId="39F3B38B" w14:textId="77777777" w:rsidR="00397857" w:rsidRPr="0040395D" w:rsidRDefault="00397857" w:rsidP="00397857">
            <w:pPr>
              <w:pStyle w:val="TableText"/>
            </w:pPr>
            <w:r w:rsidRPr="0040395D">
              <w:t>BR05</w:t>
            </w:r>
          </w:p>
        </w:tc>
        <w:tc>
          <w:tcPr>
            <w:tcW w:w="3878" w:type="pct"/>
          </w:tcPr>
          <w:p w14:paraId="1341877A" w14:textId="3BF96482" w:rsidR="00077062" w:rsidRDefault="00077062" w:rsidP="00077062">
            <w:pPr>
              <w:pStyle w:val="TableText"/>
            </w:pPr>
            <w:r>
              <w:t xml:space="preserve">If Brolga breeding activity is recorded </w:t>
            </w:r>
            <w:r w:rsidR="00733B36">
              <w:t>during project construction</w:t>
            </w:r>
            <w:r>
              <w:t xml:space="preserve">, the Blast Management Plan </w:t>
            </w:r>
            <w:r w:rsidR="00E6072A">
              <w:t>would</w:t>
            </w:r>
            <w:r>
              <w:t xml:space="preserve"> trigger specific measures including:</w:t>
            </w:r>
          </w:p>
          <w:p w14:paraId="53F720DF" w14:textId="77777777" w:rsidR="00077062" w:rsidRDefault="00077062" w:rsidP="00DE4DC6">
            <w:pPr>
              <w:pStyle w:val="TableBullet1"/>
            </w:pPr>
            <w:r>
              <w:t>conducting behavioural monitoring of Brolga coinciding with quarry blasts to determine whether there is a behavioural reaction</w:t>
            </w:r>
          </w:p>
          <w:p w14:paraId="4AB4E4C7" w14:textId="77777777" w:rsidR="00077062" w:rsidRDefault="00077062" w:rsidP="00DE4DC6">
            <w:pPr>
              <w:pStyle w:val="TableBullet1"/>
            </w:pPr>
            <w:r>
              <w:t>reducing the number, charge and size of blasts</w:t>
            </w:r>
          </w:p>
          <w:p w14:paraId="2D29AF0E" w14:textId="1BF5F0C5" w:rsidR="00077062" w:rsidRPr="0040395D" w:rsidRDefault="00077062" w:rsidP="00332335">
            <w:pPr>
              <w:pStyle w:val="TableBullet1"/>
            </w:pPr>
            <w:r>
              <w:t>using directional blast methods away from the breeding area.</w:t>
            </w:r>
          </w:p>
        </w:tc>
        <w:tc>
          <w:tcPr>
            <w:tcW w:w="546" w:type="pct"/>
          </w:tcPr>
          <w:p w14:paraId="332D8A7F" w14:textId="77777777" w:rsidR="00397857" w:rsidRPr="0040395D" w:rsidRDefault="00397857" w:rsidP="00397857">
            <w:pPr>
              <w:pStyle w:val="TableText"/>
            </w:pPr>
            <w:r w:rsidRPr="0040395D">
              <w:t>Construction</w:t>
            </w:r>
          </w:p>
        </w:tc>
      </w:tr>
      <w:tr w:rsidR="00397857" w:rsidRPr="0040395D" w14:paraId="7DDEA25B" w14:textId="77777777" w:rsidTr="00A47875">
        <w:trPr>
          <w:cantSplit/>
        </w:trPr>
        <w:tc>
          <w:tcPr>
            <w:tcW w:w="576" w:type="pct"/>
          </w:tcPr>
          <w:p w14:paraId="740CE849" w14:textId="77777777" w:rsidR="00397857" w:rsidRPr="0040395D" w:rsidRDefault="00397857" w:rsidP="00397857">
            <w:pPr>
              <w:pStyle w:val="TableText"/>
            </w:pPr>
            <w:r w:rsidRPr="0040395D">
              <w:t>BR06</w:t>
            </w:r>
          </w:p>
        </w:tc>
        <w:tc>
          <w:tcPr>
            <w:tcW w:w="3878" w:type="pct"/>
          </w:tcPr>
          <w:p w14:paraId="2E381DC0" w14:textId="3D2FB32F" w:rsidR="00397857" w:rsidRPr="0040395D" w:rsidRDefault="00077062" w:rsidP="00397857">
            <w:pPr>
              <w:pStyle w:val="TableText"/>
            </w:pPr>
            <w:r w:rsidRPr="00077062">
              <w:t xml:space="preserve">Monthly visual inspections for Brolga within a 120-metre radius of each wind turbine for three years of operation. Any observed adverse outcome of turbine interactions (collision, death, injury) </w:t>
            </w:r>
            <w:r w:rsidR="00E6072A">
              <w:t>would</w:t>
            </w:r>
            <w:r w:rsidRPr="00077062">
              <w:t xml:space="preserve"> be described in detail and reported within two business days to DE</w:t>
            </w:r>
            <w:r w:rsidR="00F5188A">
              <w:t>L</w:t>
            </w:r>
            <w:r w:rsidRPr="00077062">
              <w:t>WP’s regional manager.</w:t>
            </w:r>
          </w:p>
        </w:tc>
        <w:tc>
          <w:tcPr>
            <w:tcW w:w="546" w:type="pct"/>
          </w:tcPr>
          <w:p w14:paraId="39DA1183" w14:textId="77777777" w:rsidR="00397857" w:rsidRPr="0040395D" w:rsidRDefault="00397857" w:rsidP="00397857">
            <w:pPr>
              <w:pStyle w:val="TableText"/>
            </w:pPr>
            <w:r w:rsidRPr="0040395D">
              <w:t>Operation</w:t>
            </w:r>
          </w:p>
        </w:tc>
      </w:tr>
      <w:tr w:rsidR="00691D7D" w:rsidRPr="0040395D" w14:paraId="5497A9C9" w14:textId="77777777" w:rsidTr="00A47875">
        <w:trPr>
          <w:cantSplit/>
        </w:trPr>
        <w:tc>
          <w:tcPr>
            <w:tcW w:w="576" w:type="pct"/>
          </w:tcPr>
          <w:p w14:paraId="36BCD197" w14:textId="30DE08DD" w:rsidR="00691D7D" w:rsidRPr="0040395D" w:rsidRDefault="00691D7D" w:rsidP="00397857">
            <w:pPr>
              <w:pStyle w:val="TableText"/>
            </w:pPr>
            <w:r>
              <w:t>BR07</w:t>
            </w:r>
          </w:p>
        </w:tc>
        <w:tc>
          <w:tcPr>
            <w:tcW w:w="3878" w:type="pct"/>
          </w:tcPr>
          <w:p w14:paraId="4A3BB80F" w14:textId="77777777" w:rsidR="00691D7D" w:rsidRDefault="00691D7D" w:rsidP="00691D7D">
            <w:pPr>
              <w:pStyle w:val="TableText"/>
            </w:pPr>
            <w:r>
              <w:t>Observations of the number and age of birds within the chosen restoration site bi-monthly during breeding season. Observations of evidence of breeding activity, including:</w:t>
            </w:r>
          </w:p>
          <w:p w14:paraId="701101FF" w14:textId="77777777" w:rsidR="00691D7D" w:rsidRDefault="00691D7D" w:rsidP="00691D7D">
            <w:pPr>
              <w:pStyle w:val="TableBullet1"/>
            </w:pPr>
            <w:r>
              <w:t>stage of breeding (i.e., nest building, laying, incubation, parental care, fledging)</w:t>
            </w:r>
          </w:p>
          <w:p w14:paraId="578678B7" w14:textId="77777777" w:rsidR="00691D7D" w:rsidRDefault="00691D7D" w:rsidP="00691D7D">
            <w:pPr>
              <w:pStyle w:val="TableBullet1"/>
            </w:pPr>
            <w:r>
              <w:t>outcomes of breeding attempts</w:t>
            </w:r>
          </w:p>
          <w:p w14:paraId="04C164DA" w14:textId="5CD1DFAB" w:rsidR="00691D7D" w:rsidRPr="00077062" w:rsidRDefault="00691D7D" w:rsidP="00A775DA">
            <w:pPr>
              <w:pStyle w:val="TableBullet1"/>
            </w:pPr>
            <w:r>
              <w:t>water level fluctuations, predation, disturbance.</w:t>
            </w:r>
          </w:p>
        </w:tc>
        <w:tc>
          <w:tcPr>
            <w:tcW w:w="546" w:type="pct"/>
          </w:tcPr>
          <w:p w14:paraId="0A46AE41" w14:textId="4722C1F2" w:rsidR="00691D7D" w:rsidRPr="0040395D" w:rsidRDefault="00691D7D" w:rsidP="00397857">
            <w:pPr>
              <w:pStyle w:val="TableText"/>
            </w:pPr>
            <w:r>
              <w:t>Operation</w:t>
            </w:r>
          </w:p>
        </w:tc>
      </w:tr>
      <w:tr w:rsidR="00397857" w:rsidRPr="0040395D" w14:paraId="77CA802B" w14:textId="77777777" w:rsidTr="00375C7D">
        <w:trPr>
          <w:cantSplit/>
        </w:trPr>
        <w:tc>
          <w:tcPr>
            <w:tcW w:w="5000" w:type="pct"/>
            <w:gridSpan w:val="3"/>
            <w:shd w:val="clear" w:color="auto" w:fill="E6EFE1"/>
          </w:tcPr>
          <w:p w14:paraId="6107801B" w14:textId="77777777" w:rsidR="00397857" w:rsidRPr="0040395D" w:rsidRDefault="00397857" w:rsidP="00611E7D">
            <w:pPr>
              <w:pStyle w:val="TableText"/>
              <w:keepNext/>
              <w:rPr>
                <w:b/>
                <w:i/>
              </w:rPr>
            </w:pPr>
            <w:r w:rsidRPr="0040395D">
              <w:rPr>
                <w:b/>
                <w:i/>
              </w:rPr>
              <w:t>Flora and fauna</w:t>
            </w:r>
          </w:p>
        </w:tc>
      </w:tr>
      <w:tr w:rsidR="00397857" w:rsidRPr="0040395D" w14:paraId="45DC46B1" w14:textId="77777777" w:rsidTr="00A47875">
        <w:trPr>
          <w:cantSplit/>
        </w:trPr>
        <w:tc>
          <w:tcPr>
            <w:tcW w:w="576" w:type="pct"/>
          </w:tcPr>
          <w:p w14:paraId="2EA3F532" w14:textId="3F4DC8B9" w:rsidR="00397857" w:rsidRPr="0040395D" w:rsidRDefault="00E745D5" w:rsidP="00397857">
            <w:pPr>
              <w:pStyle w:val="TableText"/>
            </w:pPr>
            <w:r>
              <w:t>BH</w:t>
            </w:r>
            <w:r w:rsidR="00397857" w:rsidRPr="0040395D">
              <w:t>01</w:t>
            </w:r>
          </w:p>
        </w:tc>
        <w:tc>
          <w:tcPr>
            <w:tcW w:w="3878" w:type="pct"/>
          </w:tcPr>
          <w:p w14:paraId="6A1E624A" w14:textId="057FED3F" w:rsidR="00DE4DC6" w:rsidRDefault="00DE4DC6" w:rsidP="00DE4DC6">
            <w:pPr>
              <w:pStyle w:val="TableBullet1"/>
              <w:numPr>
                <w:ilvl w:val="0"/>
                <w:numId w:val="0"/>
              </w:numPr>
              <w:ind w:left="284" w:hanging="284"/>
            </w:pPr>
            <w:r>
              <w:t>Measures to manage native vegetation during construction would include:</w:t>
            </w:r>
          </w:p>
          <w:p w14:paraId="27FE8F92" w14:textId="15FB91E2" w:rsidR="00077062" w:rsidRPr="00FC2B86" w:rsidRDefault="00A775DA" w:rsidP="00A775DA">
            <w:pPr>
              <w:pStyle w:val="TableBullet1"/>
            </w:pPr>
            <w:r w:rsidRPr="00FC2B86">
              <w:t>obtain</w:t>
            </w:r>
            <w:r>
              <w:t>ing</w:t>
            </w:r>
            <w:r w:rsidRPr="00FC2B86">
              <w:t xml:space="preserve"> </w:t>
            </w:r>
            <w:r w:rsidR="00077062" w:rsidRPr="00FC2B86">
              <w:t>appropriate approvals and permits before any vegetation removal</w:t>
            </w:r>
          </w:p>
          <w:p w14:paraId="6BD69E4A" w14:textId="38D5B70F" w:rsidR="00077062" w:rsidRPr="00FC2B86" w:rsidRDefault="00A775DA" w:rsidP="00A775DA">
            <w:pPr>
              <w:pStyle w:val="TableBullet1"/>
            </w:pPr>
            <w:r>
              <w:t xml:space="preserve">securing </w:t>
            </w:r>
            <w:r w:rsidR="00DE4DC6">
              <w:t>a</w:t>
            </w:r>
            <w:r w:rsidR="00077062" w:rsidRPr="00FC2B86">
              <w:t>ppropriate offsets in accordance with state and Commonwealth legislation and policy</w:t>
            </w:r>
          </w:p>
          <w:p w14:paraId="23837D50" w14:textId="1B8BAC4D" w:rsidR="00077062" w:rsidRPr="00FC2B86" w:rsidRDefault="00A775DA" w:rsidP="00A775DA">
            <w:pPr>
              <w:pStyle w:val="TableBullet1"/>
            </w:pPr>
            <w:r w:rsidRPr="00FC2B86">
              <w:t>locat</w:t>
            </w:r>
            <w:r>
              <w:t>ing</w:t>
            </w:r>
            <w:r w:rsidRPr="00FC2B86">
              <w:t xml:space="preserve"> </w:t>
            </w:r>
            <w:r w:rsidR="00077062" w:rsidRPr="00FC2B86">
              <w:t xml:space="preserve">temporary infrastructure areas (parking areas, stockpiles, laydowns etc) in </w:t>
            </w:r>
            <w:r w:rsidR="00077062">
              <w:t xml:space="preserve">already </w:t>
            </w:r>
            <w:r w:rsidR="00077062" w:rsidRPr="00FC2B86">
              <w:t>cleared areas</w:t>
            </w:r>
          </w:p>
          <w:p w14:paraId="066B266E" w14:textId="2519E9E9" w:rsidR="00077062" w:rsidRDefault="00A775DA" w:rsidP="00A775DA">
            <w:pPr>
              <w:pStyle w:val="TableBullet1"/>
            </w:pPr>
            <w:r w:rsidRPr="00FC2B86">
              <w:t>ensur</w:t>
            </w:r>
            <w:r>
              <w:t>ing</w:t>
            </w:r>
            <w:r w:rsidRPr="00FC2B86">
              <w:t xml:space="preserve"> </w:t>
            </w:r>
            <w:r w:rsidR="00077062" w:rsidRPr="00FC2B86">
              <w:t>all construction personnel are appropriately briefed before works start</w:t>
            </w:r>
          </w:p>
          <w:p w14:paraId="4661CF2A" w14:textId="71D5ED34" w:rsidR="00397857" w:rsidRDefault="00A775DA" w:rsidP="00A775DA">
            <w:pPr>
              <w:pStyle w:val="TableBullet1"/>
            </w:pPr>
            <w:r>
              <w:t xml:space="preserve">ensuring </w:t>
            </w:r>
            <w:r w:rsidR="00077062" w:rsidRPr="00FC2B86">
              <w:t>no construction personnel, machinery or equipment are placed inside vegetation/tree protection zones</w:t>
            </w:r>
            <w:r w:rsidR="00077062">
              <w:t xml:space="preserve"> (see BH02)</w:t>
            </w:r>
          </w:p>
          <w:p w14:paraId="409E7CA4" w14:textId="76D847B7" w:rsidR="00971385" w:rsidRPr="0040395D" w:rsidRDefault="00A775DA" w:rsidP="00A775DA">
            <w:pPr>
              <w:pStyle w:val="TableBullet1"/>
            </w:pPr>
            <w:r w:rsidRPr="00971385">
              <w:t xml:space="preserve">conduct </w:t>
            </w:r>
            <w:r w:rsidR="00971385" w:rsidRPr="00971385">
              <w:t>seasonally dependent pre-clearance surveys for threatened flora species in areas of suitable habitat proposed to be disturbed and not already surveyed for threatened species.</w:t>
            </w:r>
            <w:r>
              <w:t xml:space="preserve"> </w:t>
            </w:r>
          </w:p>
        </w:tc>
        <w:tc>
          <w:tcPr>
            <w:tcW w:w="546" w:type="pct"/>
          </w:tcPr>
          <w:p w14:paraId="1B206C02" w14:textId="77777777" w:rsidR="00397857" w:rsidRPr="0040395D" w:rsidRDefault="00397857" w:rsidP="00397857">
            <w:pPr>
              <w:pStyle w:val="TableText"/>
            </w:pPr>
            <w:r w:rsidRPr="0040395D">
              <w:t>Pre-construction</w:t>
            </w:r>
          </w:p>
        </w:tc>
      </w:tr>
      <w:tr w:rsidR="00397857" w:rsidRPr="0040395D" w14:paraId="2CF4270C" w14:textId="77777777" w:rsidTr="00A47875">
        <w:trPr>
          <w:cantSplit/>
        </w:trPr>
        <w:tc>
          <w:tcPr>
            <w:tcW w:w="576" w:type="pct"/>
          </w:tcPr>
          <w:p w14:paraId="2E90D675" w14:textId="49E168E7" w:rsidR="00397857" w:rsidRPr="0040395D" w:rsidRDefault="00E745D5" w:rsidP="00397857">
            <w:pPr>
              <w:pStyle w:val="TableText"/>
            </w:pPr>
            <w:r>
              <w:t>BH</w:t>
            </w:r>
            <w:r w:rsidRPr="0040395D">
              <w:t>02</w:t>
            </w:r>
          </w:p>
        </w:tc>
        <w:tc>
          <w:tcPr>
            <w:tcW w:w="3878" w:type="pct"/>
          </w:tcPr>
          <w:p w14:paraId="784C0F75" w14:textId="77777777" w:rsidR="00077062" w:rsidRPr="00FC2B86" w:rsidRDefault="00077062" w:rsidP="00077062">
            <w:pPr>
              <w:pStyle w:val="TableText"/>
            </w:pPr>
            <w:r w:rsidRPr="00FC2B86">
              <w:t>The approved vegetation clearing extent, including retained patches of vegetation within the construction footprint, would be clearly demarcated and identified during the construction stage as follows:</w:t>
            </w:r>
          </w:p>
          <w:p w14:paraId="18F9F737" w14:textId="6320AFCA" w:rsidR="00077062" w:rsidRPr="00FC2B86" w:rsidRDefault="00077062" w:rsidP="00A775DA">
            <w:pPr>
              <w:pStyle w:val="TableBullet1"/>
            </w:pPr>
            <w:r w:rsidRPr="00FC2B86">
              <w:t>All project personnel would need to attend an induction that outlines environmental management requirements. This would include information on the biodiversity values of the project area specifically areas of threatened flora and fauna habitat.</w:t>
            </w:r>
          </w:p>
          <w:p w14:paraId="488DA843" w14:textId="77777777" w:rsidR="00077062" w:rsidRPr="00FC2B86" w:rsidRDefault="00077062" w:rsidP="00A775DA">
            <w:pPr>
              <w:pStyle w:val="TableBullet1"/>
            </w:pPr>
            <w:r w:rsidRPr="00FC2B86">
              <w:t>Erecting flagging, bunting and signage, construction fencing or fauna-specific temporary fencing in areas of special concern and appropriate buffers as follows:</w:t>
            </w:r>
          </w:p>
          <w:p w14:paraId="7D7CDD6A" w14:textId="77777777" w:rsidR="00077062" w:rsidRPr="00FC2B86" w:rsidRDefault="00077062" w:rsidP="00077062">
            <w:pPr>
              <w:pStyle w:val="TableBullet2"/>
              <w:contextualSpacing/>
            </w:pPr>
            <w:r w:rsidRPr="00FC2B86">
              <w:t>Growling Grass Frog habitat</w:t>
            </w:r>
          </w:p>
          <w:p w14:paraId="3A472BDC" w14:textId="678253D6" w:rsidR="00077062" w:rsidRPr="00FC2B86" w:rsidRDefault="00E6072A" w:rsidP="00077062">
            <w:pPr>
              <w:pStyle w:val="TableBullet2"/>
              <w:contextualSpacing/>
            </w:pPr>
            <w:r>
              <w:t>p</w:t>
            </w:r>
            <w:r w:rsidR="00077062" w:rsidRPr="00FC2B86">
              <w:t>atches of Plains Grassy Wetland</w:t>
            </w:r>
          </w:p>
          <w:p w14:paraId="576A769B" w14:textId="0DD7247E" w:rsidR="00077062" w:rsidRPr="00FC2B86" w:rsidRDefault="00E6072A" w:rsidP="00077062">
            <w:pPr>
              <w:pStyle w:val="TableBullet2"/>
              <w:contextualSpacing/>
            </w:pPr>
            <w:r>
              <w:t>a</w:t>
            </w:r>
            <w:r w:rsidR="00077062" w:rsidRPr="00FC2B86">
              <w:t>reas of mapped E</w:t>
            </w:r>
            <w:r>
              <w:t xml:space="preserve">cological </w:t>
            </w:r>
            <w:r w:rsidR="00077062" w:rsidRPr="00FC2B86">
              <w:t>V</w:t>
            </w:r>
            <w:r>
              <w:t xml:space="preserve">egetation </w:t>
            </w:r>
            <w:r w:rsidR="00077062" w:rsidRPr="00FC2B86">
              <w:t>C</w:t>
            </w:r>
            <w:r>
              <w:t>lasse</w:t>
            </w:r>
            <w:r w:rsidR="00077062" w:rsidRPr="00FC2B86">
              <w:t>s</w:t>
            </w:r>
          </w:p>
          <w:p w14:paraId="2A54F06D" w14:textId="119FB0E5" w:rsidR="00077062" w:rsidRPr="00FC2B86" w:rsidRDefault="00E6072A" w:rsidP="00077062">
            <w:pPr>
              <w:pStyle w:val="TableBullet2"/>
              <w:contextualSpacing/>
            </w:pPr>
            <w:r>
              <w:t>t</w:t>
            </w:r>
            <w:r w:rsidR="00077062" w:rsidRPr="00FC2B86">
              <w:t xml:space="preserve">ree protection zones </w:t>
            </w:r>
          </w:p>
          <w:p w14:paraId="17985074" w14:textId="77777777" w:rsidR="00077062" w:rsidRPr="00FC2B86" w:rsidRDefault="00077062" w:rsidP="00077062">
            <w:pPr>
              <w:pStyle w:val="TableBullet2"/>
              <w:contextualSpacing/>
            </w:pPr>
            <w:r>
              <w:t>a</w:t>
            </w:r>
            <w:r w:rsidRPr="00FC2B86">
              <w:t>ny other areas of special concern noted during pre-clearance inspections</w:t>
            </w:r>
            <w:r>
              <w:t>.</w:t>
            </w:r>
          </w:p>
          <w:p w14:paraId="5DA4BF1E" w14:textId="66A03400" w:rsidR="00397857" w:rsidRPr="0040395D" w:rsidRDefault="00077062" w:rsidP="00611E7D">
            <w:pPr>
              <w:pStyle w:val="TableBullet1"/>
            </w:pPr>
            <w:r w:rsidRPr="00FC2B86">
              <w:t>Clearly mark accessways to prevent establishment of secondary tracks and disturbance to native vegetation.</w:t>
            </w:r>
          </w:p>
        </w:tc>
        <w:tc>
          <w:tcPr>
            <w:tcW w:w="546" w:type="pct"/>
          </w:tcPr>
          <w:p w14:paraId="1444C2DC" w14:textId="77777777" w:rsidR="00397857" w:rsidRPr="0040395D" w:rsidRDefault="00397857" w:rsidP="00397857">
            <w:pPr>
              <w:pStyle w:val="TableText"/>
            </w:pPr>
            <w:r w:rsidRPr="0040395D">
              <w:t>Construction</w:t>
            </w:r>
          </w:p>
        </w:tc>
      </w:tr>
      <w:tr w:rsidR="00397857" w:rsidRPr="0040395D" w14:paraId="25961920" w14:textId="77777777" w:rsidTr="00A47875">
        <w:trPr>
          <w:cantSplit/>
        </w:trPr>
        <w:tc>
          <w:tcPr>
            <w:tcW w:w="576" w:type="pct"/>
          </w:tcPr>
          <w:p w14:paraId="2D8AC8E2" w14:textId="242D05C7" w:rsidR="00397857" w:rsidRPr="0040395D" w:rsidRDefault="00E745D5" w:rsidP="00397857">
            <w:pPr>
              <w:pStyle w:val="TableText"/>
            </w:pPr>
            <w:r>
              <w:t>BH</w:t>
            </w:r>
            <w:r w:rsidRPr="0040395D">
              <w:t>03</w:t>
            </w:r>
          </w:p>
        </w:tc>
        <w:tc>
          <w:tcPr>
            <w:tcW w:w="3878" w:type="pct"/>
          </w:tcPr>
          <w:p w14:paraId="3B189738" w14:textId="77777777" w:rsidR="00077062" w:rsidRPr="00FC2B86" w:rsidRDefault="00077062" w:rsidP="00077062">
            <w:pPr>
              <w:pStyle w:val="TableText"/>
            </w:pPr>
            <w:r w:rsidRPr="00FC2B86">
              <w:t>Revegetation of disturbed areas including:</w:t>
            </w:r>
          </w:p>
          <w:p w14:paraId="396E0B06" w14:textId="5BB206FF" w:rsidR="00077062" w:rsidRPr="00FC2B86" w:rsidRDefault="00E6072A" w:rsidP="00077062">
            <w:pPr>
              <w:pStyle w:val="TableBullet1"/>
            </w:pPr>
            <w:r>
              <w:t>p</w:t>
            </w:r>
            <w:r w:rsidR="00077062" w:rsidRPr="00FC2B86">
              <w:t>lanting locally occurring native shrubs, trees and groundcover plants, selected in consultation with DELWP, to recreate the target vegetation community</w:t>
            </w:r>
          </w:p>
          <w:p w14:paraId="4DA9AA30" w14:textId="08CA33E4" w:rsidR="00077062" w:rsidRPr="00FC2B86" w:rsidRDefault="00C35125" w:rsidP="00077062">
            <w:pPr>
              <w:pStyle w:val="TableBullet1"/>
            </w:pPr>
            <w:r>
              <w:t>i</w:t>
            </w:r>
            <w:r w:rsidR="00077062" w:rsidRPr="00FC2B86">
              <w:t>nc</w:t>
            </w:r>
            <w:r w:rsidR="00077062">
              <w:t>orporating</w:t>
            </w:r>
            <w:r w:rsidR="00077062" w:rsidRPr="00FC2B86">
              <w:t xml:space="preserve"> rocks, logs, dead trees and stumps in the restoration and rehabilitation works to provide fauna habitat</w:t>
            </w:r>
          </w:p>
          <w:p w14:paraId="00F2D872" w14:textId="42C13F08" w:rsidR="00077062" w:rsidRPr="00FC2B86" w:rsidRDefault="00C35125" w:rsidP="00077062">
            <w:pPr>
              <w:pStyle w:val="TableBullet1"/>
            </w:pPr>
            <w:r>
              <w:t>m</w:t>
            </w:r>
            <w:r w:rsidR="00077062" w:rsidRPr="00FC2B86">
              <w:t>aintaining plantings in accordance with the rehabilitation sub-plan</w:t>
            </w:r>
          </w:p>
          <w:p w14:paraId="37D4129B" w14:textId="47BC7BAC" w:rsidR="00397857" w:rsidRPr="0040395D" w:rsidRDefault="00C35125" w:rsidP="00611E7D">
            <w:pPr>
              <w:pStyle w:val="TableBullet1"/>
            </w:pPr>
            <w:r>
              <w:t>m</w:t>
            </w:r>
            <w:r w:rsidR="00077062" w:rsidRPr="00FC2B86">
              <w:t>anaging weeds and pest animals.</w:t>
            </w:r>
          </w:p>
        </w:tc>
        <w:tc>
          <w:tcPr>
            <w:tcW w:w="546" w:type="pct"/>
          </w:tcPr>
          <w:p w14:paraId="5DDA9514" w14:textId="5B0644AE" w:rsidR="00397857" w:rsidRPr="0040395D" w:rsidRDefault="00397857" w:rsidP="00397857">
            <w:pPr>
              <w:pStyle w:val="TableText"/>
            </w:pPr>
            <w:r w:rsidRPr="0040395D">
              <w:t>Construction</w:t>
            </w:r>
            <w:r w:rsidR="00E745D5">
              <w:t xml:space="preserve"> and operation</w:t>
            </w:r>
          </w:p>
        </w:tc>
      </w:tr>
      <w:tr w:rsidR="00397857" w:rsidRPr="0040395D" w14:paraId="6F58000C" w14:textId="77777777" w:rsidTr="00A47875">
        <w:trPr>
          <w:cantSplit/>
        </w:trPr>
        <w:tc>
          <w:tcPr>
            <w:tcW w:w="576" w:type="pct"/>
          </w:tcPr>
          <w:p w14:paraId="0A4EB9F1" w14:textId="5304663E" w:rsidR="00397857" w:rsidRPr="0040395D" w:rsidRDefault="00E745D5" w:rsidP="00397857">
            <w:pPr>
              <w:pStyle w:val="TableText"/>
            </w:pPr>
            <w:r>
              <w:t>BH</w:t>
            </w:r>
            <w:r w:rsidR="00397857" w:rsidRPr="0040395D">
              <w:t>04</w:t>
            </w:r>
          </w:p>
        </w:tc>
        <w:tc>
          <w:tcPr>
            <w:tcW w:w="3878" w:type="pct"/>
          </w:tcPr>
          <w:p w14:paraId="4245C90E" w14:textId="77777777" w:rsidR="00077062" w:rsidRPr="00FC2B86" w:rsidRDefault="00077062" w:rsidP="00077062">
            <w:pPr>
              <w:pStyle w:val="TableText"/>
            </w:pPr>
            <w:r w:rsidRPr="00FC2B86">
              <w:t>The following measures would be carried out to manage biosecurity risks:</w:t>
            </w:r>
          </w:p>
          <w:p w14:paraId="0A3F0351" w14:textId="20B4C711" w:rsidR="00077062" w:rsidRPr="00FC2B86" w:rsidRDefault="00A775DA" w:rsidP="00077062">
            <w:pPr>
              <w:pStyle w:val="TableBullet1"/>
            </w:pPr>
            <w:r w:rsidRPr="00FC2B86">
              <w:t xml:space="preserve">consult </w:t>
            </w:r>
            <w:r w:rsidR="00077062" w:rsidRPr="00FC2B86">
              <w:t>with landholders about property</w:t>
            </w:r>
            <w:r w:rsidR="00C35125">
              <w:t>-</w:t>
            </w:r>
            <w:r w:rsidR="00077062" w:rsidRPr="00FC2B86">
              <w:t>specific biosecurity management arrangements/plans which are in place and followed by landholders</w:t>
            </w:r>
          </w:p>
          <w:p w14:paraId="2E6EFD1D" w14:textId="55F06709" w:rsidR="00077062" w:rsidRPr="00FC2B86" w:rsidRDefault="00A775DA" w:rsidP="00077062">
            <w:pPr>
              <w:pStyle w:val="TableBullet1"/>
            </w:pPr>
            <w:r w:rsidRPr="00FC2B86">
              <w:t xml:space="preserve">undertake </w:t>
            </w:r>
            <w:r w:rsidR="00077062" w:rsidRPr="00FC2B86">
              <w:t xml:space="preserve">a baseline weed survey of representative locations within the </w:t>
            </w:r>
            <w:r w:rsidR="00256ACF">
              <w:t>construction</w:t>
            </w:r>
            <w:r w:rsidR="00077062" w:rsidRPr="00FC2B86">
              <w:t xml:space="preserve"> footprint to identify locations of existing weed infestations</w:t>
            </w:r>
          </w:p>
          <w:p w14:paraId="72F10E55" w14:textId="305896FB" w:rsidR="00077062" w:rsidRPr="00FC2B86" w:rsidRDefault="00A775DA" w:rsidP="00077062">
            <w:pPr>
              <w:pStyle w:val="TableBullet1"/>
            </w:pPr>
            <w:r w:rsidRPr="00FC2B86">
              <w:t xml:space="preserve">inspection </w:t>
            </w:r>
            <w:r w:rsidR="00077062" w:rsidRPr="00FC2B86">
              <w:t>and certification of all vehicles and construction machinery upon arrival at site. Vehicles and construction machinery cannot access the site until certified as clean</w:t>
            </w:r>
          </w:p>
          <w:p w14:paraId="24BFDA0D" w14:textId="4ED40621" w:rsidR="00077062" w:rsidRDefault="00A775DA" w:rsidP="00077062">
            <w:pPr>
              <w:pStyle w:val="TableBullet1"/>
            </w:pPr>
            <w:r w:rsidRPr="00FC2B86">
              <w:t xml:space="preserve">vehicles </w:t>
            </w:r>
            <w:r w:rsidR="00077062" w:rsidRPr="00FC2B86">
              <w:t>and construction machinery would not go outside of the construction footprint or approved roads and tracks unless undertaking survey or property management activities as agreed with the landowner</w:t>
            </w:r>
          </w:p>
          <w:p w14:paraId="6F1CF245" w14:textId="576D47B0" w:rsidR="00077062" w:rsidRPr="00FC2B86" w:rsidRDefault="00A775DA" w:rsidP="00077062">
            <w:pPr>
              <w:pStyle w:val="TableBullet1"/>
            </w:pPr>
            <w:r>
              <w:t xml:space="preserve">incorporate </w:t>
            </w:r>
            <w:r w:rsidR="00077062" w:rsidRPr="0071309B">
              <w:t>washdown stations</w:t>
            </w:r>
            <w:r w:rsidR="00077062">
              <w:t xml:space="preserve"> at strategic locations</w:t>
            </w:r>
          </w:p>
          <w:p w14:paraId="698C16AD" w14:textId="065004D2" w:rsidR="00397857" w:rsidRPr="0040395D" w:rsidRDefault="00A775DA" w:rsidP="00611E7D">
            <w:pPr>
              <w:pStyle w:val="TableBullet1"/>
            </w:pPr>
            <w:r w:rsidRPr="00FC2B86">
              <w:t xml:space="preserve">monitor </w:t>
            </w:r>
            <w:r w:rsidR="00077062" w:rsidRPr="00FC2B86">
              <w:t>the condition of disturbed areas post-construction and undertake remedial measures, as required, with the aim that all disturbed areas are re-profiled to a stable landform consistent with original contours and drainage lines and vegetated with a self-sustaining, non-pest species</w:t>
            </w:r>
            <w:r w:rsidR="00077062">
              <w:t xml:space="preserve"> </w:t>
            </w:r>
            <w:r w:rsidR="00077062" w:rsidRPr="00FC2B86">
              <w:t>sterile groundcover (on consultation with landholder requirements).</w:t>
            </w:r>
          </w:p>
        </w:tc>
        <w:tc>
          <w:tcPr>
            <w:tcW w:w="546" w:type="pct"/>
          </w:tcPr>
          <w:p w14:paraId="3E4EC7E9" w14:textId="77777777" w:rsidR="00397857" w:rsidRPr="0040395D" w:rsidRDefault="00397857" w:rsidP="00397857">
            <w:pPr>
              <w:pStyle w:val="TableText"/>
            </w:pPr>
            <w:r w:rsidRPr="0040395D">
              <w:t>Pre-construction and construction</w:t>
            </w:r>
          </w:p>
        </w:tc>
      </w:tr>
      <w:tr w:rsidR="00397857" w:rsidRPr="0040395D" w14:paraId="6FA2CF58" w14:textId="77777777" w:rsidTr="00A47875">
        <w:trPr>
          <w:cantSplit/>
        </w:trPr>
        <w:tc>
          <w:tcPr>
            <w:tcW w:w="576" w:type="pct"/>
          </w:tcPr>
          <w:p w14:paraId="1E06B45D" w14:textId="7346735D" w:rsidR="00397857" w:rsidRPr="0040395D" w:rsidRDefault="00E745D5" w:rsidP="00397857">
            <w:pPr>
              <w:pStyle w:val="TableText"/>
            </w:pPr>
            <w:r>
              <w:t>BH05</w:t>
            </w:r>
          </w:p>
        </w:tc>
        <w:tc>
          <w:tcPr>
            <w:tcW w:w="3878" w:type="pct"/>
          </w:tcPr>
          <w:p w14:paraId="57EAB2AB" w14:textId="3C7C9D24" w:rsidR="00EB3844" w:rsidRDefault="00EB3844" w:rsidP="00EB3844">
            <w:pPr>
              <w:pStyle w:val="TableText"/>
            </w:pPr>
            <w:bookmarkStart w:id="136" w:name="_Hlk99364572"/>
            <w:r>
              <w:t>I</w:t>
            </w:r>
            <w:r w:rsidRPr="00FC2B86">
              <w:t xml:space="preserve">mplement a </w:t>
            </w:r>
            <w:bookmarkStart w:id="137" w:name="_Hlk102988680"/>
            <w:r w:rsidR="00691D7D">
              <w:t>B</w:t>
            </w:r>
            <w:r w:rsidRPr="00443515">
              <w:t xml:space="preserve">ird and </w:t>
            </w:r>
            <w:r w:rsidR="00691D7D">
              <w:t>B</w:t>
            </w:r>
            <w:r w:rsidRPr="00443515">
              <w:t xml:space="preserve">at </w:t>
            </w:r>
            <w:r w:rsidR="00691D7D">
              <w:t>A</w:t>
            </w:r>
            <w:r w:rsidRPr="00443515">
              <w:t xml:space="preserve">daptive </w:t>
            </w:r>
            <w:r w:rsidR="00691D7D">
              <w:t>M</w:t>
            </w:r>
            <w:r w:rsidRPr="00443515">
              <w:t xml:space="preserve">anagement </w:t>
            </w:r>
            <w:r w:rsidR="00691D7D">
              <w:t>P</w:t>
            </w:r>
            <w:r w:rsidRPr="00443515">
              <w:t xml:space="preserve">lan </w:t>
            </w:r>
            <w:bookmarkEnd w:id="137"/>
            <w:r w:rsidRPr="00FC2B86">
              <w:t>to be approved by DELWP Environment</w:t>
            </w:r>
            <w:r>
              <w:t>, DAWE</w:t>
            </w:r>
            <w:r w:rsidRPr="00FC2B86">
              <w:t xml:space="preserve"> and the responsible authority.</w:t>
            </w:r>
            <w:r>
              <w:t xml:space="preserve"> The objectives of the </w:t>
            </w:r>
            <w:r w:rsidRPr="00443515">
              <w:t>bird and bat adaptive management plan</w:t>
            </w:r>
            <w:r>
              <w:t xml:space="preserve"> would be to: </w:t>
            </w:r>
          </w:p>
          <w:p w14:paraId="61D541A1" w14:textId="77777777" w:rsidR="00EB3844" w:rsidRDefault="00EB3844" w:rsidP="00EB3844">
            <w:pPr>
              <w:pStyle w:val="TableBullet1"/>
            </w:pPr>
            <w:r>
              <w:t xml:space="preserve">implement a monitoring program to estimate the impact of the project on at-risk birds and/or bats that can reasonably be attributed to the operation of the project, as an indicator of population impact </w:t>
            </w:r>
          </w:p>
          <w:p w14:paraId="4D43B2D3" w14:textId="77777777" w:rsidR="00EB3844" w:rsidRDefault="00EB3844" w:rsidP="00EB3844">
            <w:pPr>
              <w:pStyle w:val="TableBullet1"/>
            </w:pPr>
            <w:r>
              <w:t xml:space="preserve">directly record impacts on birds and bats through carcass searches </w:t>
            </w:r>
          </w:p>
          <w:p w14:paraId="393033BA" w14:textId="77777777" w:rsidR="00EB3844" w:rsidRDefault="00EB3844" w:rsidP="00EB3844">
            <w:pPr>
              <w:pStyle w:val="TableBullet1"/>
            </w:pPr>
            <w:r>
              <w:t>document an agreed decision-making framework that identifies impact triggers requiring a management response to reduce impacts and the management activities that will be considered; and</w:t>
            </w:r>
          </w:p>
          <w:p w14:paraId="093D2FB4" w14:textId="77777777" w:rsidR="00EB3844" w:rsidRDefault="00EB3844" w:rsidP="00EB3844">
            <w:pPr>
              <w:pStyle w:val="TableBullet1"/>
            </w:pPr>
            <w:r>
              <w:t>identify matters to be addressed in periodic reports on the outcomes of monitoring, the application of the decision-making framework, mitigation measures and their success.</w:t>
            </w:r>
            <w:r w:rsidRPr="00FC2B86">
              <w:t xml:space="preserve"> </w:t>
            </w:r>
          </w:p>
          <w:p w14:paraId="0B5BCAA9" w14:textId="77777777" w:rsidR="00EB3844" w:rsidRDefault="00EB3844" w:rsidP="00EB3844">
            <w:pPr>
              <w:pStyle w:val="TableText"/>
            </w:pPr>
            <w:r>
              <w:t>Strategies to be employed to ensure that any impact triggers are detected would include the following:</w:t>
            </w:r>
          </w:p>
          <w:p w14:paraId="5B7A66B2" w14:textId="0374DF38" w:rsidR="00EB3844" w:rsidRDefault="00A775DA" w:rsidP="00EB3844">
            <w:pPr>
              <w:pStyle w:val="TableBullet1"/>
            </w:pPr>
            <w:r>
              <w:t xml:space="preserve">operational </w:t>
            </w:r>
            <w:r w:rsidR="00EB3844">
              <w:t>phase bat utilisation surveys (see BH06)</w:t>
            </w:r>
          </w:p>
          <w:p w14:paraId="01C2A870" w14:textId="5D871918" w:rsidR="00EB3844" w:rsidRDefault="00A775DA" w:rsidP="00EB3844">
            <w:pPr>
              <w:pStyle w:val="TableBullet1"/>
            </w:pPr>
            <w:r>
              <w:t xml:space="preserve">carcass </w:t>
            </w:r>
            <w:r w:rsidR="00EB3844">
              <w:t>searches under turbines (see BH07)</w:t>
            </w:r>
          </w:p>
          <w:p w14:paraId="23C48823" w14:textId="68F89AC3" w:rsidR="00EB3844" w:rsidRDefault="00A775DA" w:rsidP="00EB3844">
            <w:pPr>
              <w:pStyle w:val="TableBullet1"/>
            </w:pPr>
            <w:r>
              <w:t xml:space="preserve">scavenger </w:t>
            </w:r>
            <w:r w:rsidR="00EB3844">
              <w:t>and detectability trials (see BH08,09)</w:t>
            </w:r>
          </w:p>
          <w:p w14:paraId="45A76A14" w14:textId="03A8CA5B" w:rsidR="00EB3844" w:rsidRDefault="00A775DA" w:rsidP="00EB3844">
            <w:pPr>
              <w:pStyle w:val="TableBullet1"/>
            </w:pPr>
            <w:r>
              <w:t xml:space="preserve">statistical </w:t>
            </w:r>
            <w:r w:rsidR="00EB3844">
              <w:t>analysis of the results of carcass searches to derive estimates of mortality levels and rates</w:t>
            </w:r>
          </w:p>
          <w:p w14:paraId="429D570F" w14:textId="11BD36AD" w:rsidR="00EB3844" w:rsidRDefault="00A775DA" w:rsidP="00EB3844">
            <w:pPr>
              <w:pStyle w:val="TableBullet1"/>
            </w:pPr>
            <w:r>
              <w:t>reporting</w:t>
            </w:r>
            <w:r w:rsidR="00EB3844">
              <w:t>.</w:t>
            </w:r>
          </w:p>
          <w:p w14:paraId="2921B377" w14:textId="7771950C" w:rsidR="00EB3844" w:rsidRDefault="00EB3844" w:rsidP="00691D7D">
            <w:pPr>
              <w:pStyle w:val="TableText"/>
            </w:pPr>
            <w:r>
              <w:t xml:space="preserve">The </w:t>
            </w:r>
            <w:r w:rsidR="00691D7D">
              <w:t>B</w:t>
            </w:r>
            <w:r w:rsidR="00691D7D" w:rsidRPr="00443515">
              <w:t xml:space="preserve">ird and </w:t>
            </w:r>
            <w:r w:rsidR="00691D7D">
              <w:t>B</w:t>
            </w:r>
            <w:r w:rsidR="00691D7D" w:rsidRPr="00443515">
              <w:t xml:space="preserve">at </w:t>
            </w:r>
            <w:r w:rsidR="00691D7D">
              <w:t>A</w:t>
            </w:r>
            <w:r w:rsidR="00691D7D" w:rsidRPr="00443515">
              <w:t xml:space="preserve">daptive </w:t>
            </w:r>
            <w:r w:rsidR="00691D7D">
              <w:t>M</w:t>
            </w:r>
            <w:r w:rsidR="00691D7D" w:rsidRPr="00443515">
              <w:t xml:space="preserve">anagement </w:t>
            </w:r>
            <w:r w:rsidR="00691D7D">
              <w:t>P</w:t>
            </w:r>
            <w:r w:rsidR="00691D7D" w:rsidRPr="00443515">
              <w:t>lan</w:t>
            </w:r>
            <w:r>
              <w:t xml:space="preserve"> would use an adaptive management approach where management measures are adapted to manage and mitigate impacts more effectively based on the findings of the monitoring program. It is intended that the results of the initial monitoring program would inform the requirements of the ongoing monitoring program, depending on detected bird and bat impacts, and identify additional targeted carcass searching and surveys to be carried out to inform ongoing management and mitigation strategies</w:t>
            </w:r>
          </w:p>
          <w:p w14:paraId="0CEEADFB" w14:textId="77777777" w:rsidR="00EB3844" w:rsidRDefault="00EB3844" w:rsidP="00691D7D">
            <w:pPr>
              <w:pStyle w:val="TableText"/>
            </w:pPr>
            <w:r w:rsidRPr="007A21F1">
              <w:t>The design and implementation of the bird and bat mortality monitoring program w</w:t>
            </w:r>
            <w:r>
              <w:t>ould</w:t>
            </w:r>
            <w:r w:rsidRPr="007A21F1">
              <w:t xml:space="preserve"> be comprehensive and science-based. It </w:t>
            </w:r>
            <w:r>
              <w:t>would involve</w:t>
            </w:r>
            <w:r w:rsidRPr="007A21F1">
              <w:t xml:space="preserve"> frequent monitoring of a sample of turbines for a minimum of </w:t>
            </w:r>
            <w:r>
              <w:t>two</w:t>
            </w:r>
            <w:r w:rsidRPr="007A21F1">
              <w:t xml:space="preserve"> years duration, that begins when the first turbine is commissioned.</w:t>
            </w:r>
          </w:p>
          <w:p w14:paraId="6C2D23E8" w14:textId="16C66F56" w:rsidR="00397857" w:rsidRPr="0040395D" w:rsidRDefault="00EB3844" w:rsidP="00B2768F">
            <w:pPr>
              <w:pStyle w:val="TableText"/>
            </w:pPr>
            <w:r w:rsidRPr="007A21F1">
              <w:t xml:space="preserve">Impact </w:t>
            </w:r>
            <w:r>
              <w:t>t</w:t>
            </w:r>
            <w:r w:rsidRPr="007A21F1">
              <w:t>rigger</w:t>
            </w:r>
            <w:r>
              <w:t>s</w:t>
            </w:r>
            <w:r w:rsidRPr="007A21F1">
              <w:t xml:space="preserve"> for </w:t>
            </w:r>
            <w:r>
              <w:t>t</w:t>
            </w:r>
            <w:r w:rsidRPr="007A21F1">
              <w:t xml:space="preserve">hreatened </w:t>
            </w:r>
            <w:r>
              <w:t>s</w:t>
            </w:r>
            <w:r w:rsidRPr="007A21F1">
              <w:t xml:space="preserve">pecies </w:t>
            </w:r>
            <w:r>
              <w:t xml:space="preserve">would </w:t>
            </w:r>
            <w:r w:rsidRPr="007A21F1">
              <w:t xml:space="preserve">occur if a threatened bird or bat species (or recognisable parts thereof) listed under the EPBC Act or FFG Act </w:t>
            </w:r>
            <w:r>
              <w:t>are</w:t>
            </w:r>
            <w:r w:rsidRPr="007A21F1">
              <w:t xml:space="preserve"> found dead or injured within the search area under a turbine, or within 100 metres of it, either during any formal mortality search or incidentally by wind farm personnel. Once triggered</w:t>
            </w:r>
            <w:r>
              <w:t>,</w:t>
            </w:r>
            <w:r w:rsidRPr="007A21F1">
              <w:t xml:space="preserve"> an appropriate response </w:t>
            </w:r>
            <w:r>
              <w:t>would be</w:t>
            </w:r>
            <w:r w:rsidRPr="007A21F1">
              <w:t xml:space="preserve"> initiated, and reporting requirements outlined in the decision making framework</w:t>
            </w:r>
            <w:bookmarkEnd w:id="136"/>
            <w:r>
              <w:t xml:space="preserve"> would occur. The proposed d</w:t>
            </w:r>
            <w:r w:rsidRPr="00BB3F80">
              <w:t xml:space="preserve">ecision making framework for identifying and mitigating impacts on threatened </w:t>
            </w:r>
            <w:r>
              <w:t xml:space="preserve">bird and bat </w:t>
            </w:r>
            <w:r w:rsidRPr="00BB3F80">
              <w:t>species</w:t>
            </w:r>
            <w:r>
              <w:t xml:space="preserve"> is shown in Figure 12-13, Chapter 12 – </w:t>
            </w:r>
            <w:r w:rsidRPr="00B2768F">
              <w:rPr>
                <w:i/>
                <w:iCs/>
              </w:rPr>
              <w:t>Biodiversity and habita</w:t>
            </w:r>
            <w:r>
              <w:t>t.</w:t>
            </w:r>
          </w:p>
        </w:tc>
        <w:tc>
          <w:tcPr>
            <w:tcW w:w="546" w:type="pct"/>
          </w:tcPr>
          <w:p w14:paraId="1AC76CBA" w14:textId="7FCD1AAD" w:rsidR="00397857" w:rsidRPr="0040395D" w:rsidRDefault="00E745D5" w:rsidP="00397857">
            <w:pPr>
              <w:pStyle w:val="TableText"/>
            </w:pPr>
            <w:r w:rsidRPr="00FC2B86">
              <w:t>Pre-construction</w:t>
            </w:r>
          </w:p>
        </w:tc>
      </w:tr>
      <w:tr w:rsidR="00EB3844" w:rsidRPr="0040395D" w14:paraId="1BB8D7E9" w14:textId="77777777" w:rsidTr="00A47875">
        <w:trPr>
          <w:cantSplit/>
        </w:trPr>
        <w:tc>
          <w:tcPr>
            <w:tcW w:w="576" w:type="pct"/>
          </w:tcPr>
          <w:p w14:paraId="5610D3CE" w14:textId="1FDE66AF" w:rsidR="00EB3844" w:rsidRDefault="00EB3844" w:rsidP="00397857">
            <w:pPr>
              <w:pStyle w:val="TableText"/>
            </w:pPr>
            <w:r>
              <w:t>BH06</w:t>
            </w:r>
          </w:p>
        </w:tc>
        <w:tc>
          <w:tcPr>
            <w:tcW w:w="3878" w:type="pct"/>
          </w:tcPr>
          <w:p w14:paraId="5E9A5ED9" w14:textId="15C28E29" w:rsidR="00EB3844" w:rsidRDefault="00EB3844" w:rsidP="00DE4DC6">
            <w:pPr>
              <w:pStyle w:val="TableBullet1"/>
              <w:numPr>
                <w:ilvl w:val="0"/>
                <w:numId w:val="0"/>
              </w:numPr>
            </w:pPr>
            <w:r>
              <w:t xml:space="preserve">As part of the </w:t>
            </w:r>
            <w:r w:rsidRPr="00443515">
              <w:t>bird and bat adaptive management plan</w:t>
            </w:r>
            <w:r>
              <w:t>, further ultrasonic bat surveys in spring and summer/autumn would be conducted in the first two years of operation. Songmeter ultrasonic bat detectors would be used to monitor bat activity at height (on nacelle or meteorological masts) paired with a bat detector up to one metre off the ground. The Songmeters would operate between sunset and sunrise over a six-week period, in November and February/March when Southern Bent-wing bat are most active.</w:t>
            </w:r>
          </w:p>
        </w:tc>
        <w:tc>
          <w:tcPr>
            <w:tcW w:w="546" w:type="pct"/>
          </w:tcPr>
          <w:p w14:paraId="6335A2F1" w14:textId="28BC3FE2" w:rsidR="00EB3844" w:rsidRDefault="00EB3844" w:rsidP="00397857">
            <w:pPr>
              <w:pStyle w:val="TableText"/>
            </w:pPr>
            <w:r>
              <w:t>Operation</w:t>
            </w:r>
          </w:p>
        </w:tc>
      </w:tr>
      <w:tr w:rsidR="00EB3844" w:rsidRPr="0040395D" w14:paraId="4613B1FA" w14:textId="77777777" w:rsidTr="00A47875">
        <w:trPr>
          <w:cantSplit/>
        </w:trPr>
        <w:tc>
          <w:tcPr>
            <w:tcW w:w="576" w:type="pct"/>
          </w:tcPr>
          <w:p w14:paraId="22AD9C92" w14:textId="5CB8AF31" w:rsidR="00EB3844" w:rsidRDefault="00EB3844" w:rsidP="00397857">
            <w:pPr>
              <w:pStyle w:val="TableText"/>
            </w:pPr>
            <w:r>
              <w:t>BH07</w:t>
            </w:r>
          </w:p>
        </w:tc>
        <w:tc>
          <w:tcPr>
            <w:tcW w:w="3878" w:type="pct"/>
          </w:tcPr>
          <w:p w14:paraId="701F8C53" w14:textId="77777777" w:rsidR="00EB3844" w:rsidRDefault="00EB3844" w:rsidP="00EB3844">
            <w:pPr>
              <w:pStyle w:val="TableText"/>
            </w:pPr>
            <w:r>
              <w:t xml:space="preserve">As part of the </w:t>
            </w:r>
            <w:r w:rsidRPr="00443515">
              <w:t>bird and bat adaptive management plan</w:t>
            </w:r>
            <w:r>
              <w:t xml:space="preserve">, a mortality monitoring program would be conducted either using searches on foot along pre-determined transects by an adequately trained ecologist or via searches by a trained scent dog. </w:t>
            </w:r>
          </w:p>
          <w:p w14:paraId="795C3F9D" w14:textId="05573F19" w:rsidR="00EB3844" w:rsidRDefault="00EB3844" w:rsidP="00EB3844">
            <w:pPr>
              <w:pStyle w:val="TableBullet1"/>
              <w:numPr>
                <w:ilvl w:val="0"/>
                <w:numId w:val="0"/>
              </w:numPr>
            </w:pPr>
            <w:r>
              <w:t xml:space="preserve">Monitoring would consist of searches of </w:t>
            </w:r>
            <w:r w:rsidRPr="000056B5">
              <w:t xml:space="preserve">20 randomly selected turbines out to </w:t>
            </w:r>
            <w:r>
              <w:t xml:space="preserve">a distance of </w:t>
            </w:r>
            <w:r w:rsidRPr="000056B5">
              <w:t>120 metres once per month</w:t>
            </w:r>
            <w:r>
              <w:t xml:space="preserve"> for a period of two years. A second follow-up search, a ‘pulse search’, would be undertaken to 60 metres during the warmer months (September to April) when microbats are more active.</w:t>
            </w:r>
          </w:p>
        </w:tc>
        <w:tc>
          <w:tcPr>
            <w:tcW w:w="546" w:type="pct"/>
          </w:tcPr>
          <w:p w14:paraId="63015B2D" w14:textId="27654519" w:rsidR="00EB3844" w:rsidRDefault="00EB3844" w:rsidP="00397857">
            <w:pPr>
              <w:pStyle w:val="TableText"/>
            </w:pPr>
            <w:r>
              <w:t>Operation</w:t>
            </w:r>
          </w:p>
        </w:tc>
      </w:tr>
      <w:tr w:rsidR="00EB3844" w:rsidRPr="0040395D" w14:paraId="6F1F718A" w14:textId="77777777" w:rsidTr="00A47875">
        <w:trPr>
          <w:cantSplit/>
        </w:trPr>
        <w:tc>
          <w:tcPr>
            <w:tcW w:w="576" w:type="pct"/>
          </w:tcPr>
          <w:p w14:paraId="54CDF26A" w14:textId="74182403" w:rsidR="00EB3844" w:rsidRDefault="00EB3844" w:rsidP="00397857">
            <w:pPr>
              <w:pStyle w:val="TableText"/>
            </w:pPr>
            <w:r>
              <w:t>BH08</w:t>
            </w:r>
          </w:p>
        </w:tc>
        <w:tc>
          <w:tcPr>
            <w:tcW w:w="3878" w:type="pct"/>
          </w:tcPr>
          <w:p w14:paraId="7BD9BB19" w14:textId="20DBA704" w:rsidR="00EB3844" w:rsidRDefault="00EB3844" w:rsidP="00DE4DC6">
            <w:pPr>
              <w:pStyle w:val="TableBullet1"/>
              <w:numPr>
                <w:ilvl w:val="0"/>
                <w:numId w:val="0"/>
              </w:numPr>
            </w:pPr>
            <w:r>
              <w:t xml:space="preserve">As part of the </w:t>
            </w:r>
            <w:r w:rsidRPr="00443515">
              <w:t>bird and bat adaptive management plan</w:t>
            </w:r>
            <w:r>
              <w:t xml:space="preserve">, a scavenger trial would be conducted to </w:t>
            </w:r>
            <w:r w:rsidRPr="000056B5">
              <w:t>ascertain the rate at which carcasses are removed by scavengers</w:t>
            </w:r>
            <w:r>
              <w:t xml:space="preserve">. The trials would be conducted </w:t>
            </w:r>
            <w:r w:rsidRPr="000056B5">
              <w:t>twice over the two year</w:t>
            </w:r>
            <w:r>
              <w:t xml:space="preserve"> monitoring period. C</w:t>
            </w:r>
            <w:r w:rsidRPr="00C266EF">
              <w:t xml:space="preserve">arcasses </w:t>
            </w:r>
            <w:r>
              <w:t>(in three size groups) would</w:t>
            </w:r>
            <w:r w:rsidRPr="00C266EF">
              <w:t xml:space="preserve"> be randomly placed under </w:t>
            </w:r>
            <w:r>
              <w:t xml:space="preserve">selected </w:t>
            </w:r>
            <w:r w:rsidRPr="00C266EF">
              <w:t xml:space="preserve">turbines </w:t>
            </w:r>
            <w:r>
              <w:t>with</w:t>
            </w:r>
            <w:r w:rsidRPr="00C266EF">
              <w:t xml:space="preserve"> motion sensor cameras used to monitor scavenger activity taking place</w:t>
            </w:r>
            <w:r>
              <w:t>.</w:t>
            </w:r>
          </w:p>
        </w:tc>
        <w:tc>
          <w:tcPr>
            <w:tcW w:w="546" w:type="pct"/>
          </w:tcPr>
          <w:p w14:paraId="6AEBB22E" w14:textId="604A8E45" w:rsidR="00EB3844" w:rsidRDefault="00EB3844" w:rsidP="00397857">
            <w:pPr>
              <w:pStyle w:val="TableText"/>
            </w:pPr>
            <w:r>
              <w:t>Operation</w:t>
            </w:r>
          </w:p>
        </w:tc>
      </w:tr>
      <w:tr w:rsidR="00EB3844" w:rsidRPr="0040395D" w14:paraId="5A60DD5C" w14:textId="77777777" w:rsidTr="00A47875">
        <w:trPr>
          <w:cantSplit/>
        </w:trPr>
        <w:tc>
          <w:tcPr>
            <w:tcW w:w="576" w:type="pct"/>
          </w:tcPr>
          <w:p w14:paraId="41857E28" w14:textId="4251BBF9" w:rsidR="00EB3844" w:rsidRDefault="00EB3844" w:rsidP="00397857">
            <w:pPr>
              <w:pStyle w:val="TableText"/>
            </w:pPr>
            <w:r>
              <w:t>BH09</w:t>
            </w:r>
          </w:p>
        </w:tc>
        <w:tc>
          <w:tcPr>
            <w:tcW w:w="3878" w:type="pct"/>
          </w:tcPr>
          <w:p w14:paraId="3945ACD5" w14:textId="7D92D0EA" w:rsidR="00EB3844" w:rsidRDefault="00EB3844" w:rsidP="00DE4DC6">
            <w:pPr>
              <w:pStyle w:val="TableBullet1"/>
              <w:numPr>
                <w:ilvl w:val="0"/>
                <w:numId w:val="0"/>
              </w:numPr>
            </w:pPr>
            <w:r>
              <w:t xml:space="preserve">As part of the </w:t>
            </w:r>
            <w:r w:rsidRPr="00443515">
              <w:t>bird and bat adaptive management plan</w:t>
            </w:r>
            <w:r>
              <w:t>, d</w:t>
            </w:r>
            <w:r w:rsidRPr="00C266EF">
              <w:t>etectability trials</w:t>
            </w:r>
            <w:r>
              <w:t xml:space="preserve"> would be conducted</w:t>
            </w:r>
            <w:r w:rsidRPr="00C266EF">
              <w:t xml:space="preserve"> to test the rate at which the trained searchers, or scent detection dog, detect carcasses under wind turbines</w:t>
            </w:r>
          </w:p>
        </w:tc>
        <w:tc>
          <w:tcPr>
            <w:tcW w:w="546" w:type="pct"/>
          </w:tcPr>
          <w:p w14:paraId="41043B39" w14:textId="74424ADC" w:rsidR="00EB3844" w:rsidRDefault="00EB3844" w:rsidP="00397857">
            <w:pPr>
              <w:pStyle w:val="TableText"/>
            </w:pPr>
            <w:r>
              <w:t>Operation</w:t>
            </w:r>
          </w:p>
        </w:tc>
      </w:tr>
      <w:tr w:rsidR="00397857" w:rsidRPr="0040395D" w14:paraId="5D8180C9" w14:textId="77777777" w:rsidTr="00A47875">
        <w:trPr>
          <w:cantSplit/>
        </w:trPr>
        <w:tc>
          <w:tcPr>
            <w:tcW w:w="576" w:type="pct"/>
          </w:tcPr>
          <w:p w14:paraId="53F95083" w14:textId="0BAF363C" w:rsidR="00397857" w:rsidRPr="0040395D" w:rsidRDefault="00E745D5" w:rsidP="00397857">
            <w:pPr>
              <w:pStyle w:val="TableText"/>
            </w:pPr>
            <w:r>
              <w:t>BH</w:t>
            </w:r>
            <w:r w:rsidR="00EB3844">
              <w:t>10</w:t>
            </w:r>
          </w:p>
        </w:tc>
        <w:tc>
          <w:tcPr>
            <w:tcW w:w="3878" w:type="pct"/>
          </w:tcPr>
          <w:p w14:paraId="71B92DE1" w14:textId="0348485F" w:rsidR="00DE4DC6" w:rsidRDefault="00DE4DC6" w:rsidP="00DE4DC6">
            <w:pPr>
              <w:pStyle w:val="TableBullet1"/>
              <w:numPr>
                <w:ilvl w:val="0"/>
                <w:numId w:val="0"/>
              </w:numPr>
            </w:pPr>
            <w:r>
              <w:t>Measures to limit fauna strike would include:</w:t>
            </w:r>
          </w:p>
          <w:p w14:paraId="0D949C70" w14:textId="73024CEA" w:rsidR="00077062" w:rsidRPr="00FC2B86" w:rsidRDefault="00A775DA" w:rsidP="00077062">
            <w:pPr>
              <w:pStyle w:val="TableBullet1"/>
            </w:pPr>
            <w:r w:rsidRPr="00FC2B86">
              <w:t>apply</w:t>
            </w:r>
            <w:r>
              <w:t>ing</w:t>
            </w:r>
            <w:r w:rsidRPr="00FC2B86">
              <w:t xml:space="preserve"> </w:t>
            </w:r>
            <w:r w:rsidR="00077062">
              <w:t>a</w:t>
            </w:r>
            <w:r w:rsidR="00077062" w:rsidRPr="00FC2B86">
              <w:t xml:space="preserve"> speed-limit</w:t>
            </w:r>
            <w:r w:rsidR="00077062">
              <w:t xml:space="preserve"> on private access tracks </w:t>
            </w:r>
            <w:r w:rsidR="00077062" w:rsidRPr="00FC2B86">
              <w:t>to reduce the risk of fauna mortality from vehicle strike</w:t>
            </w:r>
          </w:p>
          <w:p w14:paraId="357C1F39" w14:textId="138CF745" w:rsidR="00397857" w:rsidRPr="0040395D" w:rsidRDefault="00A775DA" w:rsidP="00611E7D">
            <w:pPr>
              <w:pStyle w:val="TableBullet1"/>
            </w:pPr>
            <w:r>
              <w:t xml:space="preserve">minimising </w:t>
            </w:r>
            <w:r w:rsidR="00DE4DC6">
              <w:t>t</w:t>
            </w:r>
            <w:r w:rsidR="00077062" w:rsidRPr="00FC2B86">
              <w:t>raffic movements dusk</w:t>
            </w:r>
            <w:r w:rsidR="00DE4DC6">
              <w:t>, night</w:t>
            </w:r>
            <w:r w:rsidR="00077062" w:rsidRPr="00FC2B86">
              <w:t xml:space="preserve"> and dawn periods in areas </w:t>
            </w:r>
            <w:r w:rsidR="00077062">
              <w:t xml:space="preserve">of </w:t>
            </w:r>
            <w:r w:rsidR="00077062" w:rsidRPr="00FC2B86">
              <w:t>remnant native vegetation</w:t>
            </w:r>
            <w:r w:rsidR="00077062">
              <w:t>.</w:t>
            </w:r>
          </w:p>
        </w:tc>
        <w:tc>
          <w:tcPr>
            <w:tcW w:w="546" w:type="pct"/>
          </w:tcPr>
          <w:p w14:paraId="75C68FA4" w14:textId="70CF3050" w:rsidR="00397857" w:rsidRPr="0040395D" w:rsidRDefault="00E745D5" w:rsidP="00397857">
            <w:pPr>
              <w:pStyle w:val="TableText"/>
            </w:pPr>
            <w:r>
              <w:t>C</w:t>
            </w:r>
            <w:r w:rsidR="00397857" w:rsidRPr="0040395D">
              <w:t>onstruction</w:t>
            </w:r>
            <w:r>
              <w:t xml:space="preserve"> and operation</w:t>
            </w:r>
          </w:p>
        </w:tc>
      </w:tr>
      <w:tr w:rsidR="00397857" w:rsidRPr="0040395D" w14:paraId="57DC8B03" w14:textId="77777777" w:rsidTr="00A47875">
        <w:trPr>
          <w:cantSplit/>
        </w:trPr>
        <w:tc>
          <w:tcPr>
            <w:tcW w:w="576" w:type="pct"/>
          </w:tcPr>
          <w:p w14:paraId="4C3682C0" w14:textId="6694476E" w:rsidR="00397857" w:rsidRPr="0040395D" w:rsidRDefault="00C87AFE" w:rsidP="00397857">
            <w:pPr>
              <w:pStyle w:val="TableText"/>
            </w:pPr>
            <w:r>
              <w:t>BH</w:t>
            </w:r>
            <w:r w:rsidR="00EB3844">
              <w:t>11</w:t>
            </w:r>
          </w:p>
        </w:tc>
        <w:tc>
          <w:tcPr>
            <w:tcW w:w="3878" w:type="pct"/>
          </w:tcPr>
          <w:p w14:paraId="4B9F9AE6" w14:textId="77777777" w:rsidR="00E745D5" w:rsidRPr="00FC2B86" w:rsidRDefault="00E745D5" w:rsidP="00E745D5">
            <w:pPr>
              <w:pStyle w:val="TableText"/>
            </w:pPr>
            <w:r w:rsidRPr="00FC2B86">
              <w:t>The following mitigation measures would be carried out to manage potential impacts to the Growling Grass Frog:</w:t>
            </w:r>
          </w:p>
          <w:p w14:paraId="45063828" w14:textId="57A639B4" w:rsidR="00E745D5" w:rsidRPr="00FC2B86" w:rsidRDefault="00A775DA" w:rsidP="00E745D5">
            <w:pPr>
              <w:pStyle w:val="TableBullet1"/>
            </w:pPr>
            <w:r w:rsidRPr="00FC2B86">
              <w:t xml:space="preserve">prepare </w:t>
            </w:r>
            <w:r w:rsidR="00E745D5" w:rsidRPr="00FC2B86">
              <w:t>and implement a Growling Grass Frog Management Plan</w:t>
            </w:r>
          </w:p>
          <w:p w14:paraId="1AA51EC4" w14:textId="6BC5C653" w:rsidR="00E745D5" w:rsidRPr="00FC2B86" w:rsidRDefault="00A775DA" w:rsidP="00E745D5">
            <w:pPr>
              <w:pStyle w:val="TableBullet1"/>
            </w:pPr>
            <w:r w:rsidRPr="00FC2B86">
              <w:t xml:space="preserve">minimise </w:t>
            </w:r>
            <w:r w:rsidR="00E745D5" w:rsidRPr="00FC2B86">
              <w:t>disturbance of banks, channels and vegetation in watercourses (i.e., movement corridors) identified as potential habitat for Growling Grass Frog, where possible</w:t>
            </w:r>
          </w:p>
          <w:p w14:paraId="4B99FC93" w14:textId="603362B5" w:rsidR="00E745D5" w:rsidRPr="00FC2B86" w:rsidRDefault="00A775DA" w:rsidP="00E745D5">
            <w:pPr>
              <w:pStyle w:val="TableBullet1"/>
            </w:pPr>
            <w:r w:rsidRPr="00FC2B86">
              <w:t xml:space="preserve">where </w:t>
            </w:r>
            <w:r w:rsidR="00E745D5" w:rsidRPr="00FC2B86">
              <w:t xml:space="preserve">essential wind farm infrastructure (e.g., access roads, underground cabling trenches) intersects an area identified as potential habitat for Growling Grass Frog, specific action would be undertaken as outlined in the </w:t>
            </w:r>
            <w:r w:rsidR="00E745D5" w:rsidRPr="00256ACF">
              <w:t xml:space="preserve">Construction Environmental Management Plan. The </w:t>
            </w:r>
            <w:r w:rsidR="00256ACF" w:rsidRPr="00DE4DC6">
              <w:t>Construction Environmental Management Plan</w:t>
            </w:r>
            <w:r w:rsidR="00E745D5" w:rsidRPr="00FC2B86">
              <w:t xml:space="preserve"> would describe appropriate disturbance mitigation measures in relation to sensitive habitat areas such as watercourse banks, channels and nearby vegetation. Other actions would include:</w:t>
            </w:r>
          </w:p>
          <w:p w14:paraId="6D7B7628" w14:textId="77777777" w:rsidR="00E745D5" w:rsidRPr="00FC2B86" w:rsidRDefault="00E745D5" w:rsidP="00E745D5">
            <w:pPr>
              <w:pStyle w:val="TableBullet2"/>
              <w:contextualSpacing/>
            </w:pPr>
            <w:r w:rsidRPr="00FC2B86">
              <w:t>preparation of a salvage and translocation protocol, which would be carried out if a Growling Grass Frog is found during construction works</w:t>
            </w:r>
          </w:p>
          <w:p w14:paraId="3470C5CE" w14:textId="49F82CB7" w:rsidR="00E745D5" w:rsidRPr="00FC2B86" w:rsidRDefault="00E745D5" w:rsidP="00E745D5">
            <w:pPr>
              <w:pStyle w:val="TableBullet2"/>
              <w:contextualSpacing/>
            </w:pPr>
            <w:r w:rsidRPr="00FC2B86">
              <w:t>conduct</w:t>
            </w:r>
            <w:r>
              <w:t>ing</w:t>
            </w:r>
            <w:r w:rsidRPr="00FC2B86">
              <w:t xml:space="preserve"> pre-construction surveys of affected habitats</w:t>
            </w:r>
            <w:r w:rsidR="00C35125">
              <w:t>,</w:t>
            </w:r>
            <w:r w:rsidRPr="00FC2B86">
              <w:t xml:space="preserve"> with Growling Grass Frog translocated to nearby sections of watercourses in accordance with the translocation protocol</w:t>
            </w:r>
          </w:p>
          <w:p w14:paraId="6561519E" w14:textId="77777777" w:rsidR="00E745D5" w:rsidRPr="00FC2B86" w:rsidRDefault="00E745D5" w:rsidP="00E745D5">
            <w:pPr>
              <w:pStyle w:val="TableBullet2"/>
              <w:contextualSpacing/>
            </w:pPr>
            <w:r w:rsidRPr="00FC2B86">
              <w:t>install temporary frog exclusion fencing either side of construction areas to prevent frogs from moving into works areas while construction is underway</w:t>
            </w:r>
          </w:p>
          <w:p w14:paraId="6184F5CF" w14:textId="77777777" w:rsidR="00E745D5" w:rsidRPr="00FC2B86" w:rsidRDefault="00E745D5" w:rsidP="00E745D5">
            <w:pPr>
              <w:pStyle w:val="TableBullet2"/>
              <w:contextualSpacing/>
            </w:pPr>
            <w:r w:rsidRPr="00FC2B86">
              <w:t>induct all workers on the site to recognise Growling Grass Frog with the requirement to alert the site manager when found</w:t>
            </w:r>
          </w:p>
          <w:p w14:paraId="44D6F71E" w14:textId="77777777" w:rsidR="00E745D5" w:rsidRPr="00FC2B86" w:rsidRDefault="00E745D5" w:rsidP="00E745D5">
            <w:pPr>
              <w:pStyle w:val="TableBullet2"/>
              <w:contextualSpacing/>
            </w:pPr>
            <w:r w:rsidRPr="00FC2B86">
              <w:t>reduce the construction footprint</w:t>
            </w:r>
            <w:r>
              <w:t xml:space="preserve"> as much as reasonably practicable in</w:t>
            </w:r>
            <w:r w:rsidRPr="00FC2B86">
              <w:t xml:space="preserve"> areas identified</w:t>
            </w:r>
            <w:r>
              <w:t xml:space="preserve"> as</w:t>
            </w:r>
            <w:r w:rsidRPr="00FC2B86">
              <w:t xml:space="preserve"> </w:t>
            </w:r>
            <w:r>
              <w:t xml:space="preserve">potential </w:t>
            </w:r>
            <w:r w:rsidRPr="00FC2B86">
              <w:t>Growling Grass Frog habitat</w:t>
            </w:r>
          </w:p>
          <w:p w14:paraId="05D3097A" w14:textId="77777777" w:rsidR="00E745D5" w:rsidRPr="00FC2B86" w:rsidRDefault="00E745D5" w:rsidP="00E745D5">
            <w:pPr>
              <w:pStyle w:val="TableBullet2"/>
              <w:contextualSpacing/>
            </w:pPr>
            <w:r w:rsidRPr="00FC2B86">
              <w:t>schedule the construction of crossings to occur outside the frog</w:t>
            </w:r>
            <w:r>
              <w:t>’</w:t>
            </w:r>
            <w:r w:rsidRPr="00FC2B86">
              <w:t>s breeding season when conditions are dry, where possible</w:t>
            </w:r>
          </w:p>
          <w:p w14:paraId="0C1F3D0E" w14:textId="5A69A384" w:rsidR="00E745D5" w:rsidRPr="00FC2B86" w:rsidRDefault="00E745D5" w:rsidP="00E745D5">
            <w:pPr>
              <w:pStyle w:val="TableBullet2"/>
              <w:contextualSpacing/>
            </w:pPr>
            <w:r w:rsidRPr="00FC2B86">
              <w:t>adopt the culvert design standards (from</w:t>
            </w:r>
            <w:r w:rsidR="00501199">
              <w:t xml:space="preserve"> the</w:t>
            </w:r>
            <w:r w:rsidRPr="00FC2B86">
              <w:t xml:space="preserve"> </w:t>
            </w:r>
            <w:r w:rsidR="00501199" w:rsidRPr="00A457F8">
              <w:t>Growling Grass Frog Crossing Design Standard</w:t>
            </w:r>
            <w:r w:rsidR="00501199" w:rsidRPr="00FC2B86">
              <w:t xml:space="preserve"> </w:t>
            </w:r>
            <w:r w:rsidRPr="00FC2B86">
              <w:t>DELWP</w:t>
            </w:r>
            <w:r w:rsidR="00E8746A">
              <w:t>,</w:t>
            </w:r>
            <w:r w:rsidRPr="00FC2B86">
              <w:t xml:space="preserve"> 2017) that facilitate passage of G</w:t>
            </w:r>
            <w:r>
              <w:t>rowling Grass Frog</w:t>
            </w:r>
          </w:p>
          <w:p w14:paraId="2575EA40" w14:textId="77777777" w:rsidR="00E745D5" w:rsidRPr="00FC2B86" w:rsidRDefault="00E745D5" w:rsidP="00E745D5">
            <w:pPr>
              <w:pStyle w:val="TableBullet2"/>
              <w:contextualSpacing/>
            </w:pPr>
            <w:r w:rsidRPr="00FC2B86">
              <w:t>restore and enhance affected areas of watercourse to at least their pre-construction condition</w:t>
            </w:r>
          </w:p>
          <w:p w14:paraId="3846772D" w14:textId="77A294DC" w:rsidR="00397857" w:rsidRPr="0040395D" w:rsidRDefault="00E745D5" w:rsidP="00A457F8">
            <w:pPr>
              <w:pStyle w:val="TableBullet1"/>
            </w:pPr>
            <w:r w:rsidRPr="00FC2B86">
              <w:t xml:space="preserve">implement measures (from </w:t>
            </w:r>
            <w:r w:rsidR="00A457F8" w:rsidRPr="00A457F8">
              <w:t xml:space="preserve">Hygiene protocols for the control of diseases in Australian frogs </w:t>
            </w:r>
            <w:r w:rsidRPr="00FC2B86">
              <w:t>Murray et al. 2011) to reduce the introduction and spread of the pathogen Chytrid Fungus</w:t>
            </w:r>
            <w:r w:rsidR="00A775DA">
              <w:t>.</w:t>
            </w:r>
          </w:p>
        </w:tc>
        <w:tc>
          <w:tcPr>
            <w:tcW w:w="546" w:type="pct"/>
          </w:tcPr>
          <w:p w14:paraId="0256D2AB" w14:textId="7F1AE875" w:rsidR="00397857" w:rsidRPr="0040395D" w:rsidRDefault="00E745D5" w:rsidP="00397857">
            <w:pPr>
              <w:pStyle w:val="TableText"/>
            </w:pPr>
            <w:r w:rsidRPr="00FC2B86">
              <w:t>Pre-construction</w:t>
            </w:r>
            <w:r w:rsidR="0090498E">
              <w:t xml:space="preserve"> and</w:t>
            </w:r>
            <w:r w:rsidRPr="00FC2B86">
              <w:t xml:space="preserve"> </w:t>
            </w:r>
            <w:r>
              <w:t>c</w:t>
            </w:r>
            <w:r w:rsidR="00397857" w:rsidRPr="0040395D">
              <w:t>onstruction</w:t>
            </w:r>
          </w:p>
        </w:tc>
      </w:tr>
      <w:tr w:rsidR="00397857" w:rsidRPr="0040395D" w14:paraId="07ED8A5A" w14:textId="77777777" w:rsidTr="00A47875">
        <w:trPr>
          <w:cantSplit/>
        </w:trPr>
        <w:tc>
          <w:tcPr>
            <w:tcW w:w="576" w:type="pct"/>
          </w:tcPr>
          <w:p w14:paraId="42CDE854" w14:textId="26C0D6A7" w:rsidR="00397857" w:rsidRPr="0040395D" w:rsidRDefault="00E745D5" w:rsidP="00397857">
            <w:pPr>
              <w:pStyle w:val="TableText"/>
            </w:pPr>
            <w:r>
              <w:t>BH</w:t>
            </w:r>
            <w:r w:rsidR="007A4FBD">
              <w:t>12</w:t>
            </w:r>
          </w:p>
        </w:tc>
        <w:tc>
          <w:tcPr>
            <w:tcW w:w="3878" w:type="pct"/>
          </w:tcPr>
          <w:p w14:paraId="252026A8" w14:textId="77777777" w:rsidR="00E745D5" w:rsidRPr="00FC2B86" w:rsidRDefault="00E745D5" w:rsidP="00E745D5">
            <w:pPr>
              <w:pStyle w:val="TableText"/>
            </w:pPr>
            <w:r w:rsidRPr="00FC2B86">
              <w:t>The following mitigation measures would be carried out to manage impacts to the Striped Legless Lizard:</w:t>
            </w:r>
          </w:p>
          <w:p w14:paraId="5D77C3B6" w14:textId="5F943B8E" w:rsidR="00E745D5" w:rsidRPr="00FC2B86" w:rsidRDefault="00A775DA" w:rsidP="00E745D5">
            <w:pPr>
              <w:pStyle w:val="TableBullet1"/>
            </w:pPr>
            <w:r w:rsidRPr="00FC2B86">
              <w:t xml:space="preserve">all </w:t>
            </w:r>
            <w:r w:rsidR="00E745D5" w:rsidRPr="00FC2B86">
              <w:t>workers on the site would be inducted to recognise this species and alert the site manager when found</w:t>
            </w:r>
          </w:p>
          <w:p w14:paraId="2A921A7A" w14:textId="36DE4F1A" w:rsidR="00E745D5" w:rsidRDefault="00A775DA" w:rsidP="00E745D5">
            <w:pPr>
              <w:pStyle w:val="TableBullet1"/>
            </w:pPr>
            <w:r w:rsidRPr="00FC2B86">
              <w:t xml:space="preserve">if </w:t>
            </w:r>
            <w:r w:rsidR="00E745D5" w:rsidRPr="00FC2B86">
              <w:t>a Striped Legless Lizard is found during construction works, a salvage and translocation protocol would be prepared</w:t>
            </w:r>
          </w:p>
          <w:p w14:paraId="6AFEFC3E" w14:textId="39B540B9" w:rsidR="00397857" w:rsidRPr="0040395D" w:rsidRDefault="00A775DA" w:rsidP="0042481B">
            <w:pPr>
              <w:pStyle w:val="TableBullet1"/>
            </w:pPr>
            <w:r w:rsidRPr="00FC2B86">
              <w:t xml:space="preserve">where </w:t>
            </w:r>
            <w:r w:rsidR="00E745D5" w:rsidRPr="00FC2B86">
              <w:t>possible, surface and embedded rocks w</w:t>
            </w:r>
            <w:r w:rsidR="00C35125">
              <w:t>ould</w:t>
            </w:r>
            <w:r w:rsidR="00E745D5" w:rsidRPr="00FC2B86">
              <w:t xml:space="preserve"> not be removed from the site and where possible these would be reintroduced where they are removed temporarily</w:t>
            </w:r>
            <w:r w:rsidR="00E745D5">
              <w:t>.</w:t>
            </w:r>
          </w:p>
        </w:tc>
        <w:tc>
          <w:tcPr>
            <w:tcW w:w="546" w:type="pct"/>
          </w:tcPr>
          <w:p w14:paraId="531FD9A6" w14:textId="77777777" w:rsidR="00397857" w:rsidRPr="0040395D" w:rsidRDefault="00397857" w:rsidP="00397857">
            <w:pPr>
              <w:pStyle w:val="TableText"/>
            </w:pPr>
            <w:r w:rsidRPr="0040395D">
              <w:t>Pre-construction and construction</w:t>
            </w:r>
          </w:p>
        </w:tc>
      </w:tr>
      <w:tr w:rsidR="00397857" w:rsidRPr="0040395D" w14:paraId="7977651F" w14:textId="77777777" w:rsidTr="00A47875">
        <w:trPr>
          <w:cantSplit/>
        </w:trPr>
        <w:tc>
          <w:tcPr>
            <w:tcW w:w="576" w:type="pct"/>
          </w:tcPr>
          <w:p w14:paraId="3EE15864" w14:textId="55DC6C82" w:rsidR="00397857" w:rsidRPr="0040395D" w:rsidRDefault="00E745D5" w:rsidP="00397857">
            <w:pPr>
              <w:pStyle w:val="TableText"/>
            </w:pPr>
            <w:r>
              <w:t>BH</w:t>
            </w:r>
            <w:r w:rsidR="007A4FBD">
              <w:t>13</w:t>
            </w:r>
          </w:p>
        </w:tc>
        <w:tc>
          <w:tcPr>
            <w:tcW w:w="3878" w:type="pct"/>
          </w:tcPr>
          <w:p w14:paraId="099BA7BD" w14:textId="11F06323" w:rsidR="00E745D5" w:rsidRPr="00FC2B86" w:rsidRDefault="00E745D5" w:rsidP="00E745D5">
            <w:pPr>
              <w:pStyle w:val="TableText"/>
            </w:pPr>
            <w:r w:rsidRPr="00FC2B86">
              <w:t>Where practicable, all trenched watercourse crossings w</w:t>
            </w:r>
            <w:r w:rsidR="00C35125">
              <w:t>ould</w:t>
            </w:r>
            <w:r w:rsidRPr="00FC2B86">
              <w:t xml:space="preserve"> be constructed during no or low flow conditions.</w:t>
            </w:r>
          </w:p>
          <w:p w14:paraId="337EB136" w14:textId="77777777" w:rsidR="00E745D5" w:rsidRPr="00FC2B86" w:rsidRDefault="00E745D5" w:rsidP="00E745D5">
            <w:pPr>
              <w:pStyle w:val="TableText"/>
            </w:pPr>
            <w:r w:rsidRPr="00FC2B86">
              <w:t>Bridges and culverts would be designed to allow flow beneath the roads along their natural flow paths. The watercourse crossings construction method would be dependent on the site conditions of the crossing location. All watercourse crossings and culvert and bridge designs would conform to relevant local Council, Glenelg Hopkins Catchment Management Authority and DELWP guidelines.</w:t>
            </w:r>
          </w:p>
          <w:p w14:paraId="1E613D42" w14:textId="77777777" w:rsidR="00E745D5" w:rsidRPr="00FC2B86" w:rsidRDefault="00E745D5" w:rsidP="00E745D5">
            <w:pPr>
              <w:pStyle w:val="TableText"/>
            </w:pPr>
            <w:r>
              <w:t>T</w:t>
            </w:r>
            <w:r w:rsidRPr="00FC2B86">
              <w:t>o further mitigate potential impacts to Dwarf Galaxias and Yarra Pygmy Perch, work would be undertaken in accordance with the following measures:</w:t>
            </w:r>
          </w:p>
          <w:p w14:paraId="1377E23F" w14:textId="6EA699FE" w:rsidR="00E745D5" w:rsidRPr="00FC2B86" w:rsidRDefault="00A775DA" w:rsidP="00E745D5">
            <w:pPr>
              <w:pStyle w:val="TableBullet1"/>
            </w:pPr>
            <w:r w:rsidRPr="00FC2B86">
              <w:t xml:space="preserve">microsite </w:t>
            </w:r>
            <w:r w:rsidR="00E745D5" w:rsidRPr="00FC2B86">
              <w:t>crossings to avoid deeper pools of water</w:t>
            </w:r>
          </w:p>
          <w:p w14:paraId="792F597C" w14:textId="4BBF1F3F" w:rsidR="00E745D5" w:rsidRPr="00FC2B86" w:rsidRDefault="00A775DA" w:rsidP="00E745D5">
            <w:pPr>
              <w:pStyle w:val="TableBullet1"/>
            </w:pPr>
            <w:r w:rsidRPr="00FC2B86">
              <w:t xml:space="preserve">use </w:t>
            </w:r>
            <w:r w:rsidR="00E745D5" w:rsidRPr="00FC2B86">
              <w:t xml:space="preserve">a </w:t>
            </w:r>
            <w:r w:rsidR="00E745D5">
              <w:t>minimised</w:t>
            </w:r>
            <w:r w:rsidR="00E745D5" w:rsidRPr="00FC2B86">
              <w:t xml:space="preserve"> construction workspace for watercourse crossings (maximum width 10 m</w:t>
            </w:r>
            <w:r w:rsidR="00C35125">
              <w:t>etres</w:t>
            </w:r>
            <w:r w:rsidR="00E745D5" w:rsidRPr="00FC2B86">
              <w:t>)</w:t>
            </w:r>
          </w:p>
          <w:p w14:paraId="2888D8A5" w14:textId="68E33371" w:rsidR="00E745D5" w:rsidRPr="00FC2B86" w:rsidRDefault="00A775DA" w:rsidP="00E745D5">
            <w:pPr>
              <w:pStyle w:val="TableBullet1"/>
            </w:pPr>
            <w:r w:rsidRPr="00FC2B86">
              <w:t xml:space="preserve">using </w:t>
            </w:r>
            <w:r w:rsidR="00E745D5" w:rsidRPr="00FC2B86">
              <w:t>fish friendly culverts for the proposed crossings of Back Creek</w:t>
            </w:r>
          </w:p>
          <w:p w14:paraId="24EBE951" w14:textId="7E9238DE" w:rsidR="00E745D5" w:rsidRPr="00FC2B86" w:rsidRDefault="00A775DA" w:rsidP="00E745D5">
            <w:pPr>
              <w:pStyle w:val="TableBullet1"/>
            </w:pPr>
            <w:r w:rsidRPr="00FC2B86">
              <w:t xml:space="preserve">establish </w:t>
            </w:r>
            <w:r w:rsidR="00E745D5" w:rsidRPr="00FC2B86">
              <w:t>no-go zones with buffers around waterbodies adjoining the project footprint to prevent any disturbance to the biodiversity values present within these areas</w:t>
            </w:r>
          </w:p>
          <w:p w14:paraId="096284D2" w14:textId="26ED45FE" w:rsidR="00E745D5" w:rsidRPr="00FC2B86" w:rsidRDefault="00A775DA" w:rsidP="00E745D5">
            <w:pPr>
              <w:pStyle w:val="TableBullet1"/>
            </w:pPr>
            <w:r w:rsidRPr="00FC2B86">
              <w:t xml:space="preserve">flow </w:t>
            </w:r>
            <w:r w:rsidR="00E745D5" w:rsidRPr="00FC2B86">
              <w:t>diversion measures would be installed where construction of trenched watercourse crossings during no flow conditions is not possible. Flow diversion measures may include pumps to ensure that water can be moved from one side of crossing to the other, screened inlets (or other appropriate equipment) to minimise the entrapment of aquatic fauna</w:t>
            </w:r>
            <w:r w:rsidR="00E745D5">
              <w:t>,</w:t>
            </w:r>
            <w:r w:rsidR="00E745D5" w:rsidRPr="00FC2B86">
              <w:t xml:space="preserve"> and outlet structures that are designed to avoid scouring of the channel</w:t>
            </w:r>
          </w:p>
          <w:p w14:paraId="238E2F34" w14:textId="08BF6A27" w:rsidR="00E745D5" w:rsidRPr="00FC2B86" w:rsidRDefault="00A775DA" w:rsidP="00E745D5">
            <w:pPr>
              <w:pStyle w:val="TableBullet1"/>
            </w:pPr>
            <w:r w:rsidRPr="00FC2B86">
              <w:t xml:space="preserve">where </w:t>
            </w:r>
            <w:r w:rsidR="00E745D5" w:rsidRPr="00FC2B86">
              <w:t>watercourses are trenched, all obstructions to flow would be removed as soon as practicable after the cable has been laid and backfilled</w:t>
            </w:r>
          </w:p>
          <w:p w14:paraId="20B5993C" w14:textId="1A7AF731" w:rsidR="00E745D5" w:rsidRPr="00FC2B86" w:rsidRDefault="00A775DA" w:rsidP="00E745D5">
            <w:pPr>
              <w:pStyle w:val="TableBullet1"/>
            </w:pPr>
            <w:r w:rsidRPr="00FC2B86">
              <w:t xml:space="preserve">watercourses </w:t>
            </w:r>
            <w:r w:rsidR="00E745D5" w:rsidRPr="00FC2B86">
              <w:t>would be reinstated such that bank stability at the crossing location is the same or better than before construction starts. Stabilising materials</w:t>
            </w:r>
            <w:r w:rsidR="00C35125">
              <w:t>,</w:t>
            </w:r>
            <w:r w:rsidR="00E745D5" w:rsidRPr="00FC2B86">
              <w:t xml:space="preserve"> such as rock armouring, hydro mulch, jute matting or other suitable geotextile materials</w:t>
            </w:r>
            <w:r w:rsidR="00C35125">
              <w:t>,</w:t>
            </w:r>
            <w:r w:rsidR="00E745D5" w:rsidRPr="00FC2B86">
              <w:t xml:space="preserve"> would be applied to watercourse banks where necessary</w:t>
            </w:r>
          </w:p>
          <w:p w14:paraId="3FFDEC52" w14:textId="0F849D5C" w:rsidR="00397857" w:rsidRPr="0040395D" w:rsidRDefault="00A775DA" w:rsidP="00611E7D">
            <w:pPr>
              <w:pStyle w:val="TableBullet1"/>
            </w:pPr>
            <w:r w:rsidRPr="00FC2B86">
              <w:t>stabilis</w:t>
            </w:r>
            <w:r>
              <w:t>ing</w:t>
            </w:r>
            <w:r w:rsidRPr="00FC2B86">
              <w:t xml:space="preserve"> </w:t>
            </w:r>
            <w:r w:rsidR="00E745D5" w:rsidRPr="00FC2B86">
              <w:t>terrestrial habitat with soil and bank protection materials, including biodegradable matting or similar geotextile products</w:t>
            </w:r>
            <w:r w:rsidR="00E745D5">
              <w:t>.</w:t>
            </w:r>
          </w:p>
        </w:tc>
        <w:tc>
          <w:tcPr>
            <w:tcW w:w="546" w:type="pct"/>
          </w:tcPr>
          <w:p w14:paraId="0B5FE8EC" w14:textId="7475F69E" w:rsidR="00397857" w:rsidRPr="0040395D" w:rsidRDefault="00E745D5" w:rsidP="00397857">
            <w:pPr>
              <w:pStyle w:val="TableText"/>
            </w:pPr>
            <w:r w:rsidRPr="00FC2B86">
              <w:t>Pre-construction</w:t>
            </w:r>
            <w:r w:rsidR="0090498E">
              <w:t xml:space="preserve"> and </w:t>
            </w:r>
            <w:r>
              <w:t>c</w:t>
            </w:r>
            <w:r w:rsidR="00397857" w:rsidRPr="0040395D">
              <w:t>onstruction</w:t>
            </w:r>
          </w:p>
        </w:tc>
      </w:tr>
      <w:tr w:rsidR="00397857" w:rsidRPr="0040395D" w14:paraId="42C734A7" w14:textId="77777777" w:rsidTr="00375C7D">
        <w:trPr>
          <w:cantSplit/>
        </w:trPr>
        <w:tc>
          <w:tcPr>
            <w:tcW w:w="5000" w:type="pct"/>
            <w:gridSpan w:val="3"/>
            <w:shd w:val="clear" w:color="auto" w:fill="E6EFE1"/>
          </w:tcPr>
          <w:p w14:paraId="3462864E" w14:textId="77777777" w:rsidR="00397857" w:rsidRPr="0040395D" w:rsidRDefault="00397857" w:rsidP="00A775DA">
            <w:pPr>
              <w:pStyle w:val="TableText"/>
              <w:keepNext/>
              <w:rPr>
                <w:b/>
                <w:i/>
              </w:rPr>
            </w:pPr>
            <w:r w:rsidRPr="0040395D">
              <w:rPr>
                <w:b/>
                <w:i/>
              </w:rPr>
              <w:t>Noise and vibration</w:t>
            </w:r>
          </w:p>
        </w:tc>
      </w:tr>
      <w:tr w:rsidR="00397857" w:rsidRPr="0040395D" w14:paraId="171E660B" w14:textId="77777777" w:rsidTr="00A47875">
        <w:trPr>
          <w:cantSplit/>
        </w:trPr>
        <w:tc>
          <w:tcPr>
            <w:tcW w:w="576" w:type="pct"/>
          </w:tcPr>
          <w:p w14:paraId="6F3BCE18" w14:textId="77777777" w:rsidR="00397857" w:rsidRPr="0040395D" w:rsidRDefault="00397857" w:rsidP="00397857">
            <w:pPr>
              <w:pStyle w:val="TableText"/>
            </w:pPr>
            <w:r w:rsidRPr="0040395D">
              <w:t>NV01</w:t>
            </w:r>
          </w:p>
        </w:tc>
        <w:tc>
          <w:tcPr>
            <w:tcW w:w="3878" w:type="pct"/>
          </w:tcPr>
          <w:p w14:paraId="2EB568A0" w14:textId="77777777" w:rsidR="009B1862" w:rsidRPr="00B4189B" w:rsidRDefault="009B1862" w:rsidP="009B1862">
            <w:pPr>
              <w:pStyle w:val="TableText"/>
            </w:pPr>
            <w:r w:rsidRPr="00B4189B">
              <w:t xml:space="preserve">All construction activities will be managed and occur in accordance with the Noise </w:t>
            </w:r>
            <w:r>
              <w:t xml:space="preserve">and Vibration </w:t>
            </w:r>
            <w:r w:rsidRPr="00B4189B">
              <w:t xml:space="preserve">Management Plan, which would be developed and endorsed by the responsible authority prior to the commencement of construction. The Noise </w:t>
            </w:r>
            <w:r>
              <w:t xml:space="preserve">and Vibration </w:t>
            </w:r>
            <w:r w:rsidRPr="00B4189B">
              <w:t>Management Plan would:</w:t>
            </w:r>
          </w:p>
          <w:p w14:paraId="007B90F4" w14:textId="77777777" w:rsidR="009B1862" w:rsidRPr="00B4189B" w:rsidRDefault="009B1862" w:rsidP="00A775DA">
            <w:pPr>
              <w:pStyle w:val="TableBullet1"/>
            </w:pPr>
            <w:r w:rsidRPr="00B4189B">
              <w:t>address the effects of construction noise and vibration associated with project activities</w:t>
            </w:r>
          </w:p>
          <w:p w14:paraId="1F74976A" w14:textId="77777777" w:rsidR="009B1862" w:rsidRPr="00B4189B" w:rsidRDefault="009B1862" w:rsidP="00A775DA">
            <w:pPr>
              <w:pStyle w:val="TableBullet1"/>
            </w:pPr>
            <w:r w:rsidRPr="00B4189B">
              <w:t>outline the proposed construction program and how the proposed management controls are compliant with the requirements defined by EPA Victoria Publication 1834</w:t>
            </w:r>
          </w:p>
          <w:p w14:paraId="56E18EE1" w14:textId="77777777" w:rsidR="009B1862" w:rsidRPr="00B4189B" w:rsidRDefault="009B1862" w:rsidP="00A775DA">
            <w:pPr>
              <w:pStyle w:val="TableBullet1"/>
            </w:pPr>
            <w:r w:rsidRPr="00B4189B">
              <w:t>outline all unavoidable works, low</w:t>
            </w:r>
            <w:r w:rsidRPr="00B4189B">
              <w:rPr>
                <w:rFonts w:ascii="Cambria Math" w:hAnsi="Cambria Math" w:cs="Cambria Math"/>
              </w:rPr>
              <w:t>‐</w:t>
            </w:r>
            <w:r w:rsidRPr="00B4189B">
              <w:t>noise impact and managed</w:t>
            </w:r>
            <w:r w:rsidRPr="00B4189B">
              <w:rPr>
                <w:rFonts w:ascii="Cambria Math" w:hAnsi="Cambria Math" w:cs="Cambria Math"/>
              </w:rPr>
              <w:t>‐</w:t>
            </w:r>
            <w:r w:rsidRPr="00B4189B">
              <w:t>impact works that may occur outside normal working hours</w:t>
            </w:r>
          </w:p>
          <w:p w14:paraId="26333D1F" w14:textId="77777777" w:rsidR="009B1862" w:rsidRDefault="009B1862" w:rsidP="00A775DA">
            <w:pPr>
              <w:pStyle w:val="TableBullet1"/>
            </w:pPr>
            <w:r w:rsidRPr="00B4189B">
              <w:t>outline the proposed scheduling of any out of hours works to minimise noise and vibration impacts</w:t>
            </w:r>
          </w:p>
          <w:p w14:paraId="16BC954C" w14:textId="77777777" w:rsidR="009B1862" w:rsidRPr="00B4189B" w:rsidRDefault="009B1862" w:rsidP="00A775DA">
            <w:pPr>
              <w:pStyle w:val="TableBullet1"/>
            </w:pPr>
            <w:r>
              <w:t>be generally in accordance with the recommendations contained within the Construction Noise Assessment prepared by Sonus (April 2022)</w:t>
            </w:r>
            <w:r w:rsidRPr="00B4189B">
              <w:t>.</w:t>
            </w:r>
          </w:p>
          <w:p w14:paraId="4CA6D3F2" w14:textId="77777777" w:rsidR="00971385" w:rsidRDefault="009B1862" w:rsidP="009B1862">
            <w:pPr>
              <w:pStyle w:val="TableText"/>
              <w:rPr>
                <w:bCs/>
              </w:rPr>
            </w:pPr>
            <w:r w:rsidRPr="00D56AA3">
              <w:rPr>
                <w:bCs/>
              </w:rPr>
              <w:t xml:space="preserve">Should the noise level from any of the project aspects exceed the requirements detailed in the </w:t>
            </w:r>
            <w:r>
              <w:rPr>
                <w:bCs/>
              </w:rPr>
              <w:t>Environmental Noise Assessment</w:t>
            </w:r>
            <w:r w:rsidRPr="00D56AA3">
              <w:rPr>
                <w:bCs/>
              </w:rPr>
              <w:t xml:space="preserve"> report</w:t>
            </w:r>
            <w:r>
              <w:rPr>
                <w:bCs/>
              </w:rPr>
              <w:t xml:space="preserve">, </w:t>
            </w:r>
            <w:r w:rsidRPr="00517DE3">
              <w:rPr>
                <w:bCs/>
              </w:rPr>
              <w:t>the operating times w</w:t>
            </w:r>
            <w:r>
              <w:rPr>
                <w:bCs/>
              </w:rPr>
              <w:t>ould</w:t>
            </w:r>
            <w:r w:rsidRPr="00517DE3">
              <w:rPr>
                <w:bCs/>
              </w:rPr>
              <w:t xml:space="preserve"> be restricted to the standard hours if appropriate noise criteria cannot be achieved, and the work </w:t>
            </w:r>
            <w:r>
              <w:rPr>
                <w:bCs/>
              </w:rPr>
              <w:t>cannot be</w:t>
            </w:r>
            <w:r w:rsidRPr="00517DE3">
              <w:rPr>
                <w:bCs/>
              </w:rPr>
              <w:t xml:space="preserve"> justified to be unavoidable. </w:t>
            </w:r>
          </w:p>
          <w:p w14:paraId="5BB83F94" w14:textId="1207BDFA" w:rsidR="009B1862" w:rsidRDefault="00971385" w:rsidP="009B1862">
            <w:pPr>
              <w:pStyle w:val="TableText"/>
              <w:rPr>
                <w:bCs/>
              </w:rPr>
            </w:pPr>
            <w:r w:rsidRPr="0062436B">
              <w:rPr>
                <w:bCs/>
              </w:rPr>
              <w:t>As part of the Noise and Vibration Management Plan, a suitably qualified and independent Health, Safety, and Environment (HSE) professional would be appointed to pre-approve unavoidable night work activities (occurring between 10:00</w:t>
            </w:r>
            <w:r w:rsidR="00A775DA">
              <w:rPr>
                <w:bCs/>
              </w:rPr>
              <w:t> </w:t>
            </w:r>
            <w:r w:rsidRPr="0062436B">
              <w:rPr>
                <w:bCs/>
              </w:rPr>
              <w:t>pm and 7:00</w:t>
            </w:r>
            <w:r w:rsidR="00A775DA">
              <w:rPr>
                <w:bCs/>
              </w:rPr>
              <w:t> </w:t>
            </w:r>
            <w:r w:rsidRPr="0062436B">
              <w:rPr>
                <w:bCs/>
              </w:rPr>
              <w:t>am).</w:t>
            </w:r>
            <w:r w:rsidRPr="0062436B" w:rsidDel="0062436B">
              <w:rPr>
                <w:bCs/>
              </w:rPr>
              <w:t xml:space="preserve"> </w:t>
            </w:r>
          </w:p>
          <w:p w14:paraId="466BE8BB" w14:textId="2CF1AC82" w:rsidR="009B1862" w:rsidRDefault="009B1862" w:rsidP="009B1862">
            <w:pPr>
              <w:pStyle w:val="TableText"/>
              <w:rPr>
                <w:bCs/>
              </w:rPr>
            </w:pPr>
            <w:r w:rsidRPr="00517DE3">
              <w:rPr>
                <w:bCs/>
              </w:rPr>
              <w:t>Options to reduce the noise level may also include installing aftermarket mufflers to mobile equipment and use of portable acoustic screens around loud activities (such as grinders of impact drivers).</w:t>
            </w:r>
          </w:p>
          <w:p w14:paraId="34CC3137" w14:textId="77777777" w:rsidR="009B1862" w:rsidRDefault="009B1862" w:rsidP="009B1862">
            <w:pPr>
              <w:pStyle w:val="TableText"/>
            </w:pPr>
            <w:r w:rsidRPr="00687EED">
              <w:rPr>
                <w:bCs/>
              </w:rPr>
              <w:t>The construction manager w</w:t>
            </w:r>
            <w:r>
              <w:rPr>
                <w:bCs/>
              </w:rPr>
              <w:t>ould</w:t>
            </w:r>
            <w:r w:rsidRPr="00687EED">
              <w:rPr>
                <w:bCs/>
              </w:rPr>
              <w:t xml:space="preserve"> be required </w:t>
            </w:r>
            <w:r>
              <w:rPr>
                <w:bCs/>
              </w:rPr>
              <w:t xml:space="preserve">(via conditions of contract) </w:t>
            </w:r>
            <w:r w:rsidRPr="00687EED">
              <w:rPr>
                <w:bCs/>
              </w:rPr>
              <w:t xml:space="preserve">to ensure that these and any other practical noise reduction </w:t>
            </w:r>
            <w:r>
              <w:rPr>
                <w:bCs/>
              </w:rPr>
              <w:t>measures are</w:t>
            </w:r>
            <w:r w:rsidRPr="00687EED">
              <w:rPr>
                <w:bCs/>
              </w:rPr>
              <w:t xml:space="preserve"> undertaken prior to the commencement of construction.</w:t>
            </w:r>
          </w:p>
          <w:p w14:paraId="08166DCA" w14:textId="6A574246" w:rsidR="00397857" w:rsidRPr="0040395D" w:rsidRDefault="009B1862" w:rsidP="0042481B">
            <w:pPr>
              <w:pStyle w:val="TableText"/>
            </w:pPr>
            <w:r w:rsidRPr="00B4189B">
              <w:t>A Noise</w:t>
            </w:r>
            <w:r>
              <w:t xml:space="preserve"> and Vibration</w:t>
            </w:r>
            <w:r w:rsidRPr="00B4189B">
              <w:t xml:space="preserve"> Management Plan has been prepared and forms part of this EES. The plan would be updated prior to construction to account for the final layout.</w:t>
            </w:r>
          </w:p>
        </w:tc>
        <w:tc>
          <w:tcPr>
            <w:tcW w:w="546" w:type="pct"/>
          </w:tcPr>
          <w:p w14:paraId="5F7E9B73" w14:textId="77777777" w:rsidR="00397857" w:rsidRPr="0040395D" w:rsidRDefault="00397857" w:rsidP="00397857">
            <w:pPr>
              <w:pStyle w:val="TableText"/>
            </w:pPr>
            <w:r w:rsidRPr="0040395D">
              <w:t>Construction</w:t>
            </w:r>
          </w:p>
        </w:tc>
      </w:tr>
      <w:tr w:rsidR="00397857" w:rsidRPr="0040395D" w14:paraId="161BEA27" w14:textId="77777777" w:rsidTr="00A47875">
        <w:trPr>
          <w:cantSplit/>
        </w:trPr>
        <w:tc>
          <w:tcPr>
            <w:tcW w:w="576" w:type="pct"/>
          </w:tcPr>
          <w:p w14:paraId="043D709E" w14:textId="77777777" w:rsidR="00397857" w:rsidRPr="0040395D" w:rsidRDefault="00397857" w:rsidP="00397857">
            <w:pPr>
              <w:pStyle w:val="TableText"/>
            </w:pPr>
            <w:r w:rsidRPr="0040395D">
              <w:t>NV02</w:t>
            </w:r>
          </w:p>
        </w:tc>
        <w:tc>
          <w:tcPr>
            <w:tcW w:w="3878" w:type="pct"/>
          </w:tcPr>
          <w:p w14:paraId="5CE3599A" w14:textId="77777777" w:rsidR="000D0E4C" w:rsidRDefault="000D0E4C" w:rsidP="000D0E4C">
            <w:pPr>
              <w:pStyle w:val="TableText"/>
            </w:pPr>
            <w:r>
              <w:t xml:space="preserve">The following community consultation would occur with nearby residents prior to construction activity being undertaken: </w:t>
            </w:r>
          </w:p>
          <w:p w14:paraId="18F14A34" w14:textId="77777777" w:rsidR="000D0E4C" w:rsidRDefault="000D0E4C" w:rsidP="000D0E4C">
            <w:pPr>
              <w:pStyle w:val="TableBullet1"/>
              <w:numPr>
                <w:ilvl w:val="0"/>
                <w:numId w:val="20"/>
              </w:numPr>
            </w:pPr>
            <w:r>
              <w:t>engage community to keep them informed, for example meetings with community</w:t>
            </w:r>
          </w:p>
          <w:p w14:paraId="7BB87DE3" w14:textId="77777777" w:rsidR="000D0E4C" w:rsidRDefault="000D0E4C" w:rsidP="000D0E4C">
            <w:pPr>
              <w:pStyle w:val="TableBullet1"/>
              <w:numPr>
                <w:ilvl w:val="0"/>
                <w:numId w:val="20"/>
              </w:numPr>
            </w:pPr>
            <w:r>
              <w:t>notify the community before and during construction communicating information such as:</w:t>
            </w:r>
          </w:p>
          <w:p w14:paraId="6FC254DD" w14:textId="77777777" w:rsidR="000D0E4C" w:rsidRDefault="000D0E4C" w:rsidP="000D0E4C">
            <w:pPr>
              <w:pStyle w:val="TableBullet2"/>
              <w:numPr>
                <w:ilvl w:val="1"/>
                <w:numId w:val="20"/>
              </w:numPr>
              <w:spacing w:before="0"/>
              <w:ind w:left="568" w:hanging="284"/>
              <w:contextualSpacing/>
            </w:pPr>
            <w:r>
              <w:t>dates and times (start and finish) when noise will be generated</w:t>
            </w:r>
          </w:p>
          <w:p w14:paraId="0D3E959A" w14:textId="77777777" w:rsidR="000D0E4C" w:rsidRDefault="000D0E4C" w:rsidP="000D0E4C">
            <w:pPr>
              <w:pStyle w:val="TableBullet2"/>
              <w:numPr>
                <w:ilvl w:val="1"/>
                <w:numId w:val="20"/>
              </w:numPr>
              <w:spacing w:before="0" w:after="0"/>
              <w:ind w:left="568" w:hanging="284"/>
              <w:contextualSpacing/>
            </w:pPr>
            <w:r>
              <w:t>why the noise is necessary</w:t>
            </w:r>
          </w:p>
          <w:p w14:paraId="34FDFD67" w14:textId="77777777" w:rsidR="000D0E4C" w:rsidRDefault="000D0E4C" w:rsidP="000D0E4C">
            <w:pPr>
              <w:pStyle w:val="TableBullet2"/>
              <w:numPr>
                <w:ilvl w:val="1"/>
                <w:numId w:val="20"/>
              </w:numPr>
              <w:spacing w:before="0" w:after="0"/>
              <w:ind w:left="568" w:hanging="284"/>
              <w:contextualSpacing/>
            </w:pPr>
            <w:r>
              <w:t>type of noise</w:t>
            </w:r>
          </w:p>
          <w:p w14:paraId="0EEF24B3" w14:textId="77777777" w:rsidR="000D0E4C" w:rsidRDefault="000D0E4C" w:rsidP="000D0E4C">
            <w:pPr>
              <w:pStyle w:val="TableBullet2"/>
              <w:numPr>
                <w:ilvl w:val="1"/>
                <w:numId w:val="20"/>
              </w:numPr>
              <w:spacing w:before="0" w:after="0"/>
              <w:ind w:left="568" w:hanging="284"/>
              <w:contextualSpacing/>
            </w:pPr>
            <w:r>
              <w:t>measures to minimise noise volume</w:t>
            </w:r>
          </w:p>
          <w:p w14:paraId="075F970F" w14:textId="77777777" w:rsidR="000D0E4C" w:rsidRDefault="000D0E4C" w:rsidP="000D0E4C">
            <w:pPr>
              <w:pStyle w:val="TableBullet2"/>
              <w:numPr>
                <w:ilvl w:val="1"/>
                <w:numId w:val="20"/>
              </w:numPr>
              <w:spacing w:before="0" w:after="0"/>
              <w:ind w:left="568" w:hanging="284"/>
              <w:contextualSpacing/>
            </w:pPr>
            <w:r>
              <w:t>measures to minimise disturbance</w:t>
            </w:r>
          </w:p>
          <w:p w14:paraId="7932DE7B" w14:textId="77777777" w:rsidR="000D0E4C" w:rsidRDefault="000D0E4C" w:rsidP="000D0E4C">
            <w:pPr>
              <w:pStyle w:val="TableBullet2"/>
              <w:numPr>
                <w:ilvl w:val="1"/>
                <w:numId w:val="20"/>
              </w:numPr>
              <w:ind w:left="568" w:hanging="284"/>
              <w:contextualSpacing/>
            </w:pPr>
            <w:r>
              <w:t>contact details for information</w:t>
            </w:r>
          </w:p>
          <w:p w14:paraId="2F8E1231" w14:textId="3769E1B5" w:rsidR="000D0E4C" w:rsidRDefault="000D0E4C" w:rsidP="000D0E4C">
            <w:pPr>
              <w:pStyle w:val="TableBullet1"/>
              <w:numPr>
                <w:ilvl w:val="0"/>
                <w:numId w:val="20"/>
              </w:numPr>
            </w:pPr>
            <w:r>
              <w:t>install and maintain a site information board at the front of the project site with contact details, hours of operations, after hours emergency contact details and regular information updates</w:t>
            </w:r>
          </w:p>
          <w:p w14:paraId="785C9EDD" w14:textId="77777777" w:rsidR="000D0E4C" w:rsidRDefault="000D0E4C" w:rsidP="000D0E4C">
            <w:pPr>
              <w:pStyle w:val="TableBullet1"/>
              <w:numPr>
                <w:ilvl w:val="0"/>
                <w:numId w:val="20"/>
              </w:numPr>
            </w:pPr>
            <w:r>
              <w:t>maintain a process for managing complaints (see NV04)</w:t>
            </w:r>
          </w:p>
          <w:p w14:paraId="144785EA" w14:textId="77777777" w:rsidR="000D0E4C" w:rsidRDefault="000D0E4C" w:rsidP="000D0E4C">
            <w:pPr>
              <w:pStyle w:val="TableBullet1"/>
              <w:numPr>
                <w:ilvl w:val="0"/>
                <w:numId w:val="20"/>
              </w:numPr>
            </w:pPr>
            <w:r>
              <w:t>offer alternative accommodation where there is sustained noise impact (such as ongoing sleep disturbance over many nights) or where residents may have underlying health conditions that could be adversely impacted</w:t>
            </w:r>
          </w:p>
          <w:p w14:paraId="050B9A7F" w14:textId="4EF047D1" w:rsidR="00397857" w:rsidRPr="0040395D" w:rsidRDefault="000D0E4C" w:rsidP="00611E7D">
            <w:pPr>
              <w:pStyle w:val="TableBullet1"/>
            </w:pPr>
            <w:r>
              <w:t>relocate affected residents if noise levels cannot be reduced sufficiently for the agreed period of construction activity.</w:t>
            </w:r>
          </w:p>
        </w:tc>
        <w:tc>
          <w:tcPr>
            <w:tcW w:w="546" w:type="pct"/>
          </w:tcPr>
          <w:p w14:paraId="29329F74" w14:textId="77777777" w:rsidR="00397857" w:rsidRPr="0040395D" w:rsidRDefault="00397857" w:rsidP="00397857">
            <w:pPr>
              <w:pStyle w:val="TableText"/>
            </w:pPr>
            <w:r w:rsidRPr="0040395D">
              <w:t>Pre-construction</w:t>
            </w:r>
          </w:p>
        </w:tc>
      </w:tr>
      <w:tr w:rsidR="00397857" w:rsidRPr="0040395D" w14:paraId="69AC2E43" w14:textId="77777777" w:rsidTr="00A47875">
        <w:trPr>
          <w:cantSplit/>
        </w:trPr>
        <w:tc>
          <w:tcPr>
            <w:tcW w:w="576" w:type="pct"/>
          </w:tcPr>
          <w:p w14:paraId="47F298CF" w14:textId="77777777" w:rsidR="00397857" w:rsidRPr="0040395D" w:rsidRDefault="00397857" w:rsidP="00397857">
            <w:pPr>
              <w:pStyle w:val="TableText"/>
            </w:pPr>
            <w:r w:rsidRPr="0040395D">
              <w:t>NV03</w:t>
            </w:r>
          </w:p>
        </w:tc>
        <w:tc>
          <w:tcPr>
            <w:tcW w:w="3878" w:type="pct"/>
          </w:tcPr>
          <w:p w14:paraId="763EEC36" w14:textId="77777777" w:rsidR="000D0E4C" w:rsidRDefault="000D0E4C" w:rsidP="000D0E4C">
            <w:pPr>
              <w:pStyle w:val="TableText"/>
            </w:pPr>
            <w:r>
              <w:t>Conduct noise monitoring whenever a new construction activity is occurring outside of normal working hours, if blasting is required, and if other earthmoving construction activities are required within 100 metres of a dwelling (with the permission of the dwelling owner). This would include:</w:t>
            </w:r>
          </w:p>
          <w:p w14:paraId="66F8BED6" w14:textId="77777777" w:rsidR="000D0E4C" w:rsidRDefault="000D0E4C" w:rsidP="000D0E4C">
            <w:pPr>
              <w:pStyle w:val="TableBullet1"/>
              <w:numPr>
                <w:ilvl w:val="0"/>
                <w:numId w:val="20"/>
              </w:numPr>
            </w:pPr>
            <w:r>
              <w:t xml:space="preserve">measurement of background noise levels at the closest dwelling before construction works occur or at a location representative of the closest dwelling </w:t>
            </w:r>
          </w:p>
          <w:p w14:paraId="6FBE153F" w14:textId="77777777" w:rsidR="000D0E4C" w:rsidRDefault="000D0E4C" w:rsidP="000D0E4C">
            <w:pPr>
              <w:pStyle w:val="TableBullet1"/>
              <w:numPr>
                <w:ilvl w:val="0"/>
                <w:numId w:val="20"/>
              </w:numPr>
            </w:pPr>
            <w:r>
              <w:t>measurement of noise level from construction works at the closest dwelling (or at a location representative of the closest dwelling) during the night under conditions that are conducive to noise propagation towards the measurement location</w:t>
            </w:r>
          </w:p>
          <w:p w14:paraId="6A41F53D" w14:textId="77777777" w:rsidR="000D0E4C" w:rsidRDefault="000D0E4C" w:rsidP="000D0E4C">
            <w:pPr>
              <w:pStyle w:val="TableBullet1"/>
              <w:numPr>
                <w:ilvl w:val="0"/>
                <w:numId w:val="20"/>
              </w:numPr>
            </w:pPr>
            <w:r>
              <w:t xml:space="preserve">measurement of noise level at an intermediate location and extrapolated using a recognised noise model if a measured level cannot be satisfactorily achieved at the closest dwelling (or at a location representative of the closest dwelling). </w:t>
            </w:r>
          </w:p>
          <w:p w14:paraId="4F14AF76" w14:textId="4CC58878" w:rsidR="00397857" w:rsidRPr="0040395D" w:rsidRDefault="000D0E4C" w:rsidP="00397857">
            <w:pPr>
              <w:pStyle w:val="TableText"/>
            </w:pPr>
            <w:r>
              <w:t>In the event that the measured noise level exceeds the relevant criteria in EPA Victoria Publication 1834</w:t>
            </w:r>
            <w:r w:rsidR="00505278">
              <w:t xml:space="preserve">: </w:t>
            </w:r>
            <w:r w:rsidR="00505278" w:rsidRPr="00965DC5">
              <w:rPr>
                <w:i/>
              </w:rPr>
              <w:t>Civil construction, building and demolition guide</w:t>
            </w:r>
            <w:r>
              <w:t>, further mitigation measures would be implemented to reduce the risk of harm so far as reasonably practicable, and the testing repeated to confirm compliance with the criteria.</w:t>
            </w:r>
          </w:p>
        </w:tc>
        <w:tc>
          <w:tcPr>
            <w:tcW w:w="546" w:type="pct"/>
          </w:tcPr>
          <w:p w14:paraId="679C13B0" w14:textId="77777777" w:rsidR="00397857" w:rsidRPr="0040395D" w:rsidRDefault="00397857" w:rsidP="00397857">
            <w:pPr>
              <w:pStyle w:val="TableText"/>
            </w:pPr>
            <w:r w:rsidRPr="0040395D">
              <w:t>Construction</w:t>
            </w:r>
          </w:p>
        </w:tc>
      </w:tr>
      <w:tr w:rsidR="00397857" w:rsidRPr="0040395D" w14:paraId="7DC10A68" w14:textId="77777777" w:rsidTr="00A47875">
        <w:trPr>
          <w:cantSplit/>
        </w:trPr>
        <w:tc>
          <w:tcPr>
            <w:tcW w:w="576" w:type="pct"/>
          </w:tcPr>
          <w:p w14:paraId="0D77ACB1" w14:textId="77777777" w:rsidR="00397857" w:rsidRPr="0040395D" w:rsidRDefault="00397857" w:rsidP="00397857">
            <w:pPr>
              <w:pStyle w:val="TableText"/>
            </w:pPr>
            <w:r w:rsidRPr="0040395D">
              <w:t>NV04</w:t>
            </w:r>
          </w:p>
        </w:tc>
        <w:tc>
          <w:tcPr>
            <w:tcW w:w="3878" w:type="pct"/>
          </w:tcPr>
          <w:p w14:paraId="06B0B608" w14:textId="77777777" w:rsidR="009B1862" w:rsidRPr="00B4189B" w:rsidRDefault="009B1862" w:rsidP="009B1862">
            <w:pPr>
              <w:pStyle w:val="TableText"/>
            </w:pPr>
            <w:r w:rsidRPr="00B4189B">
              <w:t xml:space="preserve">The noise complaints response process, to be developed prior to construction, would identify any feasible and reasonable measures that may further reduce impacts following a complaint, and to provide feedback to the community on the above process within a reasonable timeframe. The complaints response process would include the following noise elements: </w:t>
            </w:r>
          </w:p>
          <w:p w14:paraId="44440A27" w14:textId="77777777" w:rsidR="009B1862" w:rsidRPr="00B4189B" w:rsidRDefault="009B1862" w:rsidP="009B1862">
            <w:pPr>
              <w:pStyle w:val="TableBullet1"/>
            </w:pPr>
            <w:r w:rsidRPr="00B4189B">
              <w:t xml:space="preserve">provision of a contact person for dealing with any complaints </w:t>
            </w:r>
          </w:p>
          <w:p w14:paraId="01464B52" w14:textId="77777777" w:rsidR="009B1862" w:rsidRPr="00B4189B" w:rsidRDefault="009B1862" w:rsidP="009B1862">
            <w:pPr>
              <w:pStyle w:val="TableBullet1"/>
            </w:pPr>
            <w:r w:rsidRPr="00B4189B">
              <w:t xml:space="preserve">establishment of a complaints handling procedure that: </w:t>
            </w:r>
          </w:p>
          <w:p w14:paraId="00C43168" w14:textId="77777777" w:rsidR="009B1862" w:rsidRPr="00B4189B" w:rsidRDefault="009B1862" w:rsidP="009B1862">
            <w:pPr>
              <w:pStyle w:val="TableBullet2"/>
              <w:contextualSpacing/>
            </w:pPr>
            <w:r w:rsidRPr="00B4189B">
              <w:t>assesses whether the issue can be resolved easily and take immediate action if possible</w:t>
            </w:r>
          </w:p>
          <w:p w14:paraId="01A80122" w14:textId="77777777" w:rsidR="009B1862" w:rsidRPr="00B4189B" w:rsidRDefault="009B1862" w:rsidP="009B1862">
            <w:pPr>
              <w:pStyle w:val="TableBullet2"/>
              <w:contextualSpacing/>
            </w:pPr>
            <w:r w:rsidRPr="00B4189B">
              <w:t>if not, ensures that the appropriate consultation has been undertaken for the activity</w:t>
            </w:r>
          </w:p>
          <w:p w14:paraId="2540239F" w14:textId="77777777" w:rsidR="009B1862" w:rsidRPr="00B4189B" w:rsidRDefault="009B1862" w:rsidP="009B1862">
            <w:pPr>
              <w:pStyle w:val="TableBullet2"/>
              <w:contextualSpacing/>
            </w:pPr>
            <w:r w:rsidRPr="00B4189B">
              <w:t>ensures the on-site inspections of the Noise</w:t>
            </w:r>
            <w:r>
              <w:t xml:space="preserve"> and Vibration</w:t>
            </w:r>
            <w:r w:rsidRPr="00B4189B">
              <w:t xml:space="preserve"> Management Plan have been carried out regularly for the activity</w:t>
            </w:r>
          </w:p>
          <w:p w14:paraId="28A340AF" w14:textId="77777777" w:rsidR="009B1862" w:rsidRPr="00B4189B" w:rsidRDefault="009B1862" w:rsidP="009B1862">
            <w:pPr>
              <w:pStyle w:val="TableBullet2"/>
              <w:contextualSpacing/>
            </w:pPr>
            <w:r w:rsidRPr="00B4189B">
              <w:t>assesses the construction site and activities to determine whether there is any reason to believe the noise exposure of dwellings is higher than anticipated</w:t>
            </w:r>
          </w:p>
          <w:p w14:paraId="19F5381B" w14:textId="77777777" w:rsidR="009B1862" w:rsidRPr="00B4189B" w:rsidRDefault="009B1862" w:rsidP="009B1862">
            <w:pPr>
              <w:pStyle w:val="TableBullet2"/>
              <w:contextualSpacing/>
            </w:pPr>
            <w:r w:rsidRPr="00B4189B">
              <w:t xml:space="preserve">undertakes monitoring of noise levels where this cannot be confirmed and the complaint relates to out of hours activity, with the aim of establishing if the exposure of receivers is higher than anticipated by the Noise </w:t>
            </w:r>
            <w:r>
              <w:t>and Vibration</w:t>
            </w:r>
            <w:r w:rsidRPr="00B4189B">
              <w:t xml:space="preserve"> Management Plan </w:t>
            </w:r>
          </w:p>
          <w:p w14:paraId="486AB915" w14:textId="4D8F04B3" w:rsidR="00397857" w:rsidRPr="0040395D" w:rsidRDefault="009B1862" w:rsidP="00611E7D">
            <w:pPr>
              <w:pStyle w:val="TableBullet1"/>
            </w:pPr>
            <w:r w:rsidRPr="00B4189B">
              <w:t>takes remedial action with the assistance of an acoustic engineer if any of the above cannot be confirmed.</w:t>
            </w:r>
          </w:p>
        </w:tc>
        <w:tc>
          <w:tcPr>
            <w:tcW w:w="546" w:type="pct"/>
          </w:tcPr>
          <w:p w14:paraId="414B3870" w14:textId="77777777" w:rsidR="00397857" w:rsidRPr="0040395D" w:rsidRDefault="00397857" w:rsidP="00397857">
            <w:pPr>
              <w:pStyle w:val="TableText"/>
            </w:pPr>
            <w:r w:rsidRPr="0040395D">
              <w:t>Pre-construction</w:t>
            </w:r>
          </w:p>
        </w:tc>
      </w:tr>
      <w:tr w:rsidR="00397857" w:rsidRPr="0040395D" w14:paraId="05CF35DF" w14:textId="77777777" w:rsidTr="00A47875">
        <w:trPr>
          <w:cantSplit/>
        </w:trPr>
        <w:tc>
          <w:tcPr>
            <w:tcW w:w="576" w:type="pct"/>
          </w:tcPr>
          <w:p w14:paraId="71B9434C" w14:textId="77777777" w:rsidR="00397857" w:rsidRPr="0040395D" w:rsidRDefault="00397857" w:rsidP="00397857">
            <w:pPr>
              <w:pStyle w:val="TableText"/>
            </w:pPr>
            <w:r w:rsidRPr="0040395D">
              <w:t>NV05</w:t>
            </w:r>
          </w:p>
        </w:tc>
        <w:tc>
          <w:tcPr>
            <w:tcW w:w="3878" w:type="pct"/>
          </w:tcPr>
          <w:p w14:paraId="6B579CD7" w14:textId="35C9AA24" w:rsidR="00397857" w:rsidRPr="0040395D" w:rsidRDefault="000D0E4C" w:rsidP="00397857">
            <w:pPr>
              <w:pStyle w:val="TableText"/>
            </w:pPr>
            <w:r>
              <w:t>The design and operation of the temporary concrete batching plants would be in accordance with the control measures outlined in EPA Victoria Publication 1806</w:t>
            </w:r>
            <w:r w:rsidR="00C35125">
              <w:t>:</w:t>
            </w:r>
            <w:r>
              <w:t xml:space="preserve"> </w:t>
            </w:r>
            <w:r>
              <w:rPr>
                <w:i/>
              </w:rPr>
              <w:t xml:space="preserve">Reducing risk in the premixed concrete industry </w:t>
            </w:r>
            <w:r>
              <w:t>to minimise industrial noise emissions and prevent harm to nearby sensitive receptors.</w:t>
            </w:r>
          </w:p>
        </w:tc>
        <w:tc>
          <w:tcPr>
            <w:tcW w:w="546" w:type="pct"/>
          </w:tcPr>
          <w:p w14:paraId="1B28C30B" w14:textId="77777777" w:rsidR="00397857" w:rsidRPr="0040395D" w:rsidRDefault="00397857" w:rsidP="00397857">
            <w:pPr>
              <w:pStyle w:val="TableText"/>
            </w:pPr>
            <w:r w:rsidRPr="0040395D">
              <w:t>Design and construction</w:t>
            </w:r>
          </w:p>
        </w:tc>
      </w:tr>
      <w:tr w:rsidR="00397857" w:rsidRPr="0040395D" w14:paraId="7AEA1A23" w14:textId="77777777" w:rsidTr="00A47875">
        <w:trPr>
          <w:cantSplit/>
        </w:trPr>
        <w:tc>
          <w:tcPr>
            <w:tcW w:w="576" w:type="pct"/>
          </w:tcPr>
          <w:p w14:paraId="5C0BEC2D" w14:textId="4542F319" w:rsidR="00397857" w:rsidRPr="0040395D" w:rsidRDefault="00397857" w:rsidP="00397857">
            <w:pPr>
              <w:pStyle w:val="TableText"/>
            </w:pPr>
            <w:r w:rsidRPr="0040395D">
              <w:t>NV0</w:t>
            </w:r>
            <w:r w:rsidR="009B1862">
              <w:t>6</w:t>
            </w:r>
          </w:p>
        </w:tc>
        <w:tc>
          <w:tcPr>
            <w:tcW w:w="3878" w:type="pct"/>
          </w:tcPr>
          <w:p w14:paraId="4F02F9E4" w14:textId="77777777" w:rsidR="009B1862" w:rsidRPr="00B4189B" w:rsidRDefault="009B1862" w:rsidP="009B1862">
            <w:pPr>
              <w:pStyle w:val="TableText"/>
            </w:pPr>
            <w:r w:rsidRPr="00B4189B">
              <w:t>Control measures for mitigating the risks and impacts posed by blasting would be contained in the Blast Management Plan. The Blast Management Plan, to be prepared by the proponent and approved by the responsible authority prior to the commencement of construction, would outline the procedures and controls required to conduct blasting operations safely and achieve compliance with the relevant standards and thresholds.</w:t>
            </w:r>
          </w:p>
          <w:p w14:paraId="046DF82B" w14:textId="7B91CF4A" w:rsidR="00397857" w:rsidRPr="0040395D" w:rsidRDefault="009B1862" w:rsidP="00397857">
            <w:pPr>
              <w:pStyle w:val="TableText"/>
            </w:pPr>
            <w:r w:rsidRPr="00B4189B">
              <w:t xml:space="preserve">A noise monitoring regime would be implemented when blasting is required to ensure compliance with relevant blasting criteria. </w:t>
            </w:r>
            <w:r w:rsidRPr="00517DE3">
              <w:t xml:space="preserve">Should the noise level from any of the project aspects exceed the requirements detailed in the </w:t>
            </w:r>
            <w:r>
              <w:t>blasting</w:t>
            </w:r>
            <w:r w:rsidRPr="00517DE3">
              <w:t xml:space="preserve"> report,</w:t>
            </w:r>
            <w:r>
              <w:t xml:space="preserve"> </w:t>
            </w:r>
            <w:r w:rsidRPr="00517DE3">
              <w:t>the size of the cha</w:t>
            </w:r>
            <w:r>
              <w:t>r</w:t>
            </w:r>
            <w:r w:rsidRPr="00517DE3">
              <w:t>ge mass w</w:t>
            </w:r>
            <w:r>
              <w:t>ould</w:t>
            </w:r>
            <w:r w:rsidRPr="00517DE3">
              <w:t xml:space="preserve"> be reduced</w:t>
            </w:r>
            <w:r>
              <w:t>.</w:t>
            </w:r>
          </w:p>
        </w:tc>
        <w:tc>
          <w:tcPr>
            <w:tcW w:w="546" w:type="pct"/>
          </w:tcPr>
          <w:p w14:paraId="09D63CE0" w14:textId="77777777" w:rsidR="00397857" w:rsidRPr="0040395D" w:rsidRDefault="00397857" w:rsidP="00397857">
            <w:pPr>
              <w:pStyle w:val="TableText"/>
            </w:pPr>
            <w:r w:rsidRPr="0040395D">
              <w:t>Pre-construction</w:t>
            </w:r>
          </w:p>
        </w:tc>
      </w:tr>
      <w:tr w:rsidR="00397857" w:rsidRPr="0040395D" w14:paraId="30E90337" w14:textId="77777777" w:rsidTr="00A47875">
        <w:trPr>
          <w:cantSplit/>
        </w:trPr>
        <w:tc>
          <w:tcPr>
            <w:tcW w:w="576" w:type="pct"/>
          </w:tcPr>
          <w:p w14:paraId="01F9BCD6" w14:textId="73BA73B3" w:rsidR="00397857" w:rsidRPr="0040395D" w:rsidRDefault="00397857" w:rsidP="00397857">
            <w:pPr>
              <w:pStyle w:val="TableText"/>
            </w:pPr>
            <w:r w:rsidRPr="0040395D">
              <w:t>NV0</w:t>
            </w:r>
            <w:r w:rsidR="009B1862">
              <w:t>7</w:t>
            </w:r>
          </w:p>
        </w:tc>
        <w:tc>
          <w:tcPr>
            <w:tcW w:w="3878" w:type="pct"/>
          </w:tcPr>
          <w:p w14:paraId="64CE04A1" w14:textId="77666F6B" w:rsidR="00397857" w:rsidRPr="0040395D" w:rsidRDefault="000D0E4C" w:rsidP="00397857">
            <w:pPr>
              <w:pStyle w:val="TableText"/>
            </w:pPr>
            <w:r>
              <w:t xml:space="preserve">All quarry operations would be undertaken in accordance with the Work Authority. Prior to construction, the draft </w:t>
            </w:r>
            <w:r w:rsidR="00E8746A">
              <w:t>Q</w:t>
            </w:r>
            <w:r>
              <w:t xml:space="preserve">uarry </w:t>
            </w:r>
            <w:r w:rsidR="00E8746A">
              <w:t>W</w:t>
            </w:r>
            <w:r>
              <w:t xml:space="preserve">ork </w:t>
            </w:r>
            <w:r w:rsidR="00E8746A">
              <w:t>P</w:t>
            </w:r>
            <w:r>
              <w:t xml:space="preserve">lan (provided in Attachment II) would be finalised and submitted to Earth Resources Regulation (Department of Jobs, Precincts and Regions) for approval, as required under the </w:t>
            </w:r>
            <w:r>
              <w:rPr>
                <w:i/>
              </w:rPr>
              <w:t>Mineral Resources (Sustainable Development) Act 1990</w:t>
            </w:r>
            <w:r>
              <w:t>.</w:t>
            </w:r>
          </w:p>
        </w:tc>
        <w:tc>
          <w:tcPr>
            <w:tcW w:w="546" w:type="pct"/>
          </w:tcPr>
          <w:p w14:paraId="4E9478BE" w14:textId="77777777" w:rsidR="00397857" w:rsidRPr="0040395D" w:rsidRDefault="00397857" w:rsidP="00397857">
            <w:pPr>
              <w:pStyle w:val="TableText"/>
            </w:pPr>
            <w:r w:rsidRPr="0040395D">
              <w:t>Pre-construction</w:t>
            </w:r>
          </w:p>
        </w:tc>
      </w:tr>
      <w:tr w:rsidR="009B1862" w:rsidRPr="0040395D" w14:paraId="1D39EC61" w14:textId="77777777" w:rsidTr="00A47875">
        <w:trPr>
          <w:cantSplit/>
        </w:trPr>
        <w:tc>
          <w:tcPr>
            <w:tcW w:w="576" w:type="pct"/>
          </w:tcPr>
          <w:p w14:paraId="174DF13E" w14:textId="21EBD9B6" w:rsidR="009B1862" w:rsidRPr="0040395D" w:rsidRDefault="009B1862" w:rsidP="00397857">
            <w:pPr>
              <w:pStyle w:val="TableText"/>
            </w:pPr>
            <w:r>
              <w:t>NV08</w:t>
            </w:r>
          </w:p>
        </w:tc>
        <w:tc>
          <w:tcPr>
            <w:tcW w:w="3878" w:type="pct"/>
          </w:tcPr>
          <w:p w14:paraId="390ADBFA" w14:textId="77777777" w:rsidR="009B1862" w:rsidRDefault="009B1862" w:rsidP="009B1862">
            <w:pPr>
              <w:pStyle w:val="TableText"/>
            </w:pPr>
            <w:r>
              <w:t>Prior to the commencement of construction, a pre-construction noise assessment would be completed and approved by the responsible authority. This assessment would be undertaken to assess the final project layout and equipment selection to ensure that the noise criteria are achieved at all non-stakeholder dwellings under all wind speeds prior to construction commencing.</w:t>
            </w:r>
          </w:p>
          <w:p w14:paraId="242C8D66" w14:textId="70A5D910" w:rsidR="009B1862" w:rsidRDefault="009B1862" w:rsidP="009B1862">
            <w:pPr>
              <w:pStyle w:val="TableText"/>
            </w:pPr>
            <w:r>
              <w:t>The pre-construction noise assessment would be verified in accordance with the requirements of the New Zealand Standard by an EPA Victoria accredited auditor.</w:t>
            </w:r>
          </w:p>
        </w:tc>
        <w:tc>
          <w:tcPr>
            <w:tcW w:w="546" w:type="pct"/>
          </w:tcPr>
          <w:p w14:paraId="5C394C88" w14:textId="1A7D9F33" w:rsidR="009B1862" w:rsidRPr="0040395D" w:rsidRDefault="009B1862" w:rsidP="00397857">
            <w:pPr>
              <w:pStyle w:val="TableText"/>
            </w:pPr>
            <w:r>
              <w:t>Pre-construction</w:t>
            </w:r>
          </w:p>
        </w:tc>
      </w:tr>
      <w:tr w:rsidR="00397857" w:rsidRPr="0040395D" w14:paraId="315222CA" w14:textId="77777777" w:rsidTr="00A47875">
        <w:trPr>
          <w:cantSplit/>
        </w:trPr>
        <w:tc>
          <w:tcPr>
            <w:tcW w:w="576" w:type="pct"/>
          </w:tcPr>
          <w:p w14:paraId="762D27EC" w14:textId="77777777" w:rsidR="00397857" w:rsidRPr="0040395D" w:rsidRDefault="00397857" w:rsidP="00397857">
            <w:pPr>
              <w:pStyle w:val="TableText"/>
            </w:pPr>
            <w:r w:rsidRPr="0040395D">
              <w:t>NV09</w:t>
            </w:r>
          </w:p>
        </w:tc>
        <w:tc>
          <w:tcPr>
            <w:tcW w:w="3878" w:type="pct"/>
          </w:tcPr>
          <w:p w14:paraId="3D618BDC" w14:textId="01CAC680" w:rsidR="00397857" w:rsidRPr="0040395D" w:rsidRDefault="000D0E4C" w:rsidP="00397857">
            <w:pPr>
              <w:pStyle w:val="TableText"/>
            </w:pPr>
            <w:r>
              <w:t xml:space="preserve">A post-construction noise assessment would be undertaken in accordance with the New Zealand Standard </w:t>
            </w:r>
            <w:r w:rsidR="00505278" w:rsidRPr="00965DC5">
              <w:t xml:space="preserve">6808:2010 </w:t>
            </w:r>
            <w:r w:rsidR="00505278" w:rsidRPr="00965DC5">
              <w:rPr>
                <w:i/>
              </w:rPr>
              <w:t>Acoustics – Wind Farm Noise</w:t>
            </w:r>
            <w:r w:rsidR="00505278" w:rsidRPr="00965DC5">
              <w:t xml:space="preserve"> </w:t>
            </w:r>
            <w:r>
              <w:t xml:space="preserve">and regulations under the </w:t>
            </w:r>
            <w:r>
              <w:rPr>
                <w:i/>
                <w:iCs/>
              </w:rPr>
              <w:t xml:space="preserve">Environment Protection Act 2017 </w:t>
            </w:r>
            <w:r>
              <w:t xml:space="preserve">to demonstrate that the project is compliant. This assessment would be provided to the </w:t>
            </w:r>
            <w:r w:rsidR="0015071E">
              <w:t>EPA</w:t>
            </w:r>
            <w:r w:rsidR="00B2768F">
              <w:t xml:space="preserve"> </w:t>
            </w:r>
            <w:r w:rsidR="0015071E">
              <w:t>within 10 business days of completion</w:t>
            </w:r>
            <w:r>
              <w:t>.</w:t>
            </w:r>
          </w:p>
        </w:tc>
        <w:tc>
          <w:tcPr>
            <w:tcW w:w="546" w:type="pct"/>
          </w:tcPr>
          <w:p w14:paraId="623F4BF7" w14:textId="77777777" w:rsidR="00397857" w:rsidRPr="0040395D" w:rsidRDefault="00397857" w:rsidP="00397857">
            <w:pPr>
              <w:pStyle w:val="TableText"/>
            </w:pPr>
            <w:r w:rsidRPr="0040395D">
              <w:t>Operation</w:t>
            </w:r>
          </w:p>
        </w:tc>
      </w:tr>
      <w:tr w:rsidR="009B1862" w:rsidRPr="0040395D" w14:paraId="25886202" w14:textId="77777777" w:rsidTr="00A47875">
        <w:trPr>
          <w:cantSplit/>
        </w:trPr>
        <w:tc>
          <w:tcPr>
            <w:tcW w:w="576" w:type="pct"/>
          </w:tcPr>
          <w:p w14:paraId="6D31DBA6" w14:textId="3905902E" w:rsidR="009B1862" w:rsidRPr="0040395D" w:rsidRDefault="009B1862" w:rsidP="00397857">
            <w:pPr>
              <w:pStyle w:val="TableText"/>
            </w:pPr>
            <w:r w:rsidRPr="0040395D">
              <w:t>NV1</w:t>
            </w:r>
            <w:r>
              <w:t>0</w:t>
            </w:r>
          </w:p>
        </w:tc>
        <w:tc>
          <w:tcPr>
            <w:tcW w:w="3878" w:type="pct"/>
          </w:tcPr>
          <w:p w14:paraId="2CC45150" w14:textId="2019AE79" w:rsidR="009B1862" w:rsidRDefault="009B1862" w:rsidP="0042481B">
            <w:pPr>
              <w:pStyle w:val="TableBullet1"/>
              <w:numPr>
                <w:ilvl w:val="0"/>
                <w:numId w:val="0"/>
              </w:numPr>
              <w:rPr>
                <w:bCs w:val="0"/>
              </w:rPr>
            </w:pPr>
            <w:r w:rsidRPr="009B1862">
              <w:rPr>
                <w:bCs w:val="0"/>
              </w:rPr>
              <w:t xml:space="preserve">Additional noise monitoring would be undertaken at intervals required by the </w:t>
            </w:r>
            <w:r w:rsidRPr="00B2768F">
              <w:rPr>
                <w:bCs w:val="0"/>
                <w:i/>
                <w:iCs/>
              </w:rPr>
              <w:t>Environment Protection Act 2017</w:t>
            </w:r>
            <w:r w:rsidRPr="009B1862">
              <w:rPr>
                <w:bCs w:val="0"/>
              </w:rPr>
              <w:t xml:space="preserve"> (currently every five years as specified in the Environment Protection Amendment (Interim) Regulations 2021).</w:t>
            </w:r>
          </w:p>
        </w:tc>
        <w:tc>
          <w:tcPr>
            <w:tcW w:w="546" w:type="pct"/>
          </w:tcPr>
          <w:p w14:paraId="02703405" w14:textId="6C32160D" w:rsidR="009B1862" w:rsidRPr="0040395D" w:rsidRDefault="009B1862" w:rsidP="00397857">
            <w:pPr>
              <w:pStyle w:val="TableText"/>
            </w:pPr>
            <w:r>
              <w:t>Operation</w:t>
            </w:r>
          </w:p>
        </w:tc>
      </w:tr>
      <w:tr w:rsidR="009B1862" w:rsidRPr="0040395D" w14:paraId="3C72BAF9" w14:textId="77777777" w:rsidTr="00A47875">
        <w:trPr>
          <w:cantSplit/>
        </w:trPr>
        <w:tc>
          <w:tcPr>
            <w:tcW w:w="576" w:type="pct"/>
          </w:tcPr>
          <w:p w14:paraId="5366C509" w14:textId="13861862" w:rsidR="009B1862" w:rsidRPr="0040395D" w:rsidRDefault="009B1862" w:rsidP="00397857">
            <w:pPr>
              <w:pStyle w:val="TableText"/>
            </w:pPr>
            <w:r>
              <w:t>NV11</w:t>
            </w:r>
          </w:p>
        </w:tc>
        <w:tc>
          <w:tcPr>
            <w:tcW w:w="3878" w:type="pct"/>
          </w:tcPr>
          <w:p w14:paraId="7C068164" w14:textId="6B994596" w:rsidR="009B1862" w:rsidRDefault="009B1862" w:rsidP="009B1862">
            <w:pPr>
              <w:pStyle w:val="TableText"/>
              <w:rPr>
                <w:bCs/>
              </w:rPr>
            </w:pPr>
            <w:r>
              <w:rPr>
                <w:bCs/>
              </w:rPr>
              <w:t xml:space="preserve">A noise management plan including complaints management would be prepared and implemented, as required by the </w:t>
            </w:r>
            <w:r>
              <w:rPr>
                <w:i/>
                <w:iCs/>
              </w:rPr>
              <w:t>Environment</w:t>
            </w:r>
            <w:r w:rsidR="00A775DA">
              <w:rPr>
                <w:i/>
                <w:iCs/>
              </w:rPr>
              <w:t> </w:t>
            </w:r>
            <w:r>
              <w:rPr>
                <w:i/>
                <w:iCs/>
              </w:rPr>
              <w:t>Protection Act 2017</w:t>
            </w:r>
            <w:r>
              <w:t xml:space="preserve"> (as specified in the </w:t>
            </w:r>
            <w:r w:rsidRPr="009F1D02">
              <w:t>Environment Protection Amendment (Interim) Regulations 2021</w:t>
            </w:r>
            <w:r>
              <w:t>)</w:t>
            </w:r>
            <w:r>
              <w:rPr>
                <w:bCs/>
              </w:rPr>
              <w:t>.</w:t>
            </w:r>
          </w:p>
          <w:p w14:paraId="28A1CDA0" w14:textId="209ED6E9" w:rsidR="009B1862" w:rsidRDefault="009B1862" w:rsidP="009B1862">
            <w:pPr>
              <w:pStyle w:val="TableBullet1"/>
              <w:numPr>
                <w:ilvl w:val="0"/>
                <w:numId w:val="0"/>
              </w:numPr>
              <w:rPr>
                <w:bCs w:val="0"/>
              </w:rPr>
            </w:pPr>
            <w:r w:rsidRPr="00D56AA3">
              <w:t xml:space="preserve">Should the noise level from </w:t>
            </w:r>
            <w:r>
              <w:t>wind turbine operation</w:t>
            </w:r>
            <w:r w:rsidRPr="00D56AA3">
              <w:t xml:space="preserve"> exceed the requirements detailed in the</w:t>
            </w:r>
            <w:r>
              <w:t xml:space="preserve"> planning permit, </w:t>
            </w:r>
            <w:r w:rsidRPr="00D56AA3">
              <w:t xml:space="preserve">a </w:t>
            </w:r>
            <w:r>
              <w:t xml:space="preserve">wind turbine </w:t>
            </w:r>
            <w:r w:rsidRPr="00D56AA3">
              <w:t>curtailment regime under specific wind speeds and directions will be implemented</w:t>
            </w:r>
            <w:r>
              <w:t>.</w:t>
            </w:r>
          </w:p>
        </w:tc>
        <w:tc>
          <w:tcPr>
            <w:tcW w:w="546" w:type="pct"/>
          </w:tcPr>
          <w:p w14:paraId="625A476B" w14:textId="16C45193" w:rsidR="009B1862" w:rsidRPr="0040395D" w:rsidRDefault="009B1862" w:rsidP="00397857">
            <w:pPr>
              <w:pStyle w:val="TableText"/>
            </w:pPr>
            <w:r>
              <w:t>Operation</w:t>
            </w:r>
          </w:p>
        </w:tc>
      </w:tr>
      <w:tr w:rsidR="000D0E4C" w:rsidRPr="0040395D" w14:paraId="28CE0582" w14:textId="77777777" w:rsidTr="00A47875">
        <w:trPr>
          <w:cantSplit/>
        </w:trPr>
        <w:tc>
          <w:tcPr>
            <w:tcW w:w="576" w:type="pct"/>
          </w:tcPr>
          <w:p w14:paraId="18DA5A71" w14:textId="630D3ACA" w:rsidR="000D0E4C" w:rsidRPr="0040395D" w:rsidRDefault="000D0E4C" w:rsidP="00397857">
            <w:pPr>
              <w:pStyle w:val="TableText"/>
            </w:pPr>
            <w:r w:rsidRPr="0040395D">
              <w:t>NV1</w:t>
            </w:r>
            <w:r w:rsidR="009B1862">
              <w:t>2</w:t>
            </w:r>
          </w:p>
        </w:tc>
        <w:tc>
          <w:tcPr>
            <w:tcW w:w="3878" w:type="pct"/>
          </w:tcPr>
          <w:p w14:paraId="0BCC6AB5" w14:textId="398B4922" w:rsidR="000D0E4C" w:rsidRPr="0040395D" w:rsidRDefault="000D0E4C" w:rsidP="00397857">
            <w:pPr>
              <w:pStyle w:val="TableText"/>
            </w:pPr>
            <w:r>
              <w:rPr>
                <w:bCs/>
              </w:rPr>
              <w:t xml:space="preserve">An annual statement would be prepared detailing the actions undertaken to ensure compliance, as required by the </w:t>
            </w:r>
            <w:r>
              <w:rPr>
                <w:i/>
                <w:iCs/>
              </w:rPr>
              <w:t>Environment</w:t>
            </w:r>
            <w:r w:rsidR="00A775DA">
              <w:rPr>
                <w:i/>
                <w:iCs/>
              </w:rPr>
              <w:t> </w:t>
            </w:r>
            <w:r>
              <w:rPr>
                <w:i/>
                <w:iCs/>
              </w:rPr>
              <w:t>Protection Act 2017</w:t>
            </w:r>
            <w:r>
              <w:t xml:space="preserve"> (as specified in the Environment Protection Amendment (Interim) Regulations 2021)</w:t>
            </w:r>
          </w:p>
        </w:tc>
        <w:tc>
          <w:tcPr>
            <w:tcW w:w="546" w:type="pct"/>
          </w:tcPr>
          <w:p w14:paraId="3C266A6F" w14:textId="41AA3D44" w:rsidR="000D0E4C" w:rsidRPr="0040395D" w:rsidRDefault="000D0E4C" w:rsidP="00397857">
            <w:pPr>
              <w:pStyle w:val="TableText"/>
            </w:pPr>
            <w:r w:rsidRPr="0040395D">
              <w:t>Operation</w:t>
            </w:r>
          </w:p>
        </w:tc>
      </w:tr>
      <w:tr w:rsidR="000D0E4C" w:rsidRPr="0040395D" w14:paraId="03D1363E" w14:textId="77777777" w:rsidTr="00A47875">
        <w:trPr>
          <w:cantSplit/>
        </w:trPr>
        <w:tc>
          <w:tcPr>
            <w:tcW w:w="576" w:type="pct"/>
          </w:tcPr>
          <w:p w14:paraId="7FA03D74" w14:textId="5BF66A6C" w:rsidR="000D0E4C" w:rsidRPr="0040395D" w:rsidRDefault="000D0E4C" w:rsidP="00397857">
            <w:pPr>
              <w:pStyle w:val="TableText"/>
            </w:pPr>
            <w:r>
              <w:t>NV1</w:t>
            </w:r>
            <w:r w:rsidR="009B1862">
              <w:t>3</w:t>
            </w:r>
          </w:p>
        </w:tc>
        <w:tc>
          <w:tcPr>
            <w:tcW w:w="3878" w:type="pct"/>
          </w:tcPr>
          <w:p w14:paraId="416296CF" w14:textId="61AC1892" w:rsidR="000D0E4C" w:rsidRPr="0040395D" w:rsidRDefault="000D0E4C" w:rsidP="000D0E4C">
            <w:pPr>
              <w:pStyle w:val="TableText"/>
            </w:pPr>
            <w:r>
              <w:t xml:space="preserve">Adopt ‘reduced’ sound power levels for the substation transformer as specified in the Australian/New Zealand Standard AS/NZS60076.10:2009, </w:t>
            </w:r>
            <w:r w:rsidRPr="0042481B">
              <w:rPr>
                <w:i/>
                <w:iCs/>
              </w:rPr>
              <w:t>Power transformers – Determination of sound levels</w:t>
            </w:r>
            <w:r>
              <w:t>.</w:t>
            </w:r>
          </w:p>
        </w:tc>
        <w:tc>
          <w:tcPr>
            <w:tcW w:w="546" w:type="pct"/>
          </w:tcPr>
          <w:p w14:paraId="7E404CDA" w14:textId="72E3D9F4" w:rsidR="000D0E4C" w:rsidRPr="0040395D" w:rsidRDefault="00E8746A" w:rsidP="00397857">
            <w:pPr>
              <w:pStyle w:val="TableText"/>
            </w:pPr>
            <w:r>
              <w:t>Operation</w:t>
            </w:r>
          </w:p>
        </w:tc>
      </w:tr>
      <w:tr w:rsidR="009B1862" w:rsidRPr="0040395D" w14:paraId="2113468A" w14:textId="77777777" w:rsidTr="00A47875">
        <w:trPr>
          <w:cantSplit/>
        </w:trPr>
        <w:tc>
          <w:tcPr>
            <w:tcW w:w="576" w:type="pct"/>
          </w:tcPr>
          <w:p w14:paraId="0CD3CB09" w14:textId="459849FC" w:rsidR="009B1862" w:rsidRDefault="009B1862" w:rsidP="00397857">
            <w:pPr>
              <w:pStyle w:val="TableText"/>
            </w:pPr>
            <w:r>
              <w:t>NV14</w:t>
            </w:r>
          </w:p>
        </w:tc>
        <w:tc>
          <w:tcPr>
            <w:tcW w:w="3878" w:type="pct"/>
          </w:tcPr>
          <w:p w14:paraId="3420C3BB" w14:textId="5AEC1423" w:rsidR="009B1862" w:rsidRDefault="009B1862" w:rsidP="00EF3C0F">
            <w:pPr>
              <w:pStyle w:val="TableText"/>
            </w:pPr>
            <w:r w:rsidRPr="00D56AA3">
              <w:t xml:space="preserve">Should the noise level from </w:t>
            </w:r>
            <w:r>
              <w:t>the substation and battery</w:t>
            </w:r>
            <w:r w:rsidRPr="00D56AA3">
              <w:t xml:space="preserve"> exceed the requirements detailed in the </w:t>
            </w:r>
            <w:r>
              <w:t>Environmental Noise Assessment</w:t>
            </w:r>
            <w:r w:rsidRPr="00D56AA3">
              <w:t xml:space="preserve"> report</w:t>
            </w:r>
            <w:r>
              <w:rPr>
                <w:bCs/>
              </w:rPr>
              <w:t xml:space="preserve">, </w:t>
            </w:r>
            <w:r w:rsidRPr="00D56AA3">
              <w:rPr>
                <w:bCs/>
              </w:rPr>
              <w:t>a barrier between the noise sources (transformers and containerised batteries) and the closest residences w</w:t>
            </w:r>
            <w:r>
              <w:rPr>
                <w:bCs/>
              </w:rPr>
              <w:t>ould</w:t>
            </w:r>
            <w:r w:rsidRPr="00D56AA3">
              <w:rPr>
                <w:bCs/>
              </w:rPr>
              <w:t xml:space="preserve"> be designed to reduce the noise levels</w:t>
            </w:r>
            <w:r>
              <w:rPr>
                <w:bCs/>
              </w:rPr>
              <w:t xml:space="preserve"> or</w:t>
            </w:r>
            <w:r w:rsidRPr="00D56AA3">
              <w:rPr>
                <w:bCs/>
              </w:rPr>
              <w:t xml:space="preserve"> reductions </w:t>
            </w:r>
            <w:r>
              <w:rPr>
                <w:bCs/>
              </w:rPr>
              <w:t>would</w:t>
            </w:r>
            <w:r w:rsidRPr="00D56AA3">
              <w:rPr>
                <w:bCs/>
              </w:rPr>
              <w:t xml:space="preserve"> be achieved through fitting attenuators to the inlet and outlet of the containerised battery storage units.</w:t>
            </w:r>
          </w:p>
        </w:tc>
        <w:tc>
          <w:tcPr>
            <w:tcW w:w="546" w:type="pct"/>
          </w:tcPr>
          <w:p w14:paraId="68019DE5" w14:textId="194ED589" w:rsidR="009B1862" w:rsidRDefault="009B1862" w:rsidP="00397857">
            <w:pPr>
              <w:pStyle w:val="TableText"/>
            </w:pPr>
            <w:r>
              <w:t>Operation</w:t>
            </w:r>
          </w:p>
        </w:tc>
      </w:tr>
      <w:tr w:rsidR="00EF3C0F" w:rsidRPr="0040395D" w14:paraId="1A04C5B5" w14:textId="77777777" w:rsidTr="00A47875">
        <w:trPr>
          <w:cantSplit/>
        </w:trPr>
        <w:tc>
          <w:tcPr>
            <w:tcW w:w="576" w:type="pct"/>
          </w:tcPr>
          <w:p w14:paraId="64773D72" w14:textId="12531906" w:rsidR="00EF3C0F" w:rsidRDefault="00EF3C0F" w:rsidP="00397857">
            <w:pPr>
              <w:pStyle w:val="TableText"/>
            </w:pPr>
            <w:r>
              <w:t>NV1</w:t>
            </w:r>
            <w:r w:rsidR="009B1862">
              <w:t>5</w:t>
            </w:r>
          </w:p>
        </w:tc>
        <w:tc>
          <w:tcPr>
            <w:tcW w:w="3878" w:type="pct"/>
          </w:tcPr>
          <w:p w14:paraId="420FAAE9" w14:textId="77777777" w:rsidR="00EF3C0F" w:rsidRDefault="00EF3C0F" w:rsidP="00EF3C0F">
            <w:pPr>
              <w:pStyle w:val="TableText"/>
            </w:pPr>
            <w:r>
              <w:t>Prior to decommissioning, a decommission noise and vibration management plan would be prepared and submitted to the responsible authority for endorsement. This plan would include:</w:t>
            </w:r>
          </w:p>
          <w:p w14:paraId="6E1C78FE" w14:textId="77777777" w:rsidR="00EF3C0F" w:rsidRDefault="00EF3C0F" w:rsidP="00EF3C0F">
            <w:pPr>
              <w:pStyle w:val="TableBullet1"/>
              <w:numPr>
                <w:ilvl w:val="0"/>
                <w:numId w:val="20"/>
              </w:numPr>
            </w:pPr>
            <w:r>
              <w:t>an assessment of the potential impacts of decommissioning noise and vibration from project activities</w:t>
            </w:r>
          </w:p>
          <w:p w14:paraId="555AABFF" w14:textId="6048007E" w:rsidR="00EF3C0F" w:rsidRDefault="00EF3C0F" w:rsidP="00EF3C0F">
            <w:pPr>
              <w:pStyle w:val="TableBullet1"/>
              <w:numPr>
                <w:ilvl w:val="0"/>
                <w:numId w:val="20"/>
              </w:numPr>
            </w:pPr>
            <w:r>
              <w:t>outline the proposed decommissioning program and how the proposed management controls are compliant with the requirements defined by EPA Victoria Publication 1834</w:t>
            </w:r>
            <w:r w:rsidR="00505278">
              <w:t xml:space="preserve">: </w:t>
            </w:r>
            <w:r w:rsidR="00505278" w:rsidRPr="00965DC5">
              <w:rPr>
                <w:i/>
              </w:rPr>
              <w:t>Civil construction, building and demolition guide</w:t>
            </w:r>
          </w:p>
          <w:p w14:paraId="6D662266" w14:textId="77777777" w:rsidR="00EF3C0F" w:rsidRDefault="00EF3C0F" w:rsidP="00EF3C0F">
            <w:pPr>
              <w:pStyle w:val="TableBullet1"/>
              <w:numPr>
                <w:ilvl w:val="0"/>
                <w:numId w:val="20"/>
              </w:numPr>
            </w:pPr>
            <w:r>
              <w:t>outline all unavoidable works, low</w:t>
            </w:r>
            <w:r>
              <w:rPr>
                <w:rFonts w:ascii="Cambria Math" w:hAnsi="Cambria Math" w:cs="Cambria Math"/>
              </w:rPr>
              <w:t>‐</w:t>
            </w:r>
            <w:r>
              <w:t>noise impact and managed</w:t>
            </w:r>
            <w:r>
              <w:rPr>
                <w:rFonts w:ascii="Cambria Math" w:hAnsi="Cambria Math" w:cs="Cambria Math"/>
              </w:rPr>
              <w:t>‐</w:t>
            </w:r>
            <w:r>
              <w:t>impact works that may occur outside normal working hours</w:t>
            </w:r>
          </w:p>
          <w:p w14:paraId="4D7D3061" w14:textId="5184C428" w:rsidR="00EF3C0F" w:rsidRDefault="00EF3C0F" w:rsidP="0042481B">
            <w:pPr>
              <w:pStyle w:val="TableBullet1"/>
              <w:numPr>
                <w:ilvl w:val="0"/>
                <w:numId w:val="20"/>
              </w:numPr>
            </w:pPr>
            <w:r>
              <w:t>outline the proposed scheduling of any out of hours works to minimise noise and vibration impacts.</w:t>
            </w:r>
          </w:p>
        </w:tc>
        <w:tc>
          <w:tcPr>
            <w:tcW w:w="546" w:type="pct"/>
          </w:tcPr>
          <w:p w14:paraId="56B5DDA4" w14:textId="3CFABE49" w:rsidR="00EF3C0F" w:rsidRPr="0040395D" w:rsidRDefault="00EF3C0F" w:rsidP="00397857">
            <w:pPr>
              <w:pStyle w:val="TableText"/>
            </w:pPr>
            <w:r>
              <w:t>Decommissioning</w:t>
            </w:r>
          </w:p>
        </w:tc>
      </w:tr>
      <w:tr w:rsidR="00397857" w:rsidRPr="0040395D" w14:paraId="2801B179" w14:textId="77777777" w:rsidTr="00375C7D">
        <w:trPr>
          <w:cantSplit/>
        </w:trPr>
        <w:tc>
          <w:tcPr>
            <w:tcW w:w="5000" w:type="pct"/>
            <w:gridSpan w:val="3"/>
            <w:shd w:val="clear" w:color="auto" w:fill="E6EFE1"/>
          </w:tcPr>
          <w:p w14:paraId="71F03A83" w14:textId="77777777" w:rsidR="00397857" w:rsidRPr="0040395D" w:rsidRDefault="00397857" w:rsidP="00397857">
            <w:pPr>
              <w:pStyle w:val="TableText"/>
              <w:rPr>
                <w:b/>
                <w:i/>
              </w:rPr>
            </w:pPr>
            <w:r w:rsidRPr="0040395D">
              <w:rPr>
                <w:b/>
                <w:i/>
              </w:rPr>
              <w:t>Landscape and visual</w:t>
            </w:r>
          </w:p>
        </w:tc>
      </w:tr>
      <w:tr w:rsidR="00397857" w:rsidRPr="0040395D" w14:paraId="1274AFFE" w14:textId="77777777" w:rsidTr="00A47875">
        <w:trPr>
          <w:cantSplit/>
        </w:trPr>
        <w:tc>
          <w:tcPr>
            <w:tcW w:w="576" w:type="pct"/>
          </w:tcPr>
          <w:p w14:paraId="6402286D" w14:textId="77777777" w:rsidR="00397857" w:rsidRPr="0040395D" w:rsidRDefault="00397857" w:rsidP="00397857">
            <w:pPr>
              <w:pStyle w:val="TableText"/>
            </w:pPr>
            <w:r w:rsidRPr="0040395D">
              <w:t>LV01</w:t>
            </w:r>
          </w:p>
        </w:tc>
        <w:tc>
          <w:tcPr>
            <w:tcW w:w="3878" w:type="pct"/>
          </w:tcPr>
          <w:p w14:paraId="41D5C3A6" w14:textId="0C51BEB7" w:rsidR="00397857" w:rsidRPr="0040395D" w:rsidRDefault="00397857" w:rsidP="00397857">
            <w:pPr>
              <w:pStyle w:val="TableText"/>
            </w:pPr>
            <w:r w:rsidRPr="0040395D">
              <w:t xml:space="preserve">Re-siting of </w:t>
            </w:r>
            <w:r w:rsidR="00C35125">
              <w:t>p</w:t>
            </w:r>
            <w:r w:rsidRPr="0040395D">
              <w:t>roject infrastructure from sensitive viewing areas and key view lines</w:t>
            </w:r>
            <w:r w:rsidR="00611E7D">
              <w:t>.</w:t>
            </w:r>
          </w:p>
        </w:tc>
        <w:tc>
          <w:tcPr>
            <w:tcW w:w="546" w:type="pct"/>
          </w:tcPr>
          <w:p w14:paraId="40BFA048" w14:textId="77777777" w:rsidR="00397857" w:rsidRPr="0040395D" w:rsidRDefault="00397857" w:rsidP="00397857">
            <w:pPr>
              <w:pStyle w:val="TableText"/>
            </w:pPr>
            <w:r w:rsidRPr="0040395D">
              <w:t>Design</w:t>
            </w:r>
          </w:p>
        </w:tc>
      </w:tr>
      <w:tr w:rsidR="00397857" w:rsidRPr="0040395D" w14:paraId="2A234B5C" w14:textId="77777777" w:rsidTr="00A47875">
        <w:trPr>
          <w:cantSplit/>
        </w:trPr>
        <w:tc>
          <w:tcPr>
            <w:tcW w:w="576" w:type="pct"/>
          </w:tcPr>
          <w:p w14:paraId="219061D7" w14:textId="77777777" w:rsidR="00397857" w:rsidRPr="0040395D" w:rsidRDefault="00397857" w:rsidP="00397857">
            <w:pPr>
              <w:pStyle w:val="TableText"/>
            </w:pPr>
            <w:r w:rsidRPr="0040395D">
              <w:t>LV02</w:t>
            </w:r>
          </w:p>
        </w:tc>
        <w:tc>
          <w:tcPr>
            <w:tcW w:w="3878" w:type="pct"/>
          </w:tcPr>
          <w:p w14:paraId="3B064248" w14:textId="77777777" w:rsidR="00397857" w:rsidRPr="0040395D" w:rsidRDefault="00397857" w:rsidP="00397857">
            <w:pPr>
              <w:pStyle w:val="TableText"/>
            </w:pPr>
            <w:r w:rsidRPr="0040395D">
              <w:t>Development of an on-site landscaping plan to screen substations, buildings and lower infrastructure. This plan would include details of plant species to be used, and a maintenance and monitoring program.</w:t>
            </w:r>
          </w:p>
        </w:tc>
        <w:tc>
          <w:tcPr>
            <w:tcW w:w="546" w:type="pct"/>
          </w:tcPr>
          <w:p w14:paraId="7A29A170" w14:textId="4A69E12E" w:rsidR="00397857" w:rsidRPr="0040395D" w:rsidRDefault="00E92A7C" w:rsidP="00397857">
            <w:pPr>
              <w:pStyle w:val="TableText"/>
            </w:pPr>
            <w:r>
              <w:t>Construction and operation</w:t>
            </w:r>
          </w:p>
        </w:tc>
      </w:tr>
      <w:tr w:rsidR="00397857" w:rsidRPr="0040395D" w14:paraId="1911B289" w14:textId="77777777" w:rsidTr="00A47875">
        <w:trPr>
          <w:cantSplit/>
        </w:trPr>
        <w:tc>
          <w:tcPr>
            <w:tcW w:w="576" w:type="pct"/>
          </w:tcPr>
          <w:p w14:paraId="270EE410" w14:textId="77777777" w:rsidR="00397857" w:rsidRPr="0040395D" w:rsidRDefault="00397857" w:rsidP="00397857">
            <w:pPr>
              <w:pStyle w:val="TableText"/>
            </w:pPr>
            <w:r w:rsidRPr="0040395D">
              <w:t>LV03</w:t>
            </w:r>
          </w:p>
        </w:tc>
        <w:tc>
          <w:tcPr>
            <w:tcW w:w="3878" w:type="pct"/>
          </w:tcPr>
          <w:p w14:paraId="014FF2E9" w14:textId="312D7F81" w:rsidR="00397857" w:rsidRPr="0040395D" w:rsidRDefault="002E785C" w:rsidP="00397857">
            <w:pPr>
              <w:pStyle w:val="TableText"/>
            </w:pPr>
            <w:r w:rsidRPr="002E785C">
              <w:t>For dwellings within 6 kilometres of a project turbine</w:t>
            </w:r>
            <w:r>
              <w:t>, d</w:t>
            </w:r>
            <w:r w:rsidR="00397857" w:rsidRPr="0040395D">
              <w:t>evelopment of an off-site landscaping plan for vegetation screening of eligible dwelling</w:t>
            </w:r>
            <w:r>
              <w:t xml:space="preserve"> rooms</w:t>
            </w:r>
            <w:r w:rsidR="00397857" w:rsidRPr="0040395D">
              <w:t xml:space="preserve">, in consultation with the landowner on a case-by-case basis. </w:t>
            </w:r>
          </w:p>
          <w:p w14:paraId="732697DA" w14:textId="77777777" w:rsidR="00397857" w:rsidRPr="0040395D" w:rsidRDefault="00397857" w:rsidP="00397857">
            <w:pPr>
              <w:pStyle w:val="TableText"/>
            </w:pPr>
            <w:r w:rsidRPr="0040395D">
              <w:t xml:space="preserve">Considerations and requirements for the screening of views from residential dwellings should include: </w:t>
            </w:r>
          </w:p>
          <w:p w14:paraId="2A9C83C7" w14:textId="33717D4C" w:rsidR="00397857" w:rsidRPr="0040395D" w:rsidRDefault="00397857" w:rsidP="00071A1A">
            <w:pPr>
              <w:pStyle w:val="TableBullet1"/>
            </w:pPr>
            <w:r w:rsidRPr="0040395D">
              <w:t xml:space="preserve">placement of new landscaping to assist with screening views to </w:t>
            </w:r>
            <w:r w:rsidR="00E92A7C">
              <w:t>p</w:t>
            </w:r>
            <w:r w:rsidRPr="0040395D">
              <w:t xml:space="preserve">roject wind turbines </w:t>
            </w:r>
          </w:p>
          <w:p w14:paraId="517838CB" w14:textId="532077DD" w:rsidR="00397857" w:rsidRPr="0040395D" w:rsidRDefault="00397857" w:rsidP="00071A1A">
            <w:pPr>
              <w:pStyle w:val="TableBullet1"/>
            </w:pPr>
            <w:r w:rsidRPr="0040395D">
              <w:t>vegetation height, with consideration of any zone and/or overlay planning requirements</w:t>
            </w:r>
            <w:r>
              <w:t xml:space="preserve"> </w:t>
            </w:r>
          </w:p>
          <w:p w14:paraId="0C2792E0" w14:textId="3D38CAE4" w:rsidR="00397857" w:rsidRPr="0040395D" w:rsidRDefault="00397857" w:rsidP="00071A1A">
            <w:pPr>
              <w:pStyle w:val="TableBullet1"/>
            </w:pPr>
            <w:r w:rsidRPr="0040395D">
              <w:t xml:space="preserve">requirements of the Bushfire Management Overlay, where applicable, maintaining a 20-metre buffer between any landscape mitigation planting and existing vegetation, and a 10-metre buffer from the residence. </w:t>
            </w:r>
          </w:p>
          <w:p w14:paraId="653A47A8" w14:textId="65DC3B70" w:rsidR="00397857" w:rsidRPr="0040395D" w:rsidRDefault="00397857" w:rsidP="00397857">
            <w:pPr>
              <w:pStyle w:val="TableText"/>
            </w:pPr>
            <w:r w:rsidRPr="0040395D">
              <w:t>The off-site landscaping plan would include details of plant species to be used and a timetable for implementation of the landscaping works, including maintaining the landscaping for a period of at least two years.</w:t>
            </w:r>
            <w:r w:rsidR="00E92A7C" w:rsidRPr="00D31716">
              <w:t xml:space="preserve"> Evidence that the landscaping has been maintained </w:t>
            </w:r>
            <w:r w:rsidR="00395CE5">
              <w:t>would</w:t>
            </w:r>
            <w:r w:rsidR="00E92A7C" w:rsidRPr="00D31716">
              <w:t xml:space="preserve"> be provided to Moyne Shire Council for signoff that this condition has been satisfied.</w:t>
            </w:r>
          </w:p>
        </w:tc>
        <w:tc>
          <w:tcPr>
            <w:tcW w:w="546" w:type="pct"/>
          </w:tcPr>
          <w:p w14:paraId="07DBDF49" w14:textId="2F90B45F" w:rsidR="00397857" w:rsidRPr="0040395D" w:rsidRDefault="00E92A7C" w:rsidP="00397857">
            <w:pPr>
              <w:pStyle w:val="TableText"/>
            </w:pPr>
            <w:r>
              <w:t>Construction and operation</w:t>
            </w:r>
          </w:p>
        </w:tc>
      </w:tr>
      <w:tr w:rsidR="00397857" w:rsidRPr="0040395D" w14:paraId="5F77F7A1" w14:textId="77777777" w:rsidTr="00A47875">
        <w:trPr>
          <w:cantSplit/>
        </w:trPr>
        <w:tc>
          <w:tcPr>
            <w:tcW w:w="576" w:type="pct"/>
          </w:tcPr>
          <w:p w14:paraId="56FB0264" w14:textId="77777777" w:rsidR="00397857" w:rsidRPr="0040395D" w:rsidRDefault="00397857" w:rsidP="00397857">
            <w:pPr>
              <w:pStyle w:val="TableText"/>
            </w:pPr>
            <w:r w:rsidRPr="0040395D">
              <w:t>LV04</w:t>
            </w:r>
          </w:p>
        </w:tc>
        <w:tc>
          <w:tcPr>
            <w:tcW w:w="3878" w:type="pct"/>
          </w:tcPr>
          <w:p w14:paraId="7697A13F" w14:textId="77777777" w:rsidR="00397857" w:rsidRPr="0040395D" w:rsidRDefault="00397857" w:rsidP="00397857">
            <w:pPr>
              <w:pStyle w:val="TableText"/>
            </w:pPr>
            <w:r w:rsidRPr="0040395D">
              <w:t xml:space="preserve">If aviation obstacle lighting or lighting of other on-site facilities is required, lighting should be installed as per the requirements of Australian Standard </w:t>
            </w:r>
            <w:r w:rsidRPr="0042481B">
              <w:rPr>
                <w:i/>
                <w:iCs/>
              </w:rPr>
              <w:t>AS 4282: Control of the obtrusive effects of outdoor lighting</w:t>
            </w:r>
            <w:r w:rsidRPr="0040395D">
              <w:t xml:space="preserve">. These measures include: </w:t>
            </w:r>
          </w:p>
          <w:p w14:paraId="3211F5CF" w14:textId="77777777" w:rsidR="00397857" w:rsidRPr="0040395D" w:rsidRDefault="00397857" w:rsidP="00071A1A">
            <w:pPr>
              <w:pStyle w:val="TableBullet1"/>
            </w:pPr>
            <w:r w:rsidRPr="0040395D">
              <w:t xml:space="preserve">ensuring lighting is baffled and directed to the ground </w:t>
            </w:r>
          </w:p>
          <w:p w14:paraId="760FCCDB" w14:textId="759FED1E" w:rsidR="00397857" w:rsidRPr="0040395D" w:rsidRDefault="00397857" w:rsidP="00071A1A">
            <w:pPr>
              <w:pStyle w:val="TableBullet1"/>
            </w:pPr>
            <w:r w:rsidRPr="0040395D">
              <w:t xml:space="preserve">installing motion-trigger mechanisms to reduce the duration of lighting </w:t>
            </w:r>
          </w:p>
          <w:p w14:paraId="5732D269" w14:textId="77777777" w:rsidR="00397857" w:rsidRPr="0040395D" w:rsidRDefault="00397857" w:rsidP="00071A1A">
            <w:pPr>
              <w:pStyle w:val="TableBullet1"/>
            </w:pPr>
            <w:r w:rsidRPr="0040395D">
              <w:t>installing perimeter landscaping to intervene in views to lighting from identified sensitive receptors (residential dwellings).</w:t>
            </w:r>
          </w:p>
        </w:tc>
        <w:tc>
          <w:tcPr>
            <w:tcW w:w="546" w:type="pct"/>
          </w:tcPr>
          <w:p w14:paraId="53BEF2DD" w14:textId="4937B209" w:rsidR="00397857" w:rsidRPr="0040395D" w:rsidRDefault="002220A8" w:rsidP="00397857">
            <w:pPr>
              <w:pStyle w:val="TableText"/>
            </w:pPr>
            <w:r>
              <w:t>Operation</w:t>
            </w:r>
          </w:p>
        </w:tc>
      </w:tr>
      <w:tr w:rsidR="00397857" w:rsidRPr="0040395D" w14:paraId="43B76E9F" w14:textId="77777777" w:rsidTr="00375C7D">
        <w:trPr>
          <w:cantSplit/>
        </w:trPr>
        <w:tc>
          <w:tcPr>
            <w:tcW w:w="5000" w:type="pct"/>
            <w:gridSpan w:val="3"/>
            <w:shd w:val="clear" w:color="auto" w:fill="E6EFE1"/>
          </w:tcPr>
          <w:p w14:paraId="1863B22F" w14:textId="77777777" w:rsidR="00397857" w:rsidRPr="0040395D" w:rsidRDefault="00397857" w:rsidP="00071A1A">
            <w:pPr>
              <w:pStyle w:val="TableText"/>
              <w:keepNext/>
              <w:rPr>
                <w:b/>
                <w:i/>
              </w:rPr>
            </w:pPr>
            <w:r w:rsidRPr="0040395D">
              <w:rPr>
                <w:b/>
                <w:i/>
              </w:rPr>
              <w:t>Traffic and transport</w:t>
            </w:r>
          </w:p>
        </w:tc>
      </w:tr>
      <w:tr w:rsidR="00397857" w:rsidRPr="0040395D" w14:paraId="5D2B4971" w14:textId="77777777" w:rsidTr="00A47875">
        <w:trPr>
          <w:cantSplit/>
        </w:trPr>
        <w:tc>
          <w:tcPr>
            <w:tcW w:w="576" w:type="pct"/>
          </w:tcPr>
          <w:p w14:paraId="6F1B906B" w14:textId="6F000442" w:rsidR="00397857" w:rsidRPr="0040395D" w:rsidRDefault="00397857" w:rsidP="00071A1A">
            <w:pPr>
              <w:pStyle w:val="TableText"/>
              <w:keepNext/>
            </w:pPr>
            <w:r w:rsidRPr="0040395D">
              <w:t>T</w:t>
            </w:r>
            <w:r w:rsidR="008B3C9D">
              <w:t>T</w:t>
            </w:r>
            <w:r w:rsidRPr="0040395D">
              <w:t>01</w:t>
            </w:r>
          </w:p>
        </w:tc>
        <w:tc>
          <w:tcPr>
            <w:tcW w:w="3878" w:type="pct"/>
          </w:tcPr>
          <w:p w14:paraId="0F803DBA" w14:textId="44C62E67" w:rsidR="00397857" w:rsidRPr="0040395D" w:rsidRDefault="00397857" w:rsidP="00397857">
            <w:pPr>
              <w:pStyle w:val="TableText"/>
            </w:pPr>
            <w:r w:rsidRPr="0040395D">
              <w:t>Before development starts, a Traffic Management Plan must be prepared in consultation with Moyne Shire Council and the Department of Transport (Regional Roads Victoria)</w:t>
            </w:r>
            <w:r w:rsidR="00B12467">
              <w:t>,</w:t>
            </w:r>
            <w:r w:rsidR="00B12467" w:rsidRPr="007C51AE">
              <w:t xml:space="preserve"> and to their satisfaction.</w:t>
            </w:r>
            <w:r w:rsidRPr="0040395D">
              <w:t xml:space="preserve"> </w:t>
            </w:r>
          </w:p>
        </w:tc>
        <w:tc>
          <w:tcPr>
            <w:tcW w:w="546" w:type="pct"/>
          </w:tcPr>
          <w:p w14:paraId="45CCCEEE" w14:textId="77777777" w:rsidR="00397857" w:rsidRPr="0040395D" w:rsidRDefault="00397857" w:rsidP="00397857">
            <w:pPr>
              <w:pStyle w:val="TableText"/>
            </w:pPr>
            <w:r w:rsidRPr="0040395D">
              <w:t>Design</w:t>
            </w:r>
          </w:p>
        </w:tc>
      </w:tr>
      <w:tr w:rsidR="00397857" w:rsidRPr="0040395D" w14:paraId="76D0B89C" w14:textId="77777777" w:rsidTr="00A47875">
        <w:trPr>
          <w:cantSplit/>
        </w:trPr>
        <w:tc>
          <w:tcPr>
            <w:tcW w:w="576" w:type="pct"/>
          </w:tcPr>
          <w:p w14:paraId="60AD4ABE" w14:textId="1F8223EE" w:rsidR="00397857" w:rsidRPr="0040395D" w:rsidRDefault="00397857" w:rsidP="00397857">
            <w:pPr>
              <w:pStyle w:val="TableText"/>
            </w:pPr>
            <w:r w:rsidRPr="0040395D">
              <w:t>T</w:t>
            </w:r>
            <w:r w:rsidR="008B3C9D">
              <w:t>T</w:t>
            </w:r>
            <w:r w:rsidRPr="0040395D">
              <w:t>02</w:t>
            </w:r>
          </w:p>
        </w:tc>
        <w:tc>
          <w:tcPr>
            <w:tcW w:w="3878" w:type="pct"/>
          </w:tcPr>
          <w:p w14:paraId="73193AEE" w14:textId="346A66DA" w:rsidR="00397857" w:rsidRPr="0040395D" w:rsidRDefault="00397857" w:rsidP="00397857">
            <w:pPr>
              <w:pStyle w:val="TableText"/>
            </w:pPr>
            <w:r w:rsidRPr="0040395D">
              <w:t xml:space="preserve">The project would upgrade and widen sections of Woolsthorpe-Heywood Road and local roads within the project </w:t>
            </w:r>
            <w:r w:rsidR="00C71225">
              <w:t>site</w:t>
            </w:r>
            <w:r w:rsidR="00C71225" w:rsidRPr="0040395D">
              <w:t xml:space="preserve"> </w:t>
            </w:r>
            <w:r w:rsidRPr="0040395D">
              <w:t>to the applicable Department of Transport</w:t>
            </w:r>
            <w:r w:rsidR="00B12467">
              <w:t xml:space="preserve"> </w:t>
            </w:r>
            <w:r w:rsidRPr="0040395D">
              <w:t>/ Moyne Shire Council standards.</w:t>
            </w:r>
          </w:p>
        </w:tc>
        <w:tc>
          <w:tcPr>
            <w:tcW w:w="546" w:type="pct"/>
          </w:tcPr>
          <w:p w14:paraId="29F6A97C" w14:textId="54DC5417" w:rsidR="00397857" w:rsidRPr="0040395D" w:rsidRDefault="00256ACF" w:rsidP="00397857">
            <w:pPr>
              <w:pStyle w:val="TableText"/>
            </w:pPr>
            <w:r>
              <w:t>Pre-construction</w:t>
            </w:r>
          </w:p>
        </w:tc>
      </w:tr>
      <w:tr w:rsidR="00397857" w:rsidRPr="0040395D" w14:paraId="4BCC397D" w14:textId="77777777" w:rsidTr="00A47875">
        <w:trPr>
          <w:cantSplit/>
        </w:trPr>
        <w:tc>
          <w:tcPr>
            <w:tcW w:w="576" w:type="pct"/>
          </w:tcPr>
          <w:p w14:paraId="40472C36" w14:textId="7DB8036D" w:rsidR="00397857" w:rsidRPr="0040395D" w:rsidRDefault="00397857" w:rsidP="00397857">
            <w:pPr>
              <w:pStyle w:val="TableText"/>
            </w:pPr>
            <w:r w:rsidRPr="0040395D">
              <w:t>T</w:t>
            </w:r>
            <w:r w:rsidR="008B3C9D">
              <w:t>T</w:t>
            </w:r>
            <w:r w:rsidRPr="0040395D">
              <w:t>03</w:t>
            </w:r>
          </w:p>
        </w:tc>
        <w:tc>
          <w:tcPr>
            <w:tcW w:w="3878" w:type="pct"/>
          </w:tcPr>
          <w:p w14:paraId="0577F10F" w14:textId="1DE559F0" w:rsidR="00397857" w:rsidRPr="0040395D" w:rsidRDefault="00397857" w:rsidP="00397857">
            <w:pPr>
              <w:pStyle w:val="TableText"/>
            </w:pPr>
            <w:r w:rsidRPr="0040395D">
              <w:t xml:space="preserve">Site access gates would be designed and constructed in accordance with VicRoads </w:t>
            </w:r>
            <w:r w:rsidRPr="00EE3EAC">
              <w:rPr>
                <w:i/>
                <w:iCs/>
              </w:rPr>
              <w:t>Type B – ‘Truck Access to Rural Property’</w:t>
            </w:r>
            <w:r w:rsidR="00071A1A">
              <w:t>.</w:t>
            </w:r>
          </w:p>
        </w:tc>
        <w:tc>
          <w:tcPr>
            <w:tcW w:w="546" w:type="pct"/>
          </w:tcPr>
          <w:p w14:paraId="65676CF7" w14:textId="58A2CA4B" w:rsidR="00397857" w:rsidRPr="0040395D" w:rsidRDefault="00397857" w:rsidP="00397857">
            <w:pPr>
              <w:pStyle w:val="TableText"/>
            </w:pPr>
            <w:r w:rsidRPr="0040395D">
              <w:t>Design</w:t>
            </w:r>
            <w:r w:rsidR="002220A8">
              <w:t xml:space="preserve"> and c</w:t>
            </w:r>
            <w:r w:rsidRPr="0040395D">
              <w:t>onstruction</w:t>
            </w:r>
          </w:p>
        </w:tc>
      </w:tr>
      <w:tr w:rsidR="00397857" w:rsidRPr="0040395D" w14:paraId="53283008" w14:textId="77777777" w:rsidTr="00A47875">
        <w:trPr>
          <w:cantSplit/>
        </w:trPr>
        <w:tc>
          <w:tcPr>
            <w:tcW w:w="576" w:type="pct"/>
          </w:tcPr>
          <w:p w14:paraId="74C6509D" w14:textId="38B0BA15" w:rsidR="00397857" w:rsidRPr="0040395D" w:rsidRDefault="00397857" w:rsidP="00397857">
            <w:pPr>
              <w:pStyle w:val="TableText"/>
            </w:pPr>
            <w:r w:rsidRPr="0040395D">
              <w:t>T</w:t>
            </w:r>
            <w:r w:rsidR="008B3C9D">
              <w:t>T</w:t>
            </w:r>
            <w:r w:rsidRPr="0040395D">
              <w:t>04</w:t>
            </w:r>
          </w:p>
        </w:tc>
        <w:tc>
          <w:tcPr>
            <w:tcW w:w="3878" w:type="pct"/>
          </w:tcPr>
          <w:p w14:paraId="770F9FED" w14:textId="7360BB79" w:rsidR="00397857" w:rsidRPr="0040395D" w:rsidRDefault="00397857" w:rsidP="00397857">
            <w:pPr>
              <w:pStyle w:val="TableText"/>
            </w:pPr>
            <w:r w:rsidRPr="0040395D">
              <w:t>Prior to mobilising any over size and over mass vehicles from the Port of Portland to the project site, temporary infrastructure works must be designed in consultation with, and completed to the satisfaction of, the Department of Transport (Regional Roads Victoria)</w:t>
            </w:r>
            <w:r w:rsidR="00B12467">
              <w:t>.</w:t>
            </w:r>
          </w:p>
        </w:tc>
        <w:tc>
          <w:tcPr>
            <w:tcW w:w="546" w:type="pct"/>
          </w:tcPr>
          <w:p w14:paraId="2D7741E8" w14:textId="77777777" w:rsidR="00397857" w:rsidRPr="0040395D" w:rsidRDefault="00397857" w:rsidP="00397857">
            <w:pPr>
              <w:pStyle w:val="TableText"/>
            </w:pPr>
            <w:r w:rsidRPr="0040395D">
              <w:t>Construction</w:t>
            </w:r>
          </w:p>
        </w:tc>
      </w:tr>
      <w:tr w:rsidR="00256ACF" w:rsidRPr="0040395D" w14:paraId="3A598965" w14:textId="77777777" w:rsidTr="00A47875">
        <w:trPr>
          <w:cantSplit/>
        </w:trPr>
        <w:tc>
          <w:tcPr>
            <w:tcW w:w="576" w:type="pct"/>
          </w:tcPr>
          <w:p w14:paraId="47C77913" w14:textId="600789FE" w:rsidR="00256ACF" w:rsidRPr="0040395D" w:rsidRDefault="00256ACF" w:rsidP="00256ACF">
            <w:pPr>
              <w:pStyle w:val="TableText"/>
            </w:pPr>
            <w:r w:rsidRPr="0040395D">
              <w:t>T</w:t>
            </w:r>
            <w:r w:rsidR="008B3C9D">
              <w:t>T</w:t>
            </w:r>
            <w:r w:rsidRPr="0040395D">
              <w:t>05</w:t>
            </w:r>
          </w:p>
        </w:tc>
        <w:tc>
          <w:tcPr>
            <w:tcW w:w="3878" w:type="pct"/>
          </w:tcPr>
          <w:p w14:paraId="4A7CA365" w14:textId="77777777" w:rsidR="00256ACF" w:rsidRPr="0040395D" w:rsidRDefault="00256ACF" w:rsidP="00256ACF">
            <w:pPr>
              <w:pStyle w:val="TableText"/>
            </w:pPr>
            <w:r w:rsidRPr="0040395D">
              <w:t>Prior to construction a community engagement strategy would be established to identify and consult affected and interested stakeholders.</w:t>
            </w:r>
          </w:p>
        </w:tc>
        <w:tc>
          <w:tcPr>
            <w:tcW w:w="546" w:type="pct"/>
          </w:tcPr>
          <w:p w14:paraId="2A953D33" w14:textId="3FB5089E" w:rsidR="00256ACF" w:rsidRPr="00EE3EAC" w:rsidRDefault="00256ACF" w:rsidP="00256ACF">
            <w:pPr>
              <w:pStyle w:val="TableText"/>
              <w:rPr>
                <w:highlight w:val="yellow"/>
              </w:rPr>
            </w:pPr>
            <w:r w:rsidRPr="007B758E">
              <w:t>Pre-construction</w:t>
            </w:r>
          </w:p>
        </w:tc>
      </w:tr>
      <w:tr w:rsidR="00C71225" w:rsidRPr="0040395D" w14:paraId="0AA9D407" w14:textId="77777777" w:rsidTr="00A47875">
        <w:trPr>
          <w:cantSplit/>
        </w:trPr>
        <w:tc>
          <w:tcPr>
            <w:tcW w:w="576" w:type="pct"/>
          </w:tcPr>
          <w:p w14:paraId="519A6631" w14:textId="20132C07" w:rsidR="00C71225" w:rsidRPr="0040395D" w:rsidRDefault="00C71225" w:rsidP="00256ACF">
            <w:pPr>
              <w:pStyle w:val="TableText"/>
            </w:pPr>
            <w:r w:rsidRPr="0040395D">
              <w:t>T</w:t>
            </w:r>
            <w:r>
              <w:t>T</w:t>
            </w:r>
            <w:r w:rsidRPr="0040395D">
              <w:t>06</w:t>
            </w:r>
          </w:p>
        </w:tc>
        <w:tc>
          <w:tcPr>
            <w:tcW w:w="3878" w:type="pct"/>
          </w:tcPr>
          <w:p w14:paraId="2B4F33BA" w14:textId="540D80F4" w:rsidR="00C71225" w:rsidRPr="0040395D" w:rsidRDefault="00C71225" w:rsidP="00256ACF">
            <w:pPr>
              <w:pStyle w:val="TableText"/>
            </w:pPr>
            <w:r>
              <w:t>Road management agreements to remove external redundant infrastructure.</w:t>
            </w:r>
          </w:p>
        </w:tc>
        <w:tc>
          <w:tcPr>
            <w:tcW w:w="546" w:type="pct"/>
          </w:tcPr>
          <w:p w14:paraId="18803CD1" w14:textId="4903F80A" w:rsidR="00C71225" w:rsidRPr="007B758E" w:rsidRDefault="00C71225" w:rsidP="00256ACF">
            <w:pPr>
              <w:pStyle w:val="TableText"/>
            </w:pPr>
            <w:r w:rsidRPr="0040395D">
              <w:t>Construction</w:t>
            </w:r>
            <w:r>
              <w:t xml:space="preserve"> and decommissioning</w:t>
            </w:r>
          </w:p>
        </w:tc>
      </w:tr>
      <w:tr w:rsidR="00C71225" w:rsidRPr="0040395D" w14:paraId="654C40D7" w14:textId="77777777" w:rsidTr="00A47875">
        <w:trPr>
          <w:cantSplit/>
        </w:trPr>
        <w:tc>
          <w:tcPr>
            <w:tcW w:w="576" w:type="pct"/>
          </w:tcPr>
          <w:p w14:paraId="17F8C68E" w14:textId="16489EFB" w:rsidR="00C71225" w:rsidRPr="0040395D" w:rsidRDefault="00C71225" w:rsidP="00C71225">
            <w:pPr>
              <w:pStyle w:val="TableText"/>
            </w:pPr>
            <w:r w:rsidRPr="0040395D">
              <w:t>T</w:t>
            </w:r>
            <w:r>
              <w:t>T</w:t>
            </w:r>
            <w:r w:rsidRPr="0040395D">
              <w:t>07</w:t>
            </w:r>
          </w:p>
        </w:tc>
        <w:tc>
          <w:tcPr>
            <w:tcW w:w="3878" w:type="pct"/>
          </w:tcPr>
          <w:p w14:paraId="3DE5E76A" w14:textId="3AC770FD" w:rsidR="00C71225" w:rsidRPr="0040395D" w:rsidRDefault="00C71225" w:rsidP="00C71225">
            <w:pPr>
              <w:pStyle w:val="TableText"/>
            </w:pPr>
            <w:r w:rsidRPr="0040395D">
              <w:t>A Green Travel Plan would be established to encourage sustainable travel and to minimi</w:t>
            </w:r>
            <w:r>
              <w:t>s</w:t>
            </w:r>
            <w:r w:rsidRPr="0040395D">
              <w:t>e project traffic generation throughout the construction, operation, and decommissioning.</w:t>
            </w:r>
          </w:p>
        </w:tc>
        <w:tc>
          <w:tcPr>
            <w:tcW w:w="546" w:type="pct"/>
          </w:tcPr>
          <w:p w14:paraId="37EB9F55" w14:textId="21B40BD1" w:rsidR="00C71225" w:rsidRPr="0042481B" w:rsidRDefault="00C71225" w:rsidP="00C71225">
            <w:pPr>
              <w:pStyle w:val="TableText"/>
              <w:rPr>
                <w:highlight w:val="yellow"/>
              </w:rPr>
            </w:pPr>
            <w:r w:rsidRPr="007B758E">
              <w:t>Pre-construction</w:t>
            </w:r>
          </w:p>
        </w:tc>
      </w:tr>
      <w:tr w:rsidR="00C71225" w:rsidRPr="0040395D" w14:paraId="462B4769" w14:textId="77777777" w:rsidTr="00A47875">
        <w:trPr>
          <w:cantSplit/>
        </w:trPr>
        <w:tc>
          <w:tcPr>
            <w:tcW w:w="576" w:type="pct"/>
          </w:tcPr>
          <w:p w14:paraId="39606474" w14:textId="3A7A7DA6" w:rsidR="00C71225" w:rsidRPr="0040395D" w:rsidRDefault="00C71225" w:rsidP="00C71225">
            <w:pPr>
              <w:pStyle w:val="TableText"/>
            </w:pPr>
            <w:r w:rsidRPr="0040395D">
              <w:t>T</w:t>
            </w:r>
            <w:r>
              <w:t>T</w:t>
            </w:r>
            <w:r w:rsidRPr="0040395D">
              <w:t>08</w:t>
            </w:r>
          </w:p>
        </w:tc>
        <w:tc>
          <w:tcPr>
            <w:tcW w:w="3878" w:type="pct"/>
          </w:tcPr>
          <w:p w14:paraId="41FA82A5" w14:textId="41ED8316" w:rsidR="00C71225" w:rsidRPr="0040395D" w:rsidRDefault="00C71225" w:rsidP="00C71225">
            <w:pPr>
              <w:pStyle w:val="TableText"/>
            </w:pPr>
            <w:r w:rsidRPr="0040395D">
              <w:t>Design and construct an internal network of access tracks to minimise the volumes of project traffic on public roads</w:t>
            </w:r>
            <w:r>
              <w:t>.</w:t>
            </w:r>
          </w:p>
        </w:tc>
        <w:tc>
          <w:tcPr>
            <w:tcW w:w="546" w:type="pct"/>
          </w:tcPr>
          <w:p w14:paraId="4272B8E0" w14:textId="6AF69CE2" w:rsidR="00C71225" w:rsidRPr="0040395D" w:rsidRDefault="00C71225" w:rsidP="00C71225">
            <w:pPr>
              <w:pStyle w:val="TableText"/>
            </w:pPr>
            <w:r w:rsidRPr="0040395D">
              <w:t>Design</w:t>
            </w:r>
            <w:r>
              <w:t xml:space="preserve"> and c</w:t>
            </w:r>
            <w:r w:rsidRPr="0040395D">
              <w:t>onstruction</w:t>
            </w:r>
          </w:p>
        </w:tc>
      </w:tr>
      <w:tr w:rsidR="00C71225" w:rsidRPr="0040395D" w14:paraId="6F406C43" w14:textId="77777777" w:rsidTr="00A47875">
        <w:trPr>
          <w:cantSplit/>
        </w:trPr>
        <w:tc>
          <w:tcPr>
            <w:tcW w:w="576" w:type="pct"/>
          </w:tcPr>
          <w:p w14:paraId="055F5F6A" w14:textId="4E4D97DE" w:rsidR="00C71225" w:rsidRPr="0040395D" w:rsidRDefault="00C71225" w:rsidP="00C71225">
            <w:pPr>
              <w:pStyle w:val="TableText"/>
            </w:pPr>
            <w:r w:rsidRPr="0040395D">
              <w:t>T</w:t>
            </w:r>
            <w:r>
              <w:t>T</w:t>
            </w:r>
            <w:r w:rsidRPr="0040395D">
              <w:t>09</w:t>
            </w:r>
          </w:p>
        </w:tc>
        <w:tc>
          <w:tcPr>
            <w:tcW w:w="3878" w:type="pct"/>
          </w:tcPr>
          <w:p w14:paraId="36DC17EF" w14:textId="00F29D1C" w:rsidR="00C71225" w:rsidRPr="0040395D" w:rsidRDefault="00C71225" w:rsidP="00C71225">
            <w:pPr>
              <w:pStyle w:val="TableText"/>
            </w:pPr>
            <w:r w:rsidRPr="007C51AE">
              <w:t xml:space="preserve">Prior to construction road maintenance and management agreements would be established with Moyne Shire Council for local roads relied on by </w:t>
            </w:r>
            <w:r>
              <w:t xml:space="preserve">the </w:t>
            </w:r>
            <w:r w:rsidRPr="007C51AE">
              <w:t>project during construction. This would include a requirement to remove external redundant transport project infrastructure on local roads.</w:t>
            </w:r>
          </w:p>
        </w:tc>
        <w:tc>
          <w:tcPr>
            <w:tcW w:w="546" w:type="pct"/>
          </w:tcPr>
          <w:p w14:paraId="348F0F08" w14:textId="53C37EEA" w:rsidR="00C71225" w:rsidRPr="0042481B" w:rsidRDefault="00C71225" w:rsidP="00C71225">
            <w:pPr>
              <w:pStyle w:val="TableText"/>
              <w:rPr>
                <w:highlight w:val="yellow"/>
              </w:rPr>
            </w:pPr>
            <w:r w:rsidRPr="00296FEE">
              <w:t>Pre-construction</w:t>
            </w:r>
          </w:p>
        </w:tc>
      </w:tr>
      <w:tr w:rsidR="00C71225" w:rsidRPr="0040395D" w14:paraId="47F48A79" w14:textId="77777777" w:rsidTr="00A47875">
        <w:trPr>
          <w:cantSplit/>
        </w:trPr>
        <w:tc>
          <w:tcPr>
            <w:tcW w:w="576" w:type="pct"/>
          </w:tcPr>
          <w:p w14:paraId="158635B0" w14:textId="276A0899" w:rsidR="00C71225" w:rsidRPr="0040395D" w:rsidRDefault="00C71225" w:rsidP="00C71225">
            <w:pPr>
              <w:pStyle w:val="TableText"/>
            </w:pPr>
            <w:r w:rsidRPr="0040395D">
              <w:t>T</w:t>
            </w:r>
            <w:r>
              <w:t>T</w:t>
            </w:r>
            <w:r w:rsidRPr="0040395D">
              <w:t>10</w:t>
            </w:r>
          </w:p>
        </w:tc>
        <w:tc>
          <w:tcPr>
            <w:tcW w:w="3878" w:type="pct"/>
          </w:tcPr>
          <w:p w14:paraId="58C6516A" w14:textId="0C98D6AA" w:rsidR="00C71225" w:rsidRPr="0040395D" w:rsidRDefault="00C71225" w:rsidP="00C71225">
            <w:pPr>
              <w:pStyle w:val="TableText"/>
            </w:pPr>
            <w:r w:rsidRPr="0040395D">
              <w:t xml:space="preserve">Prior to construction road maintenance and management agreements would be established with Department of Transport for the maintenance of shoulders along the single width seal sections of Woolsthorpe-Heywood Road west of the project </w:t>
            </w:r>
            <w:r>
              <w:t>site</w:t>
            </w:r>
            <w:r w:rsidRPr="0040395D">
              <w:t xml:space="preserve"> for the duration of turbine component (over size and over mass) haulage operations. This would include a requirement to remove external redundant transport project infrastructure on arterial roads managed by the Department of Transport.</w:t>
            </w:r>
          </w:p>
        </w:tc>
        <w:tc>
          <w:tcPr>
            <w:tcW w:w="546" w:type="pct"/>
          </w:tcPr>
          <w:p w14:paraId="4B2E3D5A" w14:textId="56446554" w:rsidR="00C71225" w:rsidRPr="0042481B" w:rsidRDefault="00C71225" w:rsidP="00C71225">
            <w:pPr>
              <w:pStyle w:val="TableText"/>
              <w:rPr>
                <w:highlight w:val="yellow"/>
              </w:rPr>
            </w:pPr>
            <w:r w:rsidRPr="00296FEE">
              <w:t>Pre-construction</w:t>
            </w:r>
          </w:p>
        </w:tc>
      </w:tr>
      <w:tr w:rsidR="00C71225" w:rsidRPr="0040395D" w14:paraId="139B606C" w14:textId="77777777" w:rsidTr="00A47875">
        <w:trPr>
          <w:cantSplit/>
        </w:trPr>
        <w:tc>
          <w:tcPr>
            <w:tcW w:w="576" w:type="pct"/>
          </w:tcPr>
          <w:p w14:paraId="0B712990" w14:textId="7EB8DA95" w:rsidR="00C71225" w:rsidRPr="0040395D" w:rsidRDefault="00C71225" w:rsidP="00C71225">
            <w:pPr>
              <w:pStyle w:val="TableText"/>
            </w:pPr>
            <w:r w:rsidRPr="0040395D">
              <w:t>T</w:t>
            </w:r>
            <w:r>
              <w:t>T</w:t>
            </w:r>
            <w:r w:rsidRPr="0040395D">
              <w:t>11</w:t>
            </w:r>
          </w:p>
        </w:tc>
        <w:tc>
          <w:tcPr>
            <w:tcW w:w="3878" w:type="pct"/>
          </w:tcPr>
          <w:p w14:paraId="0F54387B" w14:textId="1F07B27E" w:rsidR="00C71225" w:rsidRPr="0040395D" w:rsidRDefault="00C71225" w:rsidP="00C71225">
            <w:pPr>
              <w:pStyle w:val="TableText"/>
            </w:pPr>
            <w:r w:rsidRPr="0040395D">
              <w:t>Material haulage routes to rely on higher order roads and/or routes gazetted as appropriate to cater for the types of traffic generated by the project. Lower order roads are to be avoided.</w:t>
            </w:r>
          </w:p>
        </w:tc>
        <w:tc>
          <w:tcPr>
            <w:tcW w:w="546" w:type="pct"/>
          </w:tcPr>
          <w:p w14:paraId="2D077EE2" w14:textId="418DACD3" w:rsidR="00C71225" w:rsidRPr="0040395D" w:rsidRDefault="00C71225" w:rsidP="00C71225">
            <w:pPr>
              <w:pStyle w:val="TableText"/>
            </w:pPr>
            <w:r w:rsidRPr="0040395D">
              <w:t>Design</w:t>
            </w:r>
            <w:r>
              <w:t xml:space="preserve"> and c</w:t>
            </w:r>
            <w:r w:rsidRPr="0040395D">
              <w:t>onstruction</w:t>
            </w:r>
          </w:p>
        </w:tc>
      </w:tr>
      <w:tr w:rsidR="00C71225" w:rsidRPr="0040395D" w14:paraId="55283BB4" w14:textId="77777777" w:rsidTr="00A47875">
        <w:trPr>
          <w:cantSplit/>
        </w:trPr>
        <w:tc>
          <w:tcPr>
            <w:tcW w:w="576" w:type="pct"/>
          </w:tcPr>
          <w:p w14:paraId="4ACECB2D" w14:textId="6EDA9A49" w:rsidR="00C71225" w:rsidRPr="0040395D" w:rsidRDefault="00C71225" w:rsidP="00C71225">
            <w:pPr>
              <w:pStyle w:val="TableText"/>
            </w:pPr>
            <w:r>
              <w:t>TT12</w:t>
            </w:r>
          </w:p>
        </w:tc>
        <w:tc>
          <w:tcPr>
            <w:tcW w:w="3878" w:type="pct"/>
          </w:tcPr>
          <w:p w14:paraId="7A55632C" w14:textId="77777777" w:rsidR="00C71225" w:rsidRPr="0040395D" w:rsidRDefault="00C71225" w:rsidP="00C71225">
            <w:pPr>
              <w:pStyle w:val="TableText"/>
            </w:pPr>
            <w:r w:rsidRPr="0040395D">
              <w:t xml:space="preserve">Before construction commences, local and regional schools would be consulted for current bus timetables on the relevant construction traffic routes. </w:t>
            </w:r>
          </w:p>
          <w:p w14:paraId="38CA896B" w14:textId="0906CA93" w:rsidR="00C71225" w:rsidRPr="0040395D" w:rsidRDefault="00C71225" w:rsidP="00C71225">
            <w:pPr>
              <w:pStyle w:val="TableText"/>
            </w:pPr>
            <w:r w:rsidRPr="0040395D">
              <w:t xml:space="preserve">Suitable windows of inactivity (curfew times) would be arranged in agreement with the relevant schools and Moyne Shire Council, which applies to both </w:t>
            </w:r>
            <w:r>
              <w:t>h</w:t>
            </w:r>
            <w:r w:rsidRPr="0040395D">
              <w:t xml:space="preserve">eavy </w:t>
            </w:r>
            <w:r>
              <w:t>v</w:t>
            </w:r>
            <w:r w:rsidRPr="0040395D">
              <w:t xml:space="preserve">ehicles and over size and over mass vehicle deliveries. </w:t>
            </w:r>
          </w:p>
          <w:p w14:paraId="4D06A038" w14:textId="77777777" w:rsidR="00C71225" w:rsidRPr="0040395D" w:rsidRDefault="00C71225" w:rsidP="00C71225">
            <w:pPr>
              <w:pStyle w:val="TableText"/>
            </w:pPr>
            <w:r w:rsidRPr="0040395D">
              <w:t>School bus routes would be reviewed at the beginning of each school term in consultation with the local and regional schools and Moyne Shire Council and, if required, updated windows of inactivity (curfew times) would be arranged.</w:t>
            </w:r>
          </w:p>
        </w:tc>
        <w:tc>
          <w:tcPr>
            <w:tcW w:w="546" w:type="pct"/>
          </w:tcPr>
          <w:p w14:paraId="123D4FBA" w14:textId="77777777" w:rsidR="00C71225" w:rsidRPr="0040395D" w:rsidRDefault="00C71225" w:rsidP="00C71225">
            <w:pPr>
              <w:pStyle w:val="TableText"/>
            </w:pPr>
            <w:r w:rsidRPr="0040395D">
              <w:t>Design</w:t>
            </w:r>
          </w:p>
        </w:tc>
      </w:tr>
      <w:tr w:rsidR="00C71225" w:rsidRPr="0040395D" w14:paraId="7B295362" w14:textId="77777777" w:rsidTr="00375C7D">
        <w:trPr>
          <w:cantSplit/>
        </w:trPr>
        <w:tc>
          <w:tcPr>
            <w:tcW w:w="5000" w:type="pct"/>
            <w:gridSpan w:val="3"/>
            <w:shd w:val="clear" w:color="auto" w:fill="E6EFE1"/>
          </w:tcPr>
          <w:p w14:paraId="03875DE2" w14:textId="77777777" w:rsidR="00C71225" w:rsidRPr="0040395D" w:rsidRDefault="00C71225" w:rsidP="00C71225">
            <w:pPr>
              <w:pStyle w:val="TableText"/>
              <w:keepNext/>
              <w:rPr>
                <w:b/>
                <w:i/>
              </w:rPr>
            </w:pPr>
            <w:r w:rsidRPr="0040395D">
              <w:rPr>
                <w:b/>
                <w:i/>
              </w:rPr>
              <w:t>Land use and planning</w:t>
            </w:r>
          </w:p>
        </w:tc>
      </w:tr>
      <w:tr w:rsidR="00C71225" w:rsidRPr="0040395D" w14:paraId="38785C06" w14:textId="77777777" w:rsidTr="00A47875">
        <w:trPr>
          <w:cantSplit/>
        </w:trPr>
        <w:tc>
          <w:tcPr>
            <w:tcW w:w="576" w:type="pct"/>
          </w:tcPr>
          <w:p w14:paraId="7DFC0577" w14:textId="2DD10503" w:rsidR="00C71225" w:rsidRPr="0040395D" w:rsidRDefault="00C71225" w:rsidP="00C71225">
            <w:pPr>
              <w:pStyle w:val="TableText"/>
            </w:pPr>
            <w:r w:rsidRPr="0040395D">
              <w:t>LP0</w:t>
            </w:r>
            <w:r>
              <w:t>1</w:t>
            </w:r>
          </w:p>
        </w:tc>
        <w:tc>
          <w:tcPr>
            <w:tcW w:w="3878" w:type="pct"/>
          </w:tcPr>
          <w:p w14:paraId="486AA708" w14:textId="1DC977E5" w:rsidR="00C71225" w:rsidRPr="0040395D" w:rsidRDefault="00C71225" w:rsidP="00C71225">
            <w:pPr>
              <w:pStyle w:val="TableText"/>
            </w:pPr>
            <w:r w:rsidRPr="0040395D">
              <w:t>Micro</w:t>
            </w:r>
            <w:r>
              <w:t>-</w:t>
            </w:r>
            <w:r w:rsidRPr="0040395D">
              <w:t>siting of wind turbines would occur in accordance with permit requirement and landowner consent.</w:t>
            </w:r>
          </w:p>
        </w:tc>
        <w:tc>
          <w:tcPr>
            <w:tcW w:w="546" w:type="pct"/>
          </w:tcPr>
          <w:p w14:paraId="3E96C109" w14:textId="77777777" w:rsidR="00C71225" w:rsidRPr="0040395D" w:rsidRDefault="00C71225" w:rsidP="00C71225">
            <w:pPr>
              <w:pStyle w:val="TableText"/>
            </w:pPr>
            <w:r w:rsidRPr="0040395D">
              <w:t>Design</w:t>
            </w:r>
          </w:p>
        </w:tc>
      </w:tr>
      <w:tr w:rsidR="00C71225" w:rsidRPr="0040395D" w14:paraId="722EBD3A" w14:textId="77777777" w:rsidTr="00A47875">
        <w:trPr>
          <w:cantSplit/>
        </w:trPr>
        <w:tc>
          <w:tcPr>
            <w:tcW w:w="576" w:type="pct"/>
          </w:tcPr>
          <w:p w14:paraId="7C6F1F47" w14:textId="47752543" w:rsidR="00C71225" w:rsidRPr="0040395D" w:rsidRDefault="00C71225" w:rsidP="00C71225">
            <w:pPr>
              <w:pStyle w:val="TableText"/>
            </w:pPr>
            <w:r w:rsidRPr="0040395D">
              <w:t>LP0</w:t>
            </w:r>
            <w:r>
              <w:t>2</w:t>
            </w:r>
          </w:p>
        </w:tc>
        <w:tc>
          <w:tcPr>
            <w:tcW w:w="3878" w:type="pct"/>
          </w:tcPr>
          <w:p w14:paraId="4E0FE379" w14:textId="173794B4" w:rsidR="00C71225" w:rsidRPr="0040395D" w:rsidRDefault="00C71225" w:rsidP="00C71225">
            <w:pPr>
              <w:pStyle w:val="TableText"/>
            </w:pPr>
            <w:r w:rsidRPr="0040395D">
              <w:t>Include appropriate control measures from EPA</w:t>
            </w:r>
            <w:r>
              <w:t xml:space="preserve"> Victoria</w:t>
            </w:r>
            <w:r w:rsidRPr="0040395D">
              <w:t xml:space="preserve"> Publication 1806: </w:t>
            </w:r>
            <w:r w:rsidRPr="0042481B">
              <w:rPr>
                <w:i/>
                <w:iCs/>
              </w:rPr>
              <w:t>Reducing risk in the premixed concrete industry</w:t>
            </w:r>
            <w:r w:rsidRPr="0040395D">
              <w:t xml:space="preserve"> relating to air, water, waste and noise. Follow the four-step process in the guideline to manage</w:t>
            </w:r>
            <w:r>
              <w:t xml:space="preserve"> </w:t>
            </w:r>
            <w:r w:rsidRPr="0040395D">
              <w:t>risk.</w:t>
            </w:r>
          </w:p>
        </w:tc>
        <w:tc>
          <w:tcPr>
            <w:tcW w:w="546" w:type="pct"/>
          </w:tcPr>
          <w:p w14:paraId="52967C63" w14:textId="77777777" w:rsidR="00C71225" w:rsidRPr="0040395D" w:rsidRDefault="00C71225" w:rsidP="00C71225">
            <w:pPr>
              <w:pStyle w:val="TableText"/>
            </w:pPr>
            <w:r w:rsidRPr="0040395D">
              <w:t>Construction</w:t>
            </w:r>
          </w:p>
        </w:tc>
      </w:tr>
      <w:tr w:rsidR="00C71225" w:rsidRPr="0040395D" w14:paraId="7A5CFEB2" w14:textId="77777777" w:rsidTr="00A47875">
        <w:trPr>
          <w:cantSplit/>
        </w:trPr>
        <w:tc>
          <w:tcPr>
            <w:tcW w:w="576" w:type="pct"/>
          </w:tcPr>
          <w:p w14:paraId="32695A0A" w14:textId="2813BC96" w:rsidR="00C71225" w:rsidRPr="0040395D" w:rsidRDefault="00C71225" w:rsidP="00C71225">
            <w:pPr>
              <w:pStyle w:val="TableText"/>
            </w:pPr>
            <w:r>
              <w:t>LP03</w:t>
            </w:r>
          </w:p>
        </w:tc>
        <w:tc>
          <w:tcPr>
            <w:tcW w:w="3878" w:type="pct"/>
          </w:tcPr>
          <w:p w14:paraId="558693DB" w14:textId="3AF940D5" w:rsidR="00C71225" w:rsidRDefault="00C71225" w:rsidP="00C71225">
            <w:pPr>
              <w:pStyle w:val="TableText"/>
            </w:pPr>
            <w:r>
              <w:t>A</w:t>
            </w:r>
            <w:r w:rsidRPr="002C3C60">
              <w:t xml:space="preserve"> </w:t>
            </w:r>
            <w:r>
              <w:t>Risk Management Plan, F</w:t>
            </w:r>
            <w:r w:rsidRPr="002C3C60">
              <w:t>ire Management Plan</w:t>
            </w:r>
            <w:r>
              <w:t xml:space="preserve"> and Emergency Management Plan would be prepared in accordance with the CFA’s </w:t>
            </w:r>
            <w:r>
              <w:rPr>
                <w:i/>
                <w:iCs/>
              </w:rPr>
              <w:t>Design Guidelines and Model Requirements – Renewable Energy Facilities</w:t>
            </w:r>
            <w:r>
              <w:t xml:space="preserve"> (v3, March 2022), in conjunction with the CFA, prior to commissioning.</w:t>
            </w:r>
          </w:p>
          <w:p w14:paraId="0EAFFA77" w14:textId="6927AF2C" w:rsidR="00C71225" w:rsidRPr="00961E22" w:rsidRDefault="00C71225" w:rsidP="00C71225">
            <w:pPr>
              <w:pStyle w:val="TableText"/>
            </w:pPr>
            <w:r>
              <w:t>The Fire Management Plan</w:t>
            </w:r>
            <w:r w:rsidRPr="002C3C60">
              <w:t xml:space="preserve"> would outline measures for design, defendable space, construction, water supply and access, awareness actions, preparedness levels and fire response procedures for the si</w:t>
            </w:r>
            <w:r>
              <w:t>t</w:t>
            </w:r>
            <w:r w:rsidRPr="002C3C60">
              <w:t>e to address any concerns relating to bushfire risk.</w:t>
            </w:r>
          </w:p>
        </w:tc>
        <w:tc>
          <w:tcPr>
            <w:tcW w:w="546" w:type="pct"/>
          </w:tcPr>
          <w:p w14:paraId="10286FFD" w14:textId="77777777" w:rsidR="00C71225" w:rsidRPr="0040395D" w:rsidRDefault="00C71225" w:rsidP="00C71225">
            <w:pPr>
              <w:pStyle w:val="TableText"/>
            </w:pPr>
            <w:r w:rsidRPr="0040395D">
              <w:t xml:space="preserve">Construction </w:t>
            </w:r>
          </w:p>
        </w:tc>
      </w:tr>
      <w:tr w:rsidR="00C71225" w:rsidRPr="0040395D" w14:paraId="5118F39D" w14:textId="77777777" w:rsidTr="00375C7D">
        <w:trPr>
          <w:cantSplit/>
        </w:trPr>
        <w:tc>
          <w:tcPr>
            <w:tcW w:w="5000" w:type="pct"/>
            <w:gridSpan w:val="3"/>
            <w:shd w:val="clear" w:color="auto" w:fill="E6EFE1"/>
          </w:tcPr>
          <w:p w14:paraId="061E3D0E" w14:textId="77777777" w:rsidR="00C71225" w:rsidRPr="0040395D" w:rsidRDefault="00C71225" w:rsidP="00A775DA">
            <w:pPr>
              <w:pStyle w:val="TableText"/>
              <w:keepNext/>
              <w:rPr>
                <w:b/>
                <w:i/>
              </w:rPr>
            </w:pPr>
            <w:r w:rsidRPr="0040395D">
              <w:rPr>
                <w:b/>
                <w:i/>
              </w:rPr>
              <w:t>Social and economic</w:t>
            </w:r>
          </w:p>
        </w:tc>
      </w:tr>
      <w:tr w:rsidR="00C71225" w:rsidRPr="0040395D" w14:paraId="20DCA8CF" w14:textId="77777777" w:rsidTr="00A47875">
        <w:trPr>
          <w:cantSplit/>
        </w:trPr>
        <w:tc>
          <w:tcPr>
            <w:tcW w:w="576" w:type="pct"/>
          </w:tcPr>
          <w:p w14:paraId="4546AA59" w14:textId="77777777" w:rsidR="00C71225" w:rsidRPr="0040395D" w:rsidRDefault="00C71225" w:rsidP="00C71225">
            <w:pPr>
              <w:pStyle w:val="TableText"/>
            </w:pPr>
            <w:r w:rsidRPr="0040395D">
              <w:t>SE01</w:t>
            </w:r>
          </w:p>
        </w:tc>
        <w:tc>
          <w:tcPr>
            <w:tcW w:w="3878" w:type="pct"/>
          </w:tcPr>
          <w:p w14:paraId="676C0BAA" w14:textId="77777777" w:rsidR="00C71225" w:rsidRPr="002C3C60" w:rsidRDefault="00C71225" w:rsidP="00C71225">
            <w:pPr>
              <w:pStyle w:val="TableText"/>
            </w:pPr>
            <w:r w:rsidRPr="002C3C60">
              <w:t>Implementation of an overarching Communications and Engagement Strategy to facilitate ongoing consultation between the proponent and the broader community.</w:t>
            </w:r>
          </w:p>
          <w:p w14:paraId="37086B8C" w14:textId="77777777" w:rsidR="00C71225" w:rsidRPr="002C3C60" w:rsidRDefault="00C71225" w:rsidP="00C71225">
            <w:pPr>
              <w:pStyle w:val="TableText"/>
            </w:pPr>
            <w:r w:rsidRPr="002C3C60">
              <w:t>The strategy would:</w:t>
            </w:r>
          </w:p>
          <w:p w14:paraId="13949AD9" w14:textId="77777777" w:rsidR="00C71225" w:rsidRDefault="00C71225" w:rsidP="00C71225">
            <w:pPr>
              <w:pStyle w:val="TableBullet1"/>
            </w:pPr>
            <w:r>
              <w:t>provide an approach for ongoing engagement with the broader community about the long-term benefits and opportunities of the project</w:t>
            </w:r>
            <w:r w:rsidRPr="002C3C60">
              <w:t xml:space="preserve"> </w:t>
            </w:r>
          </w:p>
          <w:p w14:paraId="1C61F67C" w14:textId="77777777" w:rsidR="00C71225" w:rsidRDefault="00C71225" w:rsidP="00C71225">
            <w:pPr>
              <w:pStyle w:val="TableBullet1"/>
            </w:pPr>
            <w:r>
              <w:t>outline how the proponent will maintain a stakeholder database throughout the life of the project to assist identifying and resolving project issues experienced by stakeholders efficiently, to put stakeholder ease of communication and issue resolution at the heart of stakeholder relations</w:t>
            </w:r>
          </w:p>
          <w:p w14:paraId="5912BE30" w14:textId="1D8F454A" w:rsidR="00C71225" w:rsidRPr="002C3C60" w:rsidRDefault="00C71225" w:rsidP="00C71225">
            <w:pPr>
              <w:pStyle w:val="TableBullet1"/>
            </w:pPr>
            <w:r w:rsidRPr="002C3C60">
              <w:t xml:space="preserve">outline procedures and mechanisms for the regular distribution of accessible information about or relevant to the project </w:t>
            </w:r>
          </w:p>
          <w:p w14:paraId="3F171998" w14:textId="5AA6C197" w:rsidR="00C71225" w:rsidRPr="002C3C60" w:rsidRDefault="00C71225" w:rsidP="00C71225">
            <w:pPr>
              <w:pStyle w:val="TableBullet1"/>
            </w:pPr>
            <w:r w:rsidRPr="002C3C60">
              <w:t>identify opportunities to provide</w:t>
            </w:r>
            <w:r w:rsidRPr="004413E2">
              <w:t xml:space="preserve"> timely, useful and accurate</w:t>
            </w:r>
            <w:r w:rsidRPr="002C3C60">
              <w:t xml:space="preserve"> information regularly about construction activities, schedules and milestones </w:t>
            </w:r>
          </w:p>
          <w:p w14:paraId="743DB41B" w14:textId="1C9B995E" w:rsidR="00C71225" w:rsidRPr="002C3C60" w:rsidRDefault="00C71225" w:rsidP="00C71225">
            <w:pPr>
              <w:pStyle w:val="TableBullet1"/>
            </w:pPr>
            <w:r w:rsidRPr="002C3C60">
              <w:t xml:space="preserve">include measures to notify affected landowners and neighbours well in advance about any specific construction issues with direct impacts on properties (e.g., traffic management, out-of-hours work) </w:t>
            </w:r>
            <w:r>
              <w:t>and how they can easily reach the project team with questions</w:t>
            </w:r>
          </w:p>
          <w:p w14:paraId="7E33727B" w14:textId="4F841011" w:rsidR="00C71225" w:rsidRPr="002C3C60" w:rsidRDefault="00C71225" w:rsidP="00C71225">
            <w:pPr>
              <w:pStyle w:val="TableBullet1"/>
            </w:pPr>
            <w:r w:rsidRPr="002C3C60">
              <w:t xml:space="preserve">detail the mechanisms for advising the community in advance of upcoming works (where necessary) </w:t>
            </w:r>
            <w:r>
              <w:t>and how the proponent will work with community to mitigate the negative impacts of construction whenever possible</w:t>
            </w:r>
          </w:p>
          <w:p w14:paraId="3E3A5CB2" w14:textId="605911B9" w:rsidR="00C71225" w:rsidRPr="002C3C60" w:rsidRDefault="00C71225" w:rsidP="00C71225">
            <w:pPr>
              <w:pStyle w:val="TableBullet1"/>
              <w:rPr>
                <w:b/>
              </w:rPr>
            </w:pPr>
            <w:r w:rsidRPr="002C3C60">
              <w:t>be reviewed and adapted based on community feedback so that the communi</w:t>
            </w:r>
            <w:r>
              <w:t>cations and engagement approach is fit for purpose and meets the needs of the community.</w:t>
            </w:r>
          </w:p>
          <w:p w14:paraId="3DF8F7B4" w14:textId="6831E9A9" w:rsidR="00C71225" w:rsidRPr="0040395D" w:rsidRDefault="00C71225" w:rsidP="00C71225">
            <w:pPr>
              <w:pStyle w:val="TableText"/>
            </w:pPr>
            <w:r w:rsidRPr="002C3C60">
              <w:t>The notification process for landowners in proximity of the quarry and wind turbines that require blasting would be contained within the Blast Management Plan (NV07).</w:t>
            </w:r>
          </w:p>
        </w:tc>
        <w:tc>
          <w:tcPr>
            <w:tcW w:w="546" w:type="pct"/>
          </w:tcPr>
          <w:p w14:paraId="1343889D" w14:textId="600DE630" w:rsidR="00C71225" w:rsidRPr="0040395D" w:rsidRDefault="00C71225" w:rsidP="00C71225">
            <w:pPr>
              <w:pStyle w:val="TableText"/>
            </w:pPr>
            <w:r>
              <w:t>Pre-</w:t>
            </w:r>
            <w:r w:rsidRPr="0040395D">
              <w:t>construction</w:t>
            </w:r>
            <w:r>
              <w:t>, c</w:t>
            </w:r>
            <w:r w:rsidRPr="0040395D">
              <w:t>onstruction and operation</w:t>
            </w:r>
          </w:p>
        </w:tc>
      </w:tr>
      <w:tr w:rsidR="00C71225" w:rsidRPr="0040395D" w14:paraId="1CF1E7D5" w14:textId="77777777" w:rsidTr="00A47875">
        <w:trPr>
          <w:cantSplit/>
        </w:trPr>
        <w:tc>
          <w:tcPr>
            <w:tcW w:w="576" w:type="pct"/>
          </w:tcPr>
          <w:p w14:paraId="4C44C266" w14:textId="77777777" w:rsidR="00C71225" w:rsidRPr="0040395D" w:rsidRDefault="00C71225" w:rsidP="00C71225">
            <w:pPr>
              <w:pStyle w:val="TableText"/>
            </w:pPr>
            <w:r w:rsidRPr="0040395D">
              <w:t>SE02</w:t>
            </w:r>
          </w:p>
        </w:tc>
        <w:tc>
          <w:tcPr>
            <w:tcW w:w="3878" w:type="pct"/>
          </w:tcPr>
          <w:p w14:paraId="3C6696D7" w14:textId="6A167F27" w:rsidR="00C71225" w:rsidRPr="002C3C60" w:rsidRDefault="00C71225" w:rsidP="00C71225">
            <w:pPr>
              <w:pStyle w:val="TableText"/>
            </w:pPr>
            <w:r>
              <w:t>C</w:t>
            </w:r>
            <w:r w:rsidRPr="002C3C60">
              <w:t>onsultation would</w:t>
            </w:r>
            <w:r>
              <w:t xml:space="preserve"> continue to</w:t>
            </w:r>
            <w:r w:rsidRPr="002C3C60">
              <w:t xml:space="preserve"> be carried out with the affected communities to understand their preferences for mitigation and management measures, including:</w:t>
            </w:r>
          </w:p>
          <w:p w14:paraId="46B580FA" w14:textId="77777777" w:rsidR="00C71225" w:rsidRPr="002C3C60" w:rsidRDefault="00C71225" w:rsidP="00C71225">
            <w:pPr>
              <w:pStyle w:val="TableBullet1"/>
            </w:pPr>
            <w:r w:rsidRPr="002C3C60">
              <w:t>consulting with local schools regarding bus routes and timetables to identify suitable windows for project inactivity (curfew times), or other measures to minimise or avoid impacts to school buses</w:t>
            </w:r>
          </w:p>
          <w:p w14:paraId="0EEE2DEB" w14:textId="77777777" w:rsidR="00C71225" w:rsidRDefault="00C71225" w:rsidP="00C71225">
            <w:pPr>
              <w:pStyle w:val="TableBullet1"/>
            </w:pPr>
            <w:r>
              <w:t>proactively engaging with highly impacted landholders through one-on-one methods like kitchen table sit downs or phone calls to discuss upcoming disruptions and how they can be managed minimise impacts when possible</w:t>
            </w:r>
          </w:p>
          <w:p w14:paraId="3C21D78E" w14:textId="7595CD34" w:rsidR="00C71225" w:rsidRPr="002C3C60" w:rsidRDefault="00C71225" w:rsidP="00C71225">
            <w:pPr>
              <w:pStyle w:val="TableBullet1"/>
            </w:pPr>
            <w:r w:rsidRPr="002C3C60">
              <w:t>holding regular meetings with neighbouring residents to discuss any issues or concerns</w:t>
            </w:r>
          </w:p>
          <w:p w14:paraId="7957292A" w14:textId="06DF5724" w:rsidR="00C71225" w:rsidRPr="002C3C60" w:rsidRDefault="00C71225" w:rsidP="00C71225">
            <w:pPr>
              <w:pStyle w:val="TableBullet1"/>
            </w:pPr>
            <w:r w:rsidRPr="002C3C60">
              <w:t>engaging with local farmers to minimise disruptions to farming activities</w:t>
            </w:r>
            <w:r>
              <w:t>, and creating a forward plan for managing disruptions around farming cycles</w:t>
            </w:r>
          </w:p>
          <w:p w14:paraId="5A476403" w14:textId="0CE6B518" w:rsidR="00C71225" w:rsidRPr="0040395D" w:rsidRDefault="00C71225" w:rsidP="00C71225">
            <w:pPr>
              <w:pStyle w:val="TableBullet1"/>
            </w:pPr>
            <w:r w:rsidRPr="002C3C60">
              <w:t xml:space="preserve">maintaining the </w:t>
            </w:r>
            <w:r>
              <w:t>p</w:t>
            </w:r>
            <w:r w:rsidRPr="002C3C60">
              <w:t xml:space="preserve">roject website to provide up-to-date information on the status of the </w:t>
            </w:r>
            <w:r>
              <w:t>p</w:t>
            </w:r>
            <w:r w:rsidRPr="002C3C60">
              <w:t xml:space="preserve">roject during construction and operation, as well as provide a means for the community to contact the </w:t>
            </w:r>
            <w:r>
              <w:t>p</w:t>
            </w:r>
            <w:r w:rsidRPr="002C3C60">
              <w:t>roject</w:t>
            </w:r>
            <w:r>
              <w:t>’s</w:t>
            </w:r>
            <w:r w:rsidRPr="002C3C60">
              <w:t xml:space="preserve"> team.</w:t>
            </w:r>
          </w:p>
        </w:tc>
        <w:tc>
          <w:tcPr>
            <w:tcW w:w="546" w:type="pct"/>
          </w:tcPr>
          <w:p w14:paraId="7FD4ACB0" w14:textId="743C87A7" w:rsidR="00C71225" w:rsidRPr="0040395D" w:rsidRDefault="00C71225" w:rsidP="00C71225">
            <w:pPr>
              <w:pStyle w:val="TableText"/>
            </w:pPr>
            <w:r>
              <w:t>Pre-c</w:t>
            </w:r>
            <w:r w:rsidRPr="0040395D">
              <w:t>onstruction</w:t>
            </w:r>
          </w:p>
        </w:tc>
      </w:tr>
      <w:tr w:rsidR="00C71225" w:rsidRPr="0040395D" w14:paraId="6B587884" w14:textId="77777777" w:rsidTr="00A47875">
        <w:trPr>
          <w:cantSplit/>
        </w:trPr>
        <w:tc>
          <w:tcPr>
            <w:tcW w:w="576" w:type="pct"/>
          </w:tcPr>
          <w:p w14:paraId="07578EA7" w14:textId="77777777" w:rsidR="00C71225" w:rsidRPr="0040395D" w:rsidRDefault="00C71225" w:rsidP="00C71225">
            <w:pPr>
              <w:pStyle w:val="TableText"/>
            </w:pPr>
            <w:r w:rsidRPr="0040395D">
              <w:t>SE03</w:t>
            </w:r>
          </w:p>
        </w:tc>
        <w:tc>
          <w:tcPr>
            <w:tcW w:w="3878" w:type="pct"/>
          </w:tcPr>
          <w:p w14:paraId="1D2A27E8" w14:textId="731FFF45" w:rsidR="00C71225" w:rsidRPr="002C3C60" w:rsidRDefault="00C71225" w:rsidP="00C71225">
            <w:pPr>
              <w:pStyle w:val="TableText"/>
            </w:pPr>
            <w:r w:rsidRPr="002C3C60">
              <w:t xml:space="preserve">A complaints management procedure (including noise complaints response process) would be developed </w:t>
            </w:r>
            <w:r>
              <w:t xml:space="preserve">within the </w:t>
            </w:r>
            <w:r w:rsidRPr="002C3C60">
              <w:t xml:space="preserve">Communications and Engagement Strategy that: </w:t>
            </w:r>
          </w:p>
          <w:p w14:paraId="7549A6CD" w14:textId="77777777" w:rsidR="00C71225" w:rsidRPr="002C3C60" w:rsidRDefault="00C71225" w:rsidP="00C71225">
            <w:pPr>
              <w:pStyle w:val="TableBullet1"/>
            </w:pPr>
            <w:r w:rsidRPr="002C3C60">
              <w:t xml:space="preserve">outlines the process for making and recording complaints </w:t>
            </w:r>
          </w:p>
          <w:p w14:paraId="25910E2B" w14:textId="77777777" w:rsidR="00C71225" w:rsidRPr="002C3C60" w:rsidRDefault="00C71225" w:rsidP="00C71225">
            <w:pPr>
              <w:pStyle w:val="TableBullet1"/>
            </w:pPr>
            <w:r w:rsidRPr="002C3C60">
              <w:t xml:space="preserve">provides a range of avenues (e.g., direct phone number, email) for community members to express their concerns or ask questions </w:t>
            </w:r>
          </w:p>
          <w:p w14:paraId="3D9AF3D8" w14:textId="77777777" w:rsidR="00C71225" w:rsidRDefault="00C71225" w:rsidP="00C71225">
            <w:pPr>
              <w:pStyle w:val="TableBullet1"/>
            </w:pPr>
            <w:r w:rsidRPr="002C3C60">
              <w:t>specifies response and resolution procedures to ensure timely responses are provided to complaints raised</w:t>
            </w:r>
          </w:p>
          <w:p w14:paraId="0A84DE88" w14:textId="00B90578" w:rsidR="00C71225" w:rsidRDefault="00C71225" w:rsidP="00C71225">
            <w:pPr>
              <w:pStyle w:val="TableBullet1"/>
            </w:pPr>
            <w:r>
              <w:t xml:space="preserve">outlines roles and responsibilities within the project team for the receipt, handling and escalation of complaints </w:t>
            </w:r>
          </w:p>
          <w:p w14:paraId="3058CF1C" w14:textId="2659BC62" w:rsidR="00C71225" w:rsidRPr="0040395D" w:rsidRDefault="00C71225" w:rsidP="00C71225">
            <w:pPr>
              <w:pStyle w:val="TableBullet1"/>
            </w:pPr>
            <w:r>
              <w:t>outlines how community members can escalate their concerns should they not receive a response that meets their expectations</w:t>
            </w:r>
            <w:r w:rsidRPr="002C3C60">
              <w:t>.</w:t>
            </w:r>
          </w:p>
        </w:tc>
        <w:tc>
          <w:tcPr>
            <w:tcW w:w="546" w:type="pct"/>
          </w:tcPr>
          <w:p w14:paraId="5A0E22C3" w14:textId="29F8B6D4" w:rsidR="00C71225" w:rsidRPr="0040395D" w:rsidRDefault="00C71225" w:rsidP="00C71225">
            <w:pPr>
              <w:pStyle w:val="TableText"/>
            </w:pPr>
            <w:r w:rsidRPr="0040395D">
              <w:t xml:space="preserve">Construction </w:t>
            </w:r>
          </w:p>
        </w:tc>
      </w:tr>
      <w:tr w:rsidR="00C71225" w:rsidRPr="0040395D" w14:paraId="2B43F735" w14:textId="77777777" w:rsidTr="00A47875">
        <w:trPr>
          <w:cantSplit/>
        </w:trPr>
        <w:tc>
          <w:tcPr>
            <w:tcW w:w="576" w:type="pct"/>
          </w:tcPr>
          <w:p w14:paraId="3C144C73" w14:textId="77777777" w:rsidR="00C71225" w:rsidRPr="0040395D" w:rsidRDefault="00C71225" w:rsidP="00C71225">
            <w:pPr>
              <w:pStyle w:val="TableText"/>
            </w:pPr>
            <w:r w:rsidRPr="0040395D">
              <w:t>SE04</w:t>
            </w:r>
          </w:p>
        </w:tc>
        <w:tc>
          <w:tcPr>
            <w:tcW w:w="3878" w:type="pct"/>
          </w:tcPr>
          <w:p w14:paraId="68591AF3" w14:textId="2721E489" w:rsidR="00C71225" w:rsidRDefault="00C71225" w:rsidP="00C71225">
            <w:pPr>
              <w:pStyle w:val="TableText"/>
            </w:pPr>
            <w:r w:rsidRPr="002C3C60">
              <w:t>Implementation of the Neighbour Benefit Sharing Program to promote community understanding and make a positive contribution to the potentially affected communities.</w:t>
            </w:r>
            <w:r>
              <w:t xml:space="preserve"> The program would include the following payments for those with a dwelling located within 6 kilometres of a constructed wind turbine (excluding stakeholder landowners):</w:t>
            </w:r>
          </w:p>
          <w:p w14:paraId="3D6BC507" w14:textId="77777777" w:rsidR="00C71225" w:rsidRDefault="00C71225" w:rsidP="00C71225">
            <w:pPr>
              <w:pStyle w:val="TableBullet1"/>
            </w:pPr>
            <w:r>
              <w:t>a one-off payment of $1,000 at the substantial commencement of construction</w:t>
            </w:r>
          </w:p>
          <w:p w14:paraId="6A7274D5" w14:textId="77777777" w:rsidR="00C71225" w:rsidRDefault="00C71225" w:rsidP="00C71225">
            <w:pPr>
              <w:pStyle w:val="TableBullet1"/>
            </w:pPr>
            <w:r>
              <w:t>a neighbour benefit payment of:</w:t>
            </w:r>
          </w:p>
          <w:p w14:paraId="43F900AC" w14:textId="77777777" w:rsidR="00C71225" w:rsidRDefault="00C71225" w:rsidP="00A775DA">
            <w:pPr>
              <w:pStyle w:val="TableBullet2"/>
              <w:contextualSpacing/>
            </w:pPr>
            <w:r>
              <w:t>$3,500 per constructed turbine located within two kilometres of the dwelling</w:t>
            </w:r>
          </w:p>
          <w:p w14:paraId="429B9289" w14:textId="77777777" w:rsidR="00C71225" w:rsidRDefault="00C71225" w:rsidP="00A775DA">
            <w:pPr>
              <w:pStyle w:val="TableBullet2"/>
              <w:contextualSpacing/>
            </w:pPr>
            <w:r>
              <w:t>$1,000 per constructed turbine located between two kilometres and three kilometres of the dwelling</w:t>
            </w:r>
          </w:p>
          <w:p w14:paraId="6551799E" w14:textId="77777777" w:rsidR="00C71225" w:rsidRDefault="00C71225" w:rsidP="00A775DA">
            <w:pPr>
              <w:pStyle w:val="TableBullet2"/>
              <w:contextualSpacing/>
            </w:pPr>
            <w:r>
              <w:t>$100 per constructed turbine located between three kilometres and six kilometres of the dwelling</w:t>
            </w:r>
          </w:p>
          <w:p w14:paraId="01B3992A" w14:textId="77777777" w:rsidR="00C71225" w:rsidRDefault="00C71225" w:rsidP="00A775DA">
            <w:pPr>
              <w:pStyle w:val="TableBullet1"/>
            </w:pPr>
            <w:r>
              <w:t>the neighbour benefit payment would be a minimum of $1,000 and maximum of $30,000 per year</w:t>
            </w:r>
          </w:p>
          <w:p w14:paraId="62078FE9" w14:textId="77777777" w:rsidR="00C71225" w:rsidRDefault="00C71225" w:rsidP="00A775DA">
            <w:pPr>
              <w:pStyle w:val="TableBullet1"/>
            </w:pPr>
            <w:r>
              <w:t>an energy cost offset plan to help the occupants of neighbouring dwellings with the cost of electricity, with an annual value of up to $2,000</w:t>
            </w:r>
          </w:p>
          <w:p w14:paraId="5728CB91" w14:textId="77777777" w:rsidR="00C71225" w:rsidRPr="002C3C60" w:rsidRDefault="00C71225" w:rsidP="00A775DA">
            <w:pPr>
              <w:pStyle w:val="TableBullet1"/>
            </w:pPr>
            <w:r>
              <w:t xml:space="preserve">a Community Benefit Fund that contributes $1,000 per year per wind turbine upon commissioning of the wind farm. </w:t>
            </w:r>
          </w:p>
          <w:p w14:paraId="71C5B237" w14:textId="37698441" w:rsidR="00C71225" w:rsidRPr="0040395D" w:rsidRDefault="00C71225" w:rsidP="00C71225">
            <w:pPr>
              <w:pStyle w:val="TableText"/>
            </w:pPr>
            <w:r w:rsidRPr="002C3C60">
              <w:t>Further engagement and involvement with the affected communities would be carried out to determine how the Neighbour Benefit Sharing Program, and in particular the Community Benefit Fund</w:t>
            </w:r>
            <w:r>
              <w:t>,</w:t>
            </w:r>
            <w:r w:rsidRPr="002C3C60">
              <w:t xml:space="preserve"> would be set up, managed and spent.</w:t>
            </w:r>
          </w:p>
        </w:tc>
        <w:tc>
          <w:tcPr>
            <w:tcW w:w="546" w:type="pct"/>
          </w:tcPr>
          <w:p w14:paraId="4852CB09" w14:textId="4D3D990B" w:rsidR="00C71225" w:rsidRPr="0040395D" w:rsidRDefault="00C71225" w:rsidP="00C71225">
            <w:pPr>
              <w:pStyle w:val="TableText"/>
            </w:pPr>
            <w:r>
              <w:t>Operation</w:t>
            </w:r>
          </w:p>
        </w:tc>
      </w:tr>
      <w:tr w:rsidR="00C71225" w:rsidRPr="0040395D" w14:paraId="7D6F70A5" w14:textId="77777777" w:rsidTr="00A47875">
        <w:trPr>
          <w:cantSplit/>
        </w:trPr>
        <w:tc>
          <w:tcPr>
            <w:tcW w:w="576" w:type="pct"/>
          </w:tcPr>
          <w:p w14:paraId="696F650C" w14:textId="77777777" w:rsidR="00C71225" w:rsidRPr="0040395D" w:rsidRDefault="00C71225" w:rsidP="00C71225">
            <w:pPr>
              <w:pStyle w:val="TableText"/>
            </w:pPr>
            <w:r w:rsidRPr="0040395D">
              <w:t>SE05</w:t>
            </w:r>
          </w:p>
        </w:tc>
        <w:tc>
          <w:tcPr>
            <w:tcW w:w="3878" w:type="pct"/>
          </w:tcPr>
          <w:p w14:paraId="7861E4F2" w14:textId="77777777" w:rsidR="00C71225" w:rsidRDefault="00C71225" w:rsidP="00C71225">
            <w:pPr>
              <w:pStyle w:val="TableText"/>
            </w:pPr>
            <w:r w:rsidRPr="002C3C60">
              <w:t>A business register has been established for the project, which is expected to grow as awareness of the project increases through EES exhibition. Companies can register their interest in providing a range of goods or services through the website</w:t>
            </w:r>
            <w:r>
              <w:t>;</w:t>
            </w:r>
            <w:r w:rsidRPr="002C3C60">
              <w:t xml:space="preserve"> https://www.willatookwindfarm.com.au/contractors.</w:t>
            </w:r>
            <w:r>
              <w:t xml:space="preserve"> </w:t>
            </w:r>
          </w:p>
          <w:p w14:paraId="7184716C" w14:textId="183C13CA" w:rsidR="00C71225" w:rsidRPr="0040395D" w:rsidRDefault="00C71225" w:rsidP="00C71225">
            <w:pPr>
              <w:pStyle w:val="TableText"/>
            </w:pPr>
            <w:r w:rsidRPr="00F94834">
              <w:rPr>
                <w:bCs/>
              </w:rPr>
              <w:t xml:space="preserve">Preference </w:t>
            </w:r>
            <w:r>
              <w:rPr>
                <w:bCs/>
              </w:rPr>
              <w:t>would</w:t>
            </w:r>
            <w:r w:rsidRPr="00F94834">
              <w:rPr>
                <w:bCs/>
              </w:rPr>
              <w:t xml:space="preserve"> be given to local companies and businesses</w:t>
            </w:r>
            <w:r>
              <w:rPr>
                <w:bCs/>
              </w:rPr>
              <w:t>,</w:t>
            </w:r>
            <w:r w:rsidRPr="00F94834">
              <w:rPr>
                <w:bCs/>
              </w:rPr>
              <w:t xml:space="preserve"> where possible.</w:t>
            </w:r>
          </w:p>
        </w:tc>
        <w:tc>
          <w:tcPr>
            <w:tcW w:w="546" w:type="pct"/>
          </w:tcPr>
          <w:p w14:paraId="010023F0" w14:textId="284FD9ED" w:rsidR="00C71225" w:rsidRPr="0040395D" w:rsidRDefault="00C71225" w:rsidP="00C71225">
            <w:pPr>
              <w:pStyle w:val="TableText"/>
            </w:pPr>
            <w:r>
              <w:t>C</w:t>
            </w:r>
            <w:r w:rsidRPr="0040395D">
              <w:t>onstruction</w:t>
            </w:r>
          </w:p>
        </w:tc>
      </w:tr>
      <w:tr w:rsidR="00C71225" w:rsidRPr="0040395D" w14:paraId="56D26572" w14:textId="77777777" w:rsidTr="00A47875">
        <w:trPr>
          <w:cantSplit/>
        </w:trPr>
        <w:tc>
          <w:tcPr>
            <w:tcW w:w="576" w:type="pct"/>
          </w:tcPr>
          <w:p w14:paraId="37416E91" w14:textId="77777777" w:rsidR="00C71225" w:rsidRPr="0040395D" w:rsidRDefault="00C71225" w:rsidP="00C71225">
            <w:pPr>
              <w:pStyle w:val="TableText"/>
            </w:pPr>
            <w:r w:rsidRPr="0040395D">
              <w:t>SE06</w:t>
            </w:r>
          </w:p>
        </w:tc>
        <w:tc>
          <w:tcPr>
            <w:tcW w:w="3878" w:type="pct"/>
          </w:tcPr>
          <w:p w14:paraId="643B8305" w14:textId="2AEDF227" w:rsidR="00C71225" w:rsidRPr="0040395D" w:rsidRDefault="00C71225" w:rsidP="00C71225">
            <w:pPr>
              <w:pStyle w:val="TableText"/>
            </w:pPr>
            <w:r w:rsidRPr="002C3C60">
              <w:t>Develop a Decommissioning Strategy for the site to facilitate its rehabilitation/adaptive reuse as farmland or natural environment. Also consider opportunities to utilise the revenue generated (</w:t>
            </w:r>
            <w:r>
              <w:t>and/</w:t>
            </w:r>
            <w:r w:rsidRPr="002C3C60">
              <w:t>or as part of the Community Benefit Fund) from the project for habitat restoration or other environmental initiatives.</w:t>
            </w:r>
          </w:p>
        </w:tc>
        <w:tc>
          <w:tcPr>
            <w:tcW w:w="546" w:type="pct"/>
          </w:tcPr>
          <w:p w14:paraId="5A1E488E" w14:textId="2E2A08E3" w:rsidR="00C71225" w:rsidRPr="0040395D" w:rsidRDefault="00C71225" w:rsidP="00C71225">
            <w:pPr>
              <w:pStyle w:val="TableText"/>
            </w:pPr>
            <w:r>
              <w:t>D</w:t>
            </w:r>
            <w:r w:rsidRPr="0040395D">
              <w:t>ecommissioning</w:t>
            </w:r>
          </w:p>
        </w:tc>
      </w:tr>
      <w:tr w:rsidR="00C71225" w:rsidRPr="0040395D" w14:paraId="53F67DA8" w14:textId="77777777" w:rsidTr="00A47875">
        <w:trPr>
          <w:cantSplit/>
        </w:trPr>
        <w:tc>
          <w:tcPr>
            <w:tcW w:w="576" w:type="pct"/>
          </w:tcPr>
          <w:p w14:paraId="608ABBE6" w14:textId="77777777" w:rsidR="00C71225" w:rsidRPr="0040395D" w:rsidRDefault="00C71225" w:rsidP="00C71225">
            <w:pPr>
              <w:pStyle w:val="TableText"/>
            </w:pPr>
            <w:r w:rsidRPr="0040395D">
              <w:t>SE07</w:t>
            </w:r>
          </w:p>
        </w:tc>
        <w:tc>
          <w:tcPr>
            <w:tcW w:w="3878" w:type="pct"/>
          </w:tcPr>
          <w:p w14:paraId="5E9A626B" w14:textId="77777777" w:rsidR="00C71225" w:rsidRPr="002C3C60" w:rsidRDefault="00C71225" w:rsidP="00C71225">
            <w:pPr>
              <w:pStyle w:val="TableText"/>
            </w:pPr>
            <w:r w:rsidRPr="002C3C60">
              <w:t>Develop partnerships with businesses, local employment agencies, training and education providers to maximise local employment and contract opportunities. Measures could include:</w:t>
            </w:r>
          </w:p>
          <w:p w14:paraId="63BE84E0" w14:textId="77777777" w:rsidR="00C71225" w:rsidRPr="002C3C60" w:rsidRDefault="00C71225" w:rsidP="00C71225">
            <w:pPr>
              <w:pStyle w:val="TableBullet1"/>
            </w:pPr>
            <w:r w:rsidRPr="002C3C60">
              <w:t>partnering with education and training organisations such as South West TAFE to offer special apprenticeships and programs</w:t>
            </w:r>
          </w:p>
          <w:p w14:paraId="68A7BFB0" w14:textId="5E3656B2" w:rsidR="00C71225" w:rsidRPr="0040395D" w:rsidRDefault="00C71225" w:rsidP="00C71225">
            <w:pPr>
              <w:pStyle w:val="TableBullet1"/>
            </w:pPr>
            <w:r w:rsidRPr="002C3C60">
              <w:t>developing a local procurement strategy for employment or contracts that gives preference to local and regional residents and businesses, including incorporating local content requirements into key project contracts to maximise local employment opportunities.</w:t>
            </w:r>
          </w:p>
        </w:tc>
        <w:tc>
          <w:tcPr>
            <w:tcW w:w="546" w:type="pct"/>
          </w:tcPr>
          <w:p w14:paraId="0671B9ED" w14:textId="22A3502D" w:rsidR="00C71225" w:rsidRPr="0040395D" w:rsidRDefault="00C71225" w:rsidP="00C71225">
            <w:pPr>
              <w:pStyle w:val="TableText"/>
            </w:pPr>
            <w:r w:rsidRPr="0040395D">
              <w:t>Construction</w:t>
            </w:r>
            <w:r>
              <w:t xml:space="preserve"> and operation</w:t>
            </w:r>
          </w:p>
        </w:tc>
      </w:tr>
      <w:tr w:rsidR="00C71225" w:rsidRPr="0040395D" w14:paraId="5D51E7D7" w14:textId="77777777" w:rsidTr="00A47875">
        <w:trPr>
          <w:cantSplit/>
        </w:trPr>
        <w:tc>
          <w:tcPr>
            <w:tcW w:w="576" w:type="pct"/>
          </w:tcPr>
          <w:p w14:paraId="323F7797" w14:textId="77777777" w:rsidR="00C71225" w:rsidRPr="0040395D" w:rsidRDefault="00C71225" w:rsidP="00C71225">
            <w:pPr>
              <w:pStyle w:val="TableText"/>
            </w:pPr>
            <w:r w:rsidRPr="0040395D">
              <w:t>SE08</w:t>
            </w:r>
          </w:p>
        </w:tc>
        <w:tc>
          <w:tcPr>
            <w:tcW w:w="3878" w:type="pct"/>
          </w:tcPr>
          <w:p w14:paraId="47DBA25D" w14:textId="359035EE" w:rsidR="00C71225" w:rsidRPr="0040395D" w:rsidRDefault="00C71225" w:rsidP="00C71225">
            <w:pPr>
              <w:pStyle w:val="TableText"/>
            </w:pPr>
            <w:r>
              <w:t>I</w:t>
            </w:r>
            <w:r w:rsidRPr="002C3C60">
              <w:t xml:space="preserve">ntegrate </w:t>
            </w:r>
            <w:r>
              <w:t xml:space="preserve">ongoing </w:t>
            </w:r>
            <w:r w:rsidRPr="002C3C60">
              <w:t>workers with the community through partnerships with existing community groups and/ or through local events.</w:t>
            </w:r>
          </w:p>
        </w:tc>
        <w:tc>
          <w:tcPr>
            <w:tcW w:w="546" w:type="pct"/>
          </w:tcPr>
          <w:p w14:paraId="4FF0A0B4" w14:textId="77777777" w:rsidR="00C71225" w:rsidRPr="0040395D" w:rsidRDefault="00C71225" w:rsidP="00C71225">
            <w:pPr>
              <w:pStyle w:val="TableText"/>
            </w:pPr>
            <w:r w:rsidRPr="0040395D">
              <w:t>Construction and operation</w:t>
            </w:r>
          </w:p>
        </w:tc>
      </w:tr>
      <w:tr w:rsidR="00C71225" w:rsidRPr="0040395D" w14:paraId="6678BEC7" w14:textId="77777777" w:rsidTr="00A47875">
        <w:trPr>
          <w:cantSplit/>
        </w:trPr>
        <w:tc>
          <w:tcPr>
            <w:tcW w:w="576" w:type="pct"/>
          </w:tcPr>
          <w:p w14:paraId="2A3803C4" w14:textId="77777777" w:rsidR="00C71225" w:rsidRPr="0040395D" w:rsidRDefault="00C71225" w:rsidP="00C71225">
            <w:pPr>
              <w:pStyle w:val="TableText"/>
            </w:pPr>
            <w:r w:rsidRPr="0040395D">
              <w:t>SE09</w:t>
            </w:r>
          </w:p>
        </w:tc>
        <w:tc>
          <w:tcPr>
            <w:tcW w:w="3878" w:type="pct"/>
          </w:tcPr>
          <w:p w14:paraId="41F535D1" w14:textId="76077D52" w:rsidR="00C71225" w:rsidRPr="0040395D" w:rsidRDefault="00C71225" w:rsidP="00C71225">
            <w:pPr>
              <w:pStyle w:val="TableText"/>
            </w:pPr>
            <w:r w:rsidRPr="0040395D">
              <w:t>Facilitate visits to the site with local residents, community groups, and other organisations throughout the operation stage to help build relationships and community</w:t>
            </w:r>
            <w:r>
              <w:t xml:space="preserve"> understanding and</w:t>
            </w:r>
            <w:r w:rsidRPr="0040395D">
              <w:t xml:space="preserve"> ownership of the project and ensure ongoing engagement with landowners and other stakeholders.</w:t>
            </w:r>
          </w:p>
        </w:tc>
        <w:tc>
          <w:tcPr>
            <w:tcW w:w="546" w:type="pct"/>
          </w:tcPr>
          <w:p w14:paraId="771E74EE" w14:textId="77777777" w:rsidR="00C71225" w:rsidRPr="0040395D" w:rsidRDefault="00C71225" w:rsidP="00C71225">
            <w:pPr>
              <w:pStyle w:val="TableText"/>
            </w:pPr>
            <w:r w:rsidRPr="0040395D">
              <w:t>Operation</w:t>
            </w:r>
          </w:p>
        </w:tc>
      </w:tr>
      <w:tr w:rsidR="00C71225" w:rsidRPr="0040395D" w14:paraId="04756377" w14:textId="77777777" w:rsidTr="00A47875">
        <w:trPr>
          <w:cantSplit/>
        </w:trPr>
        <w:tc>
          <w:tcPr>
            <w:tcW w:w="576" w:type="pct"/>
          </w:tcPr>
          <w:p w14:paraId="413BBCEC" w14:textId="77777777" w:rsidR="00C71225" w:rsidRPr="0040395D" w:rsidRDefault="00C71225" w:rsidP="00C71225">
            <w:pPr>
              <w:pStyle w:val="TableText"/>
            </w:pPr>
            <w:r w:rsidRPr="0040395D">
              <w:t>SE10</w:t>
            </w:r>
          </w:p>
        </w:tc>
        <w:tc>
          <w:tcPr>
            <w:tcW w:w="3878" w:type="pct"/>
          </w:tcPr>
          <w:p w14:paraId="2BCB8167" w14:textId="50B263E3" w:rsidR="00C71225" w:rsidRPr="0040395D" w:rsidRDefault="00C71225" w:rsidP="00C71225">
            <w:pPr>
              <w:pStyle w:val="TableText"/>
            </w:pPr>
            <w:r>
              <w:t>Explore strategies to p</w:t>
            </w:r>
            <w:r w:rsidRPr="002C3C60">
              <w:t>romote the tourism and employment opportunities arising from the project to foster a transitioning community identity and sense of pride.</w:t>
            </w:r>
          </w:p>
        </w:tc>
        <w:tc>
          <w:tcPr>
            <w:tcW w:w="546" w:type="pct"/>
          </w:tcPr>
          <w:p w14:paraId="393013D3" w14:textId="5C94CE87" w:rsidR="00C71225" w:rsidRPr="0040395D" w:rsidRDefault="00C71225" w:rsidP="00C71225">
            <w:pPr>
              <w:pStyle w:val="TableText"/>
            </w:pPr>
            <w:r>
              <w:t>O</w:t>
            </w:r>
            <w:r w:rsidRPr="0040395D">
              <w:t>peration</w:t>
            </w:r>
          </w:p>
        </w:tc>
      </w:tr>
      <w:tr w:rsidR="00C71225" w:rsidRPr="0040395D" w14:paraId="5B9F8D1F" w14:textId="77777777" w:rsidTr="00A47875">
        <w:trPr>
          <w:cantSplit/>
        </w:trPr>
        <w:tc>
          <w:tcPr>
            <w:tcW w:w="576" w:type="pct"/>
          </w:tcPr>
          <w:p w14:paraId="26758F98" w14:textId="77777777" w:rsidR="00C71225" w:rsidRPr="0040395D" w:rsidRDefault="00C71225" w:rsidP="00C71225">
            <w:pPr>
              <w:pStyle w:val="TableText"/>
            </w:pPr>
            <w:r w:rsidRPr="0040395D">
              <w:t>SE11</w:t>
            </w:r>
          </w:p>
        </w:tc>
        <w:tc>
          <w:tcPr>
            <w:tcW w:w="3878" w:type="pct"/>
          </w:tcPr>
          <w:p w14:paraId="07127903" w14:textId="4140E08D" w:rsidR="00C71225" w:rsidRPr="0040395D" w:rsidRDefault="00C71225" w:rsidP="00C71225">
            <w:pPr>
              <w:pStyle w:val="TableText"/>
            </w:pPr>
            <w:r>
              <w:t xml:space="preserve">Provide incentives for </w:t>
            </w:r>
            <w:r w:rsidRPr="002C3C60">
              <w:t>workers (both construction and ongoing) to become emergency services volunteers or get involved in local community groups.</w:t>
            </w:r>
          </w:p>
        </w:tc>
        <w:tc>
          <w:tcPr>
            <w:tcW w:w="546" w:type="pct"/>
          </w:tcPr>
          <w:p w14:paraId="6AB923CE" w14:textId="14ECA958" w:rsidR="00C71225" w:rsidRPr="0040395D" w:rsidRDefault="00C71225" w:rsidP="00C71225">
            <w:pPr>
              <w:pStyle w:val="TableText"/>
            </w:pPr>
            <w:r w:rsidRPr="0040395D">
              <w:t>Construction</w:t>
            </w:r>
            <w:r>
              <w:t xml:space="preserve"> and operation</w:t>
            </w:r>
          </w:p>
        </w:tc>
      </w:tr>
      <w:tr w:rsidR="00C71225" w:rsidRPr="0040395D" w14:paraId="4477B607" w14:textId="77777777" w:rsidTr="00A47875">
        <w:trPr>
          <w:cantSplit/>
        </w:trPr>
        <w:tc>
          <w:tcPr>
            <w:tcW w:w="576" w:type="pct"/>
          </w:tcPr>
          <w:p w14:paraId="12F5BEB3" w14:textId="77777777" w:rsidR="00C71225" w:rsidRPr="0040395D" w:rsidRDefault="00C71225" w:rsidP="00C71225">
            <w:pPr>
              <w:pStyle w:val="TableText"/>
            </w:pPr>
            <w:r w:rsidRPr="0040395D">
              <w:t>SE12</w:t>
            </w:r>
          </w:p>
        </w:tc>
        <w:tc>
          <w:tcPr>
            <w:tcW w:w="3878" w:type="pct"/>
          </w:tcPr>
          <w:p w14:paraId="78A183BC" w14:textId="0FF4926D" w:rsidR="00C71225" w:rsidRPr="0040395D" w:rsidRDefault="00C71225" w:rsidP="00C71225">
            <w:pPr>
              <w:pStyle w:val="TableText"/>
            </w:pPr>
            <w:r w:rsidRPr="002C3C60">
              <w:t>Ongoing engagement with the local community and Aboriginal organisations to explore ways in which connections to local cultural heritage can be preserved and enhanced.</w:t>
            </w:r>
          </w:p>
        </w:tc>
        <w:tc>
          <w:tcPr>
            <w:tcW w:w="546" w:type="pct"/>
          </w:tcPr>
          <w:p w14:paraId="6747B1AA" w14:textId="62AC0FD1" w:rsidR="00C71225" w:rsidRPr="0040395D" w:rsidRDefault="00C71225" w:rsidP="00C71225">
            <w:pPr>
              <w:pStyle w:val="TableText"/>
            </w:pPr>
            <w:r w:rsidRPr="0040395D">
              <w:t>Construction</w:t>
            </w:r>
            <w:r>
              <w:t xml:space="preserve"> and operation</w:t>
            </w:r>
          </w:p>
        </w:tc>
      </w:tr>
      <w:tr w:rsidR="00C71225" w:rsidRPr="0040395D" w14:paraId="46EC964A" w14:textId="77777777" w:rsidTr="00A47875">
        <w:trPr>
          <w:cantSplit/>
        </w:trPr>
        <w:tc>
          <w:tcPr>
            <w:tcW w:w="576" w:type="pct"/>
          </w:tcPr>
          <w:p w14:paraId="3F8EFA44" w14:textId="77777777" w:rsidR="00C71225" w:rsidRPr="0040395D" w:rsidRDefault="00C71225" w:rsidP="00C71225">
            <w:pPr>
              <w:pStyle w:val="TableText"/>
            </w:pPr>
            <w:r w:rsidRPr="0040395D">
              <w:t>SE13</w:t>
            </w:r>
          </w:p>
        </w:tc>
        <w:tc>
          <w:tcPr>
            <w:tcW w:w="3878" w:type="pct"/>
          </w:tcPr>
          <w:p w14:paraId="6B23E6BB" w14:textId="40DC39DF" w:rsidR="00C71225" w:rsidRPr="0040395D" w:rsidRDefault="00C71225" w:rsidP="00C71225">
            <w:pPr>
              <w:pStyle w:val="TableText"/>
            </w:pPr>
            <w:r>
              <w:t>C</w:t>
            </w:r>
            <w:r w:rsidRPr="002C3C60">
              <w:t>elebrate the site’s history as well as its transition, for example using visual signage that communicates information about the project and/or highlights local stories and reflects local values.</w:t>
            </w:r>
          </w:p>
        </w:tc>
        <w:tc>
          <w:tcPr>
            <w:tcW w:w="546" w:type="pct"/>
          </w:tcPr>
          <w:p w14:paraId="5B578094" w14:textId="77777777" w:rsidR="00C71225" w:rsidRPr="0040395D" w:rsidRDefault="00C71225" w:rsidP="00C71225">
            <w:pPr>
              <w:pStyle w:val="TableText"/>
            </w:pPr>
            <w:r w:rsidRPr="0040395D">
              <w:t>Construction and operation</w:t>
            </w:r>
          </w:p>
        </w:tc>
      </w:tr>
      <w:tr w:rsidR="00C71225" w:rsidRPr="0040395D" w14:paraId="0E062570" w14:textId="77777777" w:rsidTr="00A47875">
        <w:trPr>
          <w:cantSplit/>
        </w:trPr>
        <w:tc>
          <w:tcPr>
            <w:tcW w:w="576" w:type="pct"/>
          </w:tcPr>
          <w:p w14:paraId="7D4E7DA1" w14:textId="77777777" w:rsidR="00C71225" w:rsidRPr="0040395D" w:rsidRDefault="00C71225" w:rsidP="00C71225">
            <w:pPr>
              <w:pStyle w:val="TableText"/>
            </w:pPr>
            <w:r w:rsidRPr="0040395D">
              <w:t>SE14</w:t>
            </w:r>
          </w:p>
        </w:tc>
        <w:tc>
          <w:tcPr>
            <w:tcW w:w="3878" w:type="pct"/>
          </w:tcPr>
          <w:p w14:paraId="47368725" w14:textId="29F843EB" w:rsidR="00C71225" w:rsidRPr="0040395D" w:rsidRDefault="00C71225" w:rsidP="00C71225">
            <w:pPr>
              <w:pStyle w:val="TableText"/>
            </w:pPr>
            <w:r w:rsidRPr="002C3C60">
              <w:t>Incorporation of high-quality pre-construction and ongoing education of on-site staff (e.g., via inductions) about Aboriginal history and current connection to land, as well as the more recent agricultural history and community information to encourage respectful behaviours.</w:t>
            </w:r>
          </w:p>
        </w:tc>
        <w:tc>
          <w:tcPr>
            <w:tcW w:w="546" w:type="pct"/>
          </w:tcPr>
          <w:p w14:paraId="11EB6173" w14:textId="1553DFF8" w:rsidR="00C71225" w:rsidRPr="0040395D" w:rsidRDefault="00C71225" w:rsidP="00C71225">
            <w:pPr>
              <w:pStyle w:val="TableText"/>
            </w:pPr>
            <w:r>
              <w:t>C</w:t>
            </w:r>
            <w:r w:rsidRPr="0040395D">
              <w:t xml:space="preserve">onstruction and </w:t>
            </w:r>
            <w:r>
              <w:t>operation</w:t>
            </w:r>
          </w:p>
        </w:tc>
      </w:tr>
      <w:tr w:rsidR="00C71225" w:rsidRPr="0040395D" w14:paraId="14779913" w14:textId="77777777" w:rsidTr="00A47875">
        <w:trPr>
          <w:cantSplit/>
        </w:trPr>
        <w:tc>
          <w:tcPr>
            <w:tcW w:w="576" w:type="pct"/>
          </w:tcPr>
          <w:p w14:paraId="3A69C091" w14:textId="1CE081BB" w:rsidR="00C71225" w:rsidRPr="0040395D" w:rsidRDefault="00C71225" w:rsidP="00C71225">
            <w:pPr>
              <w:pStyle w:val="TableText"/>
            </w:pPr>
            <w:r w:rsidRPr="0040395D">
              <w:t>SE1</w:t>
            </w:r>
            <w:r>
              <w:t>5</w:t>
            </w:r>
          </w:p>
        </w:tc>
        <w:tc>
          <w:tcPr>
            <w:tcW w:w="3878" w:type="pct"/>
          </w:tcPr>
          <w:p w14:paraId="060D466F" w14:textId="2AE9EF43" w:rsidR="00C71225" w:rsidRPr="0040395D" w:rsidRDefault="00C71225" w:rsidP="00C71225">
            <w:pPr>
              <w:pStyle w:val="TableText"/>
            </w:pPr>
            <w:r w:rsidRPr="002C3C60">
              <w:t xml:space="preserve">Construction Workforce Accommodation Strategy would be developed prior to the construction phase of the project commencing. The Construction Workforce Accommodation Strategy, which would reflect local market conditions at the time, would aim to minimise impacts on the community especially for those reliant on low-cost housing as well as ensuring sufficient accommodation is available to service the tourism sector. The Construction Workforce Accommodation Strategy would be prepared in conjunction with local councils, commercial accommodation providers, private accommodation providers, </w:t>
            </w:r>
            <w:r>
              <w:t xml:space="preserve">the </w:t>
            </w:r>
            <w:r w:rsidRPr="002C3C60">
              <w:t>real estate sector and other relevant stakeholders</w:t>
            </w:r>
            <w:r>
              <w:t>.</w:t>
            </w:r>
          </w:p>
        </w:tc>
        <w:tc>
          <w:tcPr>
            <w:tcW w:w="546" w:type="pct"/>
          </w:tcPr>
          <w:p w14:paraId="4653B5F0" w14:textId="1478FD46" w:rsidR="00C71225" w:rsidRPr="0040395D" w:rsidRDefault="00C71225" w:rsidP="00C71225">
            <w:pPr>
              <w:pStyle w:val="TableText"/>
            </w:pPr>
            <w:r>
              <w:t>C</w:t>
            </w:r>
            <w:r w:rsidRPr="0040395D">
              <w:t>onstruction</w:t>
            </w:r>
          </w:p>
        </w:tc>
      </w:tr>
      <w:tr w:rsidR="00C71225" w:rsidRPr="0040395D" w14:paraId="42994118" w14:textId="77777777" w:rsidTr="00375C7D">
        <w:trPr>
          <w:cantSplit/>
        </w:trPr>
        <w:tc>
          <w:tcPr>
            <w:tcW w:w="5000" w:type="pct"/>
            <w:gridSpan w:val="3"/>
            <w:shd w:val="clear" w:color="auto" w:fill="E6EFE1"/>
          </w:tcPr>
          <w:p w14:paraId="4B381C0F" w14:textId="77777777" w:rsidR="00C71225" w:rsidRPr="0040395D" w:rsidRDefault="00C71225" w:rsidP="00A775DA">
            <w:pPr>
              <w:pStyle w:val="TableText"/>
              <w:keepNext/>
              <w:rPr>
                <w:b/>
                <w:i/>
              </w:rPr>
            </w:pPr>
            <w:r w:rsidRPr="0040395D">
              <w:rPr>
                <w:b/>
                <w:i/>
              </w:rPr>
              <w:t>Aboriginal cultural heritage</w:t>
            </w:r>
          </w:p>
        </w:tc>
      </w:tr>
      <w:tr w:rsidR="00C71225" w:rsidRPr="0040395D" w14:paraId="4E4AFF97" w14:textId="77777777" w:rsidTr="00A47875">
        <w:trPr>
          <w:cantSplit/>
        </w:trPr>
        <w:tc>
          <w:tcPr>
            <w:tcW w:w="576" w:type="pct"/>
          </w:tcPr>
          <w:p w14:paraId="0C6300CD" w14:textId="77777777" w:rsidR="00C71225" w:rsidRPr="0040395D" w:rsidRDefault="00C71225" w:rsidP="00C71225">
            <w:pPr>
              <w:pStyle w:val="TableText"/>
            </w:pPr>
            <w:r w:rsidRPr="0040395D">
              <w:t>AH01</w:t>
            </w:r>
          </w:p>
        </w:tc>
        <w:tc>
          <w:tcPr>
            <w:tcW w:w="3878" w:type="pct"/>
          </w:tcPr>
          <w:p w14:paraId="42536D7A" w14:textId="60B3425E" w:rsidR="00C71225" w:rsidRPr="007E4E59" w:rsidRDefault="00C71225" w:rsidP="00C71225">
            <w:pPr>
              <w:pStyle w:val="TableText"/>
            </w:pPr>
            <w:r w:rsidRPr="007E4E59">
              <w:t xml:space="preserve">For VAHR Registered 2, </w:t>
            </w:r>
            <w:r>
              <w:t xml:space="preserve">a </w:t>
            </w:r>
            <w:r w:rsidRPr="007E4E59">
              <w:t>‘no go’ area</w:t>
            </w:r>
            <w:r>
              <w:t xml:space="preserve"> comprising of a 10 metre buffer zone,</w:t>
            </w:r>
            <w:r w:rsidRPr="007E4E59">
              <w:t xml:space="preserve"> would be established around the extent of the site prior to the commencement of construction by an appropriately qualified surveyor/engineer/environmental officer/archaeologist and a representative of the Registered Aboriginal Party. Th</w:t>
            </w:r>
            <w:r>
              <w:t>is</w:t>
            </w:r>
            <w:r w:rsidRPr="007E4E59">
              <w:t xml:space="preserve"> area would be maintained throughout the construction period until commissioning of the wind farm. </w:t>
            </w:r>
          </w:p>
          <w:p w14:paraId="159BC248" w14:textId="77777777" w:rsidR="00C71225" w:rsidRPr="007E4E59" w:rsidRDefault="00C71225" w:rsidP="00C71225">
            <w:pPr>
              <w:pStyle w:val="TableText"/>
            </w:pPr>
            <w:r w:rsidRPr="007E4E59">
              <w:t xml:space="preserve">The ‘no go’ area buffer </w:t>
            </w:r>
            <w:r>
              <w:t xml:space="preserve">would </w:t>
            </w:r>
            <w:r w:rsidRPr="007E4E59">
              <w:t>be shown on all relevant construction maps</w:t>
            </w:r>
            <w:r>
              <w:t xml:space="preserve">. </w:t>
            </w:r>
          </w:p>
          <w:p w14:paraId="1378F949" w14:textId="77777777" w:rsidR="00C71225" w:rsidRPr="007E4E59" w:rsidRDefault="00C71225" w:rsidP="00C71225">
            <w:pPr>
              <w:pStyle w:val="TableText"/>
            </w:pPr>
            <w:r w:rsidRPr="007E4E59">
              <w:t>The fencing may be removed at the completion of works in the Aboriginal place area.</w:t>
            </w:r>
          </w:p>
          <w:p w14:paraId="307C9E86" w14:textId="2D0F414A" w:rsidR="00C71225" w:rsidRPr="0040395D" w:rsidRDefault="00C71225" w:rsidP="00C71225">
            <w:pPr>
              <w:pStyle w:val="TableText"/>
            </w:pPr>
            <w:r w:rsidRPr="007E4E59">
              <w:t>No buffer zone is required for VAHR Registered 1, however the location of the site must be marked on all relevant construction maps.</w:t>
            </w:r>
          </w:p>
        </w:tc>
        <w:tc>
          <w:tcPr>
            <w:tcW w:w="546" w:type="pct"/>
          </w:tcPr>
          <w:p w14:paraId="37DA5711" w14:textId="2D19335A" w:rsidR="00C71225" w:rsidRPr="0040395D" w:rsidRDefault="00C71225" w:rsidP="00C71225">
            <w:pPr>
              <w:pStyle w:val="TableText"/>
            </w:pPr>
            <w:r w:rsidRPr="0040395D">
              <w:t xml:space="preserve">Pre-construction and </w:t>
            </w:r>
            <w:r>
              <w:t>c</w:t>
            </w:r>
            <w:r w:rsidRPr="0040395D">
              <w:t>onstruction</w:t>
            </w:r>
          </w:p>
        </w:tc>
      </w:tr>
      <w:tr w:rsidR="00C71225" w:rsidRPr="0040395D" w14:paraId="42ABDE7C" w14:textId="77777777" w:rsidTr="00A47875">
        <w:trPr>
          <w:cantSplit/>
        </w:trPr>
        <w:tc>
          <w:tcPr>
            <w:tcW w:w="576" w:type="pct"/>
          </w:tcPr>
          <w:p w14:paraId="2E3C2A95" w14:textId="77777777" w:rsidR="00C71225" w:rsidRPr="0040395D" w:rsidRDefault="00C71225" w:rsidP="00C71225">
            <w:pPr>
              <w:pStyle w:val="TableText"/>
            </w:pPr>
            <w:r w:rsidRPr="0040395D">
              <w:t>AH02</w:t>
            </w:r>
          </w:p>
        </w:tc>
        <w:tc>
          <w:tcPr>
            <w:tcW w:w="3878" w:type="pct"/>
          </w:tcPr>
          <w:p w14:paraId="6E35A7D8" w14:textId="77777777" w:rsidR="00C71225" w:rsidRPr="007E4E59" w:rsidRDefault="00C71225" w:rsidP="00C71225">
            <w:pPr>
              <w:pStyle w:val="TableText"/>
              <w:spacing w:before="70" w:after="70"/>
            </w:pPr>
            <w:r w:rsidRPr="007E4E59">
              <w:t xml:space="preserve">Prior to the project construction commencing, key personnel and supervisors must undergo a cultural heritage induction to ensure they are aware of the boundaries of each known Aboriginal heritage site to avoid impacts. </w:t>
            </w:r>
          </w:p>
          <w:p w14:paraId="3E116CD3" w14:textId="02F677DC" w:rsidR="00C71225" w:rsidRPr="0040395D" w:rsidRDefault="00C71225" w:rsidP="00C71225">
            <w:pPr>
              <w:pStyle w:val="TableText"/>
            </w:pPr>
            <w:r w:rsidRPr="007E4E59">
              <w:t>The requirement to protect Aboriginal cultural heritage would be included within the project’s site induction process, which is to occur within a month of an employee beginning work on the project. All on-site personnel, including contractors, would be made aware of fenced and protected ‘no go’ areas.</w:t>
            </w:r>
          </w:p>
        </w:tc>
        <w:tc>
          <w:tcPr>
            <w:tcW w:w="546" w:type="pct"/>
          </w:tcPr>
          <w:p w14:paraId="3D88C2F4" w14:textId="77777777" w:rsidR="00C71225" w:rsidRPr="0040395D" w:rsidRDefault="00C71225" w:rsidP="00C71225">
            <w:pPr>
              <w:pStyle w:val="TableText"/>
            </w:pPr>
            <w:r w:rsidRPr="0040395D">
              <w:t>Construction</w:t>
            </w:r>
          </w:p>
        </w:tc>
      </w:tr>
      <w:tr w:rsidR="00C71225" w:rsidRPr="0040395D" w14:paraId="04080C13" w14:textId="77777777" w:rsidTr="00A47875">
        <w:trPr>
          <w:cantSplit/>
        </w:trPr>
        <w:tc>
          <w:tcPr>
            <w:tcW w:w="576" w:type="pct"/>
          </w:tcPr>
          <w:p w14:paraId="56831EB3" w14:textId="77777777" w:rsidR="00C71225" w:rsidRPr="0040395D" w:rsidRDefault="00C71225" w:rsidP="00C71225">
            <w:pPr>
              <w:pStyle w:val="TableText"/>
            </w:pPr>
            <w:r w:rsidRPr="0040395D">
              <w:t>AH03</w:t>
            </w:r>
          </w:p>
        </w:tc>
        <w:tc>
          <w:tcPr>
            <w:tcW w:w="3878" w:type="pct"/>
          </w:tcPr>
          <w:p w14:paraId="42A67E5B" w14:textId="77777777" w:rsidR="00C71225" w:rsidRPr="007E4E59" w:rsidRDefault="00C71225" w:rsidP="00C71225">
            <w:pPr>
              <w:pStyle w:val="TableText"/>
              <w:spacing w:before="70" w:after="70"/>
            </w:pPr>
            <w:r w:rsidRPr="007E4E59">
              <w:t>In accordance with Clause 13(1) Schedule 2 of the Aboriginal Heritage Regulations 2018, the project CHMP (no. 11090) contains contingency plans for:</w:t>
            </w:r>
          </w:p>
          <w:p w14:paraId="084A4D17" w14:textId="77777777" w:rsidR="00C71225" w:rsidRPr="007E4E59" w:rsidRDefault="00C71225" w:rsidP="00A775DA">
            <w:pPr>
              <w:pStyle w:val="TableBullet1"/>
            </w:pPr>
            <w:r w:rsidRPr="007E4E59">
              <w:t>unexpected finds of Aboriginal cultural heritage during project construction, operation and decommission</w:t>
            </w:r>
          </w:p>
          <w:p w14:paraId="257C31A4" w14:textId="77777777" w:rsidR="00C71225" w:rsidRPr="007E4E59" w:rsidRDefault="00C71225" w:rsidP="00A775DA">
            <w:pPr>
              <w:pStyle w:val="TableBullet1"/>
            </w:pPr>
            <w:r w:rsidRPr="007E4E59">
              <w:t>the notification and reporting procedure for the discovery of Aboriginal cultural heritage and the management of finds</w:t>
            </w:r>
          </w:p>
          <w:p w14:paraId="28892297" w14:textId="77777777" w:rsidR="00C71225" w:rsidRPr="007E4E59" w:rsidRDefault="00C71225" w:rsidP="00A775DA">
            <w:pPr>
              <w:pStyle w:val="TableBullet1"/>
            </w:pPr>
            <w:r w:rsidRPr="007E4E59">
              <w:t>reviewing compliance with the CHMP.</w:t>
            </w:r>
          </w:p>
          <w:p w14:paraId="3000D5AB" w14:textId="77777777" w:rsidR="00C71225" w:rsidRPr="007E4E59" w:rsidRDefault="00C71225" w:rsidP="00C71225">
            <w:pPr>
              <w:pStyle w:val="TableText"/>
              <w:spacing w:before="70" w:after="70"/>
            </w:pPr>
            <w:r w:rsidRPr="007E4E59">
              <w:t>If previously unknown Aboriginal cultural heritage is discovered or suspected, all activities and works at the location of the discovery and within 20 metres of the extent of the Aboriginal cultural heritage would be suspended and a Heritage Advisor engaged to assess the discovered heritage. First Peoples – State Relations Group would be notified of the discovery.</w:t>
            </w:r>
          </w:p>
          <w:p w14:paraId="476F2069" w14:textId="763682EE" w:rsidR="00C71225" w:rsidRPr="0040395D" w:rsidRDefault="00C71225" w:rsidP="00C71225">
            <w:pPr>
              <w:pStyle w:val="TableText"/>
            </w:pPr>
            <w:r w:rsidRPr="007E4E59">
              <w:t>If any suspected human remains are found during any activity, works would cease, and the Victoria Police and the State Coroner’s Office be notified immediately. If there are reasonable grounds to believe the remains are Aboriginal, the Coronial Admissions and Enquiries hotline must be contacted immediately.</w:t>
            </w:r>
          </w:p>
        </w:tc>
        <w:tc>
          <w:tcPr>
            <w:tcW w:w="546" w:type="pct"/>
          </w:tcPr>
          <w:p w14:paraId="317C2E46" w14:textId="514F2552" w:rsidR="00C71225" w:rsidRPr="0040395D" w:rsidRDefault="00C71225" w:rsidP="00C71225">
            <w:pPr>
              <w:pStyle w:val="TableText"/>
            </w:pPr>
            <w:r w:rsidRPr="0040395D">
              <w:t xml:space="preserve">Construction and </w:t>
            </w:r>
            <w:r>
              <w:t>o</w:t>
            </w:r>
            <w:r w:rsidRPr="0040395D">
              <w:t>peration</w:t>
            </w:r>
          </w:p>
        </w:tc>
      </w:tr>
      <w:tr w:rsidR="00C71225" w:rsidRPr="0040395D" w14:paraId="4D074ACC" w14:textId="77777777" w:rsidTr="00375C7D">
        <w:trPr>
          <w:cantSplit/>
        </w:trPr>
        <w:tc>
          <w:tcPr>
            <w:tcW w:w="5000" w:type="pct"/>
            <w:gridSpan w:val="3"/>
            <w:shd w:val="clear" w:color="auto" w:fill="E6EFE1"/>
          </w:tcPr>
          <w:p w14:paraId="43C3E3CF" w14:textId="77777777" w:rsidR="00C71225" w:rsidRPr="0040395D" w:rsidRDefault="00C71225" w:rsidP="00A775DA">
            <w:pPr>
              <w:pStyle w:val="TableText"/>
              <w:keepNext/>
              <w:rPr>
                <w:b/>
                <w:i/>
              </w:rPr>
            </w:pPr>
            <w:r w:rsidRPr="0040395D">
              <w:rPr>
                <w:b/>
                <w:i/>
              </w:rPr>
              <w:t>Historical cultural heritage</w:t>
            </w:r>
          </w:p>
        </w:tc>
      </w:tr>
      <w:tr w:rsidR="00C71225" w:rsidRPr="0040395D" w14:paraId="4AF16183" w14:textId="77777777" w:rsidTr="00A47875">
        <w:trPr>
          <w:cantSplit/>
        </w:trPr>
        <w:tc>
          <w:tcPr>
            <w:tcW w:w="576" w:type="pct"/>
          </w:tcPr>
          <w:p w14:paraId="2BCD62B5" w14:textId="77777777" w:rsidR="00C71225" w:rsidRPr="0040395D" w:rsidRDefault="00C71225" w:rsidP="00A775DA">
            <w:pPr>
              <w:pStyle w:val="TableText"/>
              <w:keepNext/>
            </w:pPr>
            <w:r w:rsidRPr="0040395D">
              <w:t>HH01</w:t>
            </w:r>
          </w:p>
        </w:tc>
        <w:tc>
          <w:tcPr>
            <w:tcW w:w="3878" w:type="pct"/>
          </w:tcPr>
          <w:p w14:paraId="01507121" w14:textId="3FB59314" w:rsidR="00C71225" w:rsidRPr="0040395D" w:rsidRDefault="00C71225" w:rsidP="00C71225">
            <w:pPr>
              <w:pStyle w:val="TableText"/>
            </w:pPr>
            <w:r w:rsidRPr="00450ED6">
              <w:t>With the exception of the Landers Lane dry stone wall, all known historical heritage places must have a 50</w:t>
            </w:r>
            <w:r>
              <w:t xml:space="preserve"> </w:t>
            </w:r>
            <w:r w:rsidRPr="00450ED6">
              <w:t>m</w:t>
            </w:r>
            <w:r>
              <w:t>etre</w:t>
            </w:r>
            <w:r w:rsidRPr="00450ED6">
              <w:t xml:space="preserve"> protection buffer applied to avoid accidental impacts during construction.</w:t>
            </w:r>
          </w:p>
        </w:tc>
        <w:tc>
          <w:tcPr>
            <w:tcW w:w="546" w:type="pct"/>
          </w:tcPr>
          <w:p w14:paraId="0610BB62" w14:textId="77777777" w:rsidR="00C71225" w:rsidRPr="0040395D" w:rsidRDefault="00C71225" w:rsidP="00C71225">
            <w:pPr>
              <w:pStyle w:val="TableText"/>
            </w:pPr>
            <w:r w:rsidRPr="0040395D">
              <w:t>Design</w:t>
            </w:r>
          </w:p>
        </w:tc>
      </w:tr>
      <w:tr w:rsidR="00C71225" w:rsidRPr="0040395D" w14:paraId="5DCEFE3E" w14:textId="77777777" w:rsidTr="00A47875">
        <w:trPr>
          <w:cantSplit/>
        </w:trPr>
        <w:tc>
          <w:tcPr>
            <w:tcW w:w="576" w:type="pct"/>
          </w:tcPr>
          <w:p w14:paraId="2936CBCB" w14:textId="77777777" w:rsidR="00C71225" w:rsidRPr="0040395D" w:rsidRDefault="00C71225" w:rsidP="00A775DA">
            <w:pPr>
              <w:pStyle w:val="TableText"/>
              <w:keepNext/>
            </w:pPr>
            <w:r w:rsidRPr="0040395D">
              <w:t>HH02</w:t>
            </w:r>
          </w:p>
        </w:tc>
        <w:tc>
          <w:tcPr>
            <w:tcW w:w="3878" w:type="pct"/>
          </w:tcPr>
          <w:p w14:paraId="259BD514" w14:textId="22914398" w:rsidR="00C71225" w:rsidRPr="00450ED6" w:rsidRDefault="00C71225" w:rsidP="00C71225">
            <w:pPr>
              <w:pStyle w:val="TableText"/>
            </w:pPr>
            <w:r w:rsidRPr="00450ED6">
              <w:t xml:space="preserve">An Unexpected Finds Protocol </w:t>
            </w:r>
            <w:r>
              <w:t>would</w:t>
            </w:r>
            <w:r w:rsidRPr="00450ED6">
              <w:t xml:space="preserve"> be developed prior to the commencement of works and incorporated into the </w:t>
            </w:r>
            <w:r w:rsidRPr="00D7107A">
              <w:t>Construction Environmental Management Plan</w:t>
            </w:r>
            <w:r w:rsidRPr="00450ED6">
              <w:t>.</w:t>
            </w:r>
          </w:p>
          <w:p w14:paraId="3635063C" w14:textId="7DE26F0F" w:rsidR="00C71225" w:rsidRPr="0040395D" w:rsidRDefault="00C71225" w:rsidP="00C71225">
            <w:pPr>
              <w:pStyle w:val="TableText"/>
            </w:pPr>
            <w:r w:rsidRPr="00450ED6">
              <w:t xml:space="preserve">Site workers </w:t>
            </w:r>
            <w:r>
              <w:t>would</w:t>
            </w:r>
            <w:r w:rsidRPr="00450ED6">
              <w:t xml:space="preserve"> be inducted as to the nature of unexpected finds and what action to take if any are found.</w:t>
            </w:r>
          </w:p>
        </w:tc>
        <w:tc>
          <w:tcPr>
            <w:tcW w:w="546" w:type="pct"/>
          </w:tcPr>
          <w:p w14:paraId="2B3CFD52" w14:textId="132E3204" w:rsidR="00C71225" w:rsidRPr="0040395D" w:rsidRDefault="00C71225" w:rsidP="00C71225">
            <w:pPr>
              <w:pStyle w:val="TableText"/>
            </w:pPr>
            <w:r>
              <w:t>Pre-construction</w:t>
            </w:r>
          </w:p>
        </w:tc>
      </w:tr>
      <w:tr w:rsidR="00C71225" w:rsidRPr="0040395D" w14:paraId="0870DE4C" w14:textId="77777777" w:rsidTr="00A47875">
        <w:trPr>
          <w:cantSplit/>
        </w:trPr>
        <w:tc>
          <w:tcPr>
            <w:tcW w:w="576" w:type="pct"/>
          </w:tcPr>
          <w:p w14:paraId="68FC66FD" w14:textId="77777777" w:rsidR="00C71225" w:rsidRPr="0040395D" w:rsidRDefault="00C71225" w:rsidP="00694153">
            <w:pPr>
              <w:pStyle w:val="TableText"/>
              <w:keepNext/>
            </w:pPr>
            <w:r w:rsidRPr="0040395D">
              <w:t>HH03</w:t>
            </w:r>
          </w:p>
        </w:tc>
        <w:tc>
          <w:tcPr>
            <w:tcW w:w="3878" w:type="pct"/>
          </w:tcPr>
          <w:p w14:paraId="3607E947" w14:textId="470F4203" w:rsidR="00C71225" w:rsidRPr="0040395D" w:rsidRDefault="00C71225" w:rsidP="00C71225">
            <w:pPr>
              <w:pStyle w:val="TableText"/>
            </w:pPr>
            <w:r w:rsidRPr="00450ED6">
              <w:t xml:space="preserve">If any historical heritage </w:t>
            </w:r>
            <w:r>
              <w:t>sites</w:t>
            </w:r>
            <w:r w:rsidRPr="00450ED6">
              <w:t xml:space="preserve"> are encountered during the course of construction, works </w:t>
            </w:r>
            <w:r>
              <w:t>would</w:t>
            </w:r>
            <w:r w:rsidRPr="00450ED6">
              <w:t xml:space="preserve"> cease within 50 m</w:t>
            </w:r>
            <w:r>
              <w:t>etres</w:t>
            </w:r>
            <w:r w:rsidRPr="00450ED6">
              <w:t xml:space="preserve"> of the area of concern and a buffer zone established, and a qualified Heritage Advisor (or Heritage Victoria) </w:t>
            </w:r>
            <w:r>
              <w:t>would</w:t>
            </w:r>
            <w:r w:rsidRPr="00450ED6">
              <w:t xml:space="preserve"> be contacted to investigate.</w:t>
            </w:r>
          </w:p>
        </w:tc>
        <w:tc>
          <w:tcPr>
            <w:tcW w:w="546" w:type="pct"/>
          </w:tcPr>
          <w:p w14:paraId="688D1BD0" w14:textId="77777777" w:rsidR="00C71225" w:rsidRPr="0040395D" w:rsidRDefault="00C71225" w:rsidP="00C71225">
            <w:pPr>
              <w:pStyle w:val="TableText"/>
            </w:pPr>
            <w:r w:rsidRPr="0040395D">
              <w:t>Construction</w:t>
            </w:r>
          </w:p>
        </w:tc>
      </w:tr>
      <w:tr w:rsidR="00C71225" w:rsidRPr="0040395D" w14:paraId="3D39145E" w14:textId="77777777" w:rsidTr="00A47875">
        <w:trPr>
          <w:cantSplit/>
        </w:trPr>
        <w:tc>
          <w:tcPr>
            <w:tcW w:w="576" w:type="pct"/>
          </w:tcPr>
          <w:p w14:paraId="6D0CB404" w14:textId="77777777" w:rsidR="00C71225" w:rsidRPr="0040395D" w:rsidRDefault="00C71225" w:rsidP="00C71225">
            <w:pPr>
              <w:pStyle w:val="TableText"/>
            </w:pPr>
            <w:r w:rsidRPr="0040395D">
              <w:t>HH04</w:t>
            </w:r>
          </w:p>
        </w:tc>
        <w:tc>
          <w:tcPr>
            <w:tcW w:w="3878" w:type="pct"/>
          </w:tcPr>
          <w:p w14:paraId="1B62F651" w14:textId="0CDB8535" w:rsidR="00C71225" w:rsidRPr="0040395D" w:rsidRDefault="00C71225" w:rsidP="00C71225">
            <w:pPr>
              <w:pStyle w:val="TableText"/>
            </w:pPr>
            <w:r w:rsidRPr="00450ED6">
              <w:t xml:space="preserve">Gates constructed in the Landers Lane dry stone wall </w:t>
            </w:r>
            <w:r>
              <w:t>would</w:t>
            </w:r>
            <w:r w:rsidRPr="00450ED6">
              <w:t xml:space="preserve"> be no greater than 8</w:t>
            </w:r>
            <w:r>
              <w:t>-</w:t>
            </w:r>
            <w:r w:rsidRPr="00450ED6">
              <w:t>m</w:t>
            </w:r>
            <w:r>
              <w:t>etre-</w:t>
            </w:r>
            <w:r w:rsidRPr="00450ED6">
              <w:t>wide.</w:t>
            </w:r>
          </w:p>
        </w:tc>
        <w:tc>
          <w:tcPr>
            <w:tcW w:w="546" w:type="pct"/>
          </w:tcPr>
          <w:p w14:paraId="3E903474" w14:textId="77777777" w:rsidR="00C71225" w:rsidRPr="0040395D" w:rsidRDefault="00C71225" w:rsidP="00C71225">
            <w:pPr>
              <w:pStyle w:val="TableText"/>
            </w:pPr>
            <w:r w:rsidRPr="0040395D">
              <w:t>Design</w:t>
            </w:r>
          </w:p>
        </w:tc>
      </w:tr>
      <w:tr w:rsidR="00C71225" w:rsidRPr="0040395D" w14:paraId="1953016D" w14:textId="77777777" w:rsidTr="00A47875">
        <w:trPr>
          <w:cantSplit/>
        </w:trPr>
        <w:tc>
          <w:tcPr>
            <w:tcW w:w="576" w:type="pct"/>
          </w:tcPr>
          <w:p w14:paraId="51CF25E6" w14:textId="77777777" w:rsidR="00C71225" w:rsidRPr="0040395D" w:rsidRDefault="00C71225" w:rsidP="00C71225">
            <w:pPr>
              <w:pStyle w:val="TableText"/>
            </w:pPr>
            <w:r w:rsidRPr="0040395D">
              <w:t>HH05</w:t>
            </w:r>
          </w:p>
        </w:tc>
        <w:tc>
          <w:tcPr>
            <w:tcW w:w="3878" w:type="pct"/>
          </w:tcPr>
          <w:p w14:paraId="12EDDAE6" w14:textId="27419A39" w:rsidR="00C71225" w:rsidRPr="0040395D" w:rsidRDefault="00C71225" w:rsidP="00C71225">
            <w:pPr>
              <w:pStyle w:val="TableText"/>
            </w:pPr>
            <w:r w:rsidRPr="0040395D">
              <w:t>Prior to works impacting any dry stone wall, the relevant planning permit(s) must be obtained from Moyne Shire Council</w:t>
            </w:r>
            <w:r>
              <w:t>.</w:t>
            </w:r>
          </w:p>
        </w:tc>
        <w:tc>
          <w:tcPr>
            <w:tcW w:w="546" w:type="pct"/>
          </w:tcPr>
          <w:p w14:paraId="49F36413" w14:textId="117CECA6" w:rsidR="00C71225" w:rsidRPr="0040395D" w:rsidRDefault="00C71225" w:rsidP="00C71225">
            <w:pPr>
              <w:pStyle w:val="TableText"/>
            </w:pPr>
            <w:bookmarkStart w:id="138" w:name="_Hlk99440548"/>
            <w:r>
              <w:t>Pre-construction</w:t>
            </w:r>
            <w:r w:rsidRPr="0040395D">
              <w:t xml:space="preserve"> </w:t>
            </w:r>
            <w:bookmarkEnd w:id="138"/>
          </w:p>
        </w:tc>
      </w:tr>
      <w:tr w:rsidR="00C71225" w:rsidRPr="0040395D" w14:paraId="64F7869D" w14:textId="77777777" w:rsidTr="00A47875">
        <w:trPr>
          <w:cantSplit/>
        </w:trPr>
        <w:tc>
          <w:tcPr>
            <w:tcW w:w="576" w:type="pct"/>
          </w:tcPr>
          <w:p w14:paraId="206A61E1" w14:textId="77777777" w:rsidR="00C71225" w:rsidRPr="0040395D" w:rsidRDefault="00C71225" w:rsidP="00C71225">
            <w:pPr>
              <w:pStyle w:val="TableText"/>
            </w:pPr>
            <w:r w:rsidRPr="0040395D">
              <w:t>HH06</w:t>
            </w:r>
          </w:p>
        </w:tc>
        <w:tc>
          <w:tcPr>
            <w:tcW w:w="3878" w:type="pct"/>
          </w:tcPr>
          <w:p w14:paraId="2C39BFD1" w14:textId="4F9481F0" w:rsidR="00C71225" w:rsidRPr="0040395D" w:rsidRDefault="00C71225" w:rsidP="00C71225">
            <w:pPr>
              <w:pStyle w:val="TableText"/>
            </w:pPr>
            <w:r w:rsidRPr="00450ED6">
              <w:t xml:space="preserve">Where dry stone walls are impacted by the project, planned or accidental, and that impact is not permanently required (i.e., for access), the dry stone walls </w:t>
            </w:r>
            <w:r>
              <w:t>would</w:t>
            </w:r>
            <w:r w:rsidRPr="00450ED6">
              <w:t xml:space="preserve"> be rebuilt to its existing condition by an experienced stone mason.</w:t>
            </w:r>
          </w:p>
        </w:tc>
        <w:tc>
          <w:tcPr>
            <w:tcW w:w="546" w:type="pct"/>
          </w:tcPr>
          <w:p w14:paraId="3E808EEA" w14:textId="77777777" w:rsidR="00C71225" w:rsidRPr="0040395D" w:rsidRDefault="00C71225" w:rsidP="00C71225">
            <w:pPr>
              <w:pStyle w:val="TableText"/>
            </w:pPr>
            <w:r w:rsidRPr="0040395D">
              <w:t>Construction</w:t>
            </w:r>
          </w:p>
        </w:tc>
      </w:tr>
      <w:tr w:rsidR="00C71225" w:rsidRPr="0040395D" w14:paraId="02A9B956" w14:textId="77777777" w:rsidTr="00375C7D">
        <w:trPr>
          <w:cantSplit/>
        </w:trPr>
        <w:tc>
          <w:tcPr>
            <w:tcW w:w="5000" w:type="pct"/>
            <w:gridSpan w:val="3"/>
            <w:shd w:val="clear" w:color="auto" w:fill="E6EFE1"/>
          </w:tcPr>
          <w:p w14:paraId="0C5DB9B3" w14:textId="77777777" w:rsidR="00C71225" w:rsidRPr="0040395D" w:rsidRDefault="00C71225" w:rsidP="00C71225">
            <w:pPr>
              <w:pStyle w:val="TableText"/>
              <w:keepNext/>
              <w:rPr>
                <w:b/>
                <w:i/>
              </w:rPr>
            </w:pPr>
            <w:r w:rsidRPr="0040395D">
              <w:rPr>
                <w:b/>
                <w:i/>
              </w:rPr>
              <w:t>Air quality</w:t>
            </w:r>
          </w:p>
        </w:tc>
      </w:tr>
      <w:tr w:rsidR="00C71225" w:rsidRPr="0040395D" w14:paraId="3A886713" w14:textId="77777777" w:rsidTr="00A47875">
        <w:trPr>
          <w:cantSplit/>
        </w:trPr>
        <w:tc>
          <w:tcPr>
            <w:tcW w:w="576" w:type="pct"/>
          </w:tcPr>
          <w:p w14:paraId="4437C4CA" w14:textId="77777777" w:rsidR="00C71225" w:rsidRPr="0040395D" w:rsidRDefault="00C71225" w:rsidP="00C71225">
            <w:pPr>
              <w:pStyle w:val="TableText"/>
            </w:pPr>
            <w:r w:rsidRPr="0040395D">
              <w:t>AQ01</w:t>
            </w:r>
          </w:p>
        </w:tc>
        <w:tc>
          <w:tcPr>
            <w:tcW w:w="3878" w:type="pct"/>
          </w:tcPr>
          <w:p w14:paraId="601ECDC6" w14:textId="1CFD8F26" w:rsidR="00C71225" w:rsidRPr="00F34280" w:rsidRDefault="00C71225" w:rsidP="00C71225">
            <w:pPr>
              <w:pStyle w:val="TableText"/>
            </w:pPr>
            <w:r w:rsidRPr="00F34280">
              <w:t xml:space="preserve">A </w:t>
            </w:r>
            <w:r w:rsidRPr="00256ACF">
              <w:t xml:space="preserve">Construction Environmental Management Plan </w:t>
            </w:r>
            <w:r>
              <w:t>would</w:t>
            </w:r>
            <w:r w:rsidRPr="00F34280">
              <w:t xml:space="preserve"> be developed and implemented, which </w:t>
            </w:r>
            <w:r>
              <w:t>would</w:t>
            </w:r>
            <w:r w:rsidRPr="00F34280">
              <w:t xml:space="preserve"> specifically address air emissions and mitigations. This document would be in accordance with the requirements of the new </w:t>
            </w:r>
            <w:r w:rsidRPr="00F34280">
              <w:rPr>
                <w:i/>
              </w:rPr>
              <w:t>Environment Protection Act 2017</w:t>
            </w:r>
            <w:r w:rsidRPr="00F34280">
              <w:t xml:space="preserve"> and best practice guidance documents including, but not limited to:</w:t>
            </w:r>
          </w:p>
          <w:p w14:paraId="18C9188C" w14:textId="77777777" w:rsidR="00C71225" w:rsidRPr="001A6ED9" w:rsidRDefault="00C71225" w:rsidP="00C71225">
            <w:pPr>
              <w:pStyle w:val="TableBullet1"/>
              <w:rPr>
                <w:i/>
                <w:iCs/>
              </w:rPr>
            </w:pPr>
            <w:r w:rsidRPr="00F34280">
              <w:t xml:space="preserve">EPA Victoria Publication 1823: </w:t>
            </w:r>
            <w:r w:rsidRPr="001A6ED9">
              <w:rPr>
                <w:i/>
                <w:iCs/>
              </w:rPr>
              <w:t>Mining and quarrying – Guide to preventing harm to people and the environment</w:t>
            </w:r>
          </w:p>
          <w:p w14:paraId="75BF70BF" w14:textId="77777777" w:rsidR="00C71225" w:rsidRPr="001A6ED9" w:rsidRDefault="00C71225" w:rsidP="00C71225">
            <w:pPr>
              <w:pStyle w:val="TableBullet1"/>
              <w:rPr>
                <w:i/>
                <w:iCs/>
              </w:rPr>
            </w:pPr>
            <w:r w:rsidRPr="00F34280">
              <w:t xml:space="preserve">EPA Victoria Publication 1834: </w:t>
            </w:r>
            <w:r w:rsidRPr="001A6ED9">
              <w:rPr>
                <w:i/>
                <w:iCs/>
              </w:rPr>
              <w:t>Civil construction, building and demolition guide.</w:t>
            </w:r>
          </w:p>
          <w:p w14:paraId="4C5550F0" w14:textId="215C0DCD" w:rsidR="00C71225" w:rsidRPr="00F34280" w:rsidRDefault="00C71225" w:rsidP="00C71225">
            <w:pPr>
              <w:pStyle w:val="TableText"/>
            </w:pPr>
            <w:r w:rsidRPr="00F34280">
              <w:t xml:space="preserve">A site-specific dust management plan (sub-plan of the Construction Environmental Management Plan) </w:t>
            </w:r>
            <w:r>
              <w:t>would</w:t>
            </w:r>
            <w:r w:rsidRPr="00F34280">
              <w:t xml:space="preserve"> identify potential and existing dust sources and outline best practice design controls and management practices to minimise dust. These measures would include, but not be limited to:</w:t>
            </w:r>
          </w:p>
          <w:p w14:paraId="000EE347" w14:textId="77777777" w:rsidR="00C71225" w:rsidRPr="00F34280" w:rsidRDefault="00C71225" w:rsidP="00C71225">
            <w:pPr>
              <w:pStyle w:val="TableBullet1"/>
            </w:pPr>
            <w:r w:rsidRPr="00F34280">
              <w:t xml:space="preserve">watering of unsealed roads to reduce wheel generated dust </w:t>
            </w:r>
          </w:p>
          <w:p w14:paraId="5631D756" w14:textId="77777777" w:rsidR="00C71225" w:rsidRPr="00F34280" w:rsidRDefault="00C71225" w:rsidP="00C71225">
            <w:pPr>
              <w:pStyle w:val="TableBullet1"/>
            </w:pPr>
            <w:r w:rsidRPr="00F34280">
              <w:t xml:space="preserve">use of water sprays to reduce wind erosion from material stockpiles and exposed areas </w:t>
            </w:r>
          </w:p>
          <w:p w14:paraId="511ECF17" w14:textId="77777777" w:rsidR="00C71225" w:rsidRPr="00F34280" w:rsidRDefault="00C71225" w:rsidP="00C71225">
            <w:pPr>
              <w:pStyle w:val="TableBullet1"/>
            </w:pPr>
            <w:r w:rsidRPr="00F34280">
              <w:t>use of water sprays as required for material transfer operations and quarry activities (e.g., drilling rock, crushing and screening)</w:t>
            </w:r>
          </w:p>
          <w:p w14:paraId="25FB8C75" w14:textId="77777777" w:rsidR="00C71225" w:rsidRDefault="00C71225" w:rsidP="00C71225">
            <w:pPr>
              <w:pStyle w:val="TableBullet1"/>
            </w:pPr>
            <w:r>
              <w:t>restricting vehicle speeds to 20 kilometres per hours near sensitive areas such as dwellings</w:t>
            </w:r>
          </w:p>
          <w:p w14:paraId="3E483BF2" w14:textId="77777777" w:rsidR="00C71225" w:rsidRPr="00F34280" w:rsidRDefault="00C71225" w:rsidP="00C71225">
            <w:pPr>
              <w:pStyle w:val="TableBullet1"/>
            </w:pPr>
            <w:r w:rsidRPr="00F34280">
              <w:t>site</w:t>
            </w:r>
            <w:r>
              <w:t>-</w:t>
            </w:r>
            <w:r w:rsidRPr="00F34280">
              <w:t>specific dust control measures for dust producing activities</w:t>
            </w:r>
          </w:p>
          <w:p w14:paraId="74308BC7" w14:textId="77777777" w:rsidR="00C71225" w:rsidRPr="00F34280" w:rsidRDefault="00C71225" w:rsidP="00C71225">
            <w:pPr>
              <w:pStyle w:val="TableBullet1"/>
            </w:pPr>
            <w:r w:rsidRPr="00F34280">
              <w:t xml:space="preserve">monitoring of forecast and real time local wind parameters (e.g., wind speed, wind direction) and adjustment of dust generating activities, as required, to reduce impact to sensitive receptors </w:t>
            </w:r>
          </w:p>
          <w:p w14:paraId="056F3B78" w14:textId="77777777" w:rsidR="00C71225" w:rsidRPr="00F34280" w:rsidRDefault="00C71225" w:rsidP="00C71225">
            <w:pPr>
              <w:pStyle w:val="TableBullet1"/>
            </w:pPr>
            <w:r w:rsidRPr="00F34280">
              <w:t>sequencing of vegetation removal within the quarry work authority area where feasible to minimise the amount of disturbed land exposed to wind erosion</w:t>
            </w:r>
          </w:p>
          <w:p w14:paraId="17492CE8" w14:textId="77777777" w:rsidR="00C71225" w:rsidRPr="00F34280" w:rsidRDefault="00C71225" w:rsidP="00C71225">
            <w:pPr>
              <w:pStyle w:val="TableBullet1"/>
            </w:pPr>
            <w:r w:rsidRPr="00F34280">
              <w:t xml:space="preserve">rehabilitation and revegetation of inactive stockpiles and disturbed areas to reduce wind erosion </w:t>
            </w:r>
          </w:p>
          <w:p w14:paraId="6D4C909A" w14:textId="195AC60B" w:rsidR="00C71225" w:rsidRPr="00F34280" w:rsidRDefault="00C71225" w:rsidP="00C71225">
            <w:pPr>
              <w:pStyle w:val="TableBullet1"/>
            </w:pPr>
            <w:r w:rsidRPr="00F34280">
              <w:t>selection of equipment, e.g., concrete batching plants, which have integrated best practice dust control features</w:t>
            </w:r>
          </w:p>
          <w:p w14:paraId="2D54595C" w14:textId="77777777" w:rsidR="00C71225" w:rsidRPr="00F34280" w:rsidRDefault="00C71225" w:rsidP="00C71225">
            <w:pPr>
              <w:pStyle w:val="TableBullet1"/>
            </w:pPr>
            <w:r w:rsidRPr="00F34280">
              <w:t xml:space="preserve">regular visual monitoring of dust, with results recorded in a dust management database </w:t>
            </w:r>
          </w:p>
          <w:p w14:paraId="17F4EA2D" w14:textId="77777777" w:rsidR="00C71225" w:rsidRPr="00F34280" w:rsidRDefault="00C71225" w:rsidP="00C71225">
            <w:pPr>
              <w:pStyle w:val="TableBullet1"/>
            </w:pPr>
            <w:r w:rsidRPr="00F34280">
              <w:t>regular monitoring of the effectiveness of dust control measures. If dust controls are found to be ineffective, these would be reviewed (internally and / or by an external dust specialist, if required) and amended as necessary</w:t>
            </w:r>
          </w:p>
          <w:p w14:paraId="29C88C54" w14:textId="089ADC1B" w:rsidR="00C71225" w:rsidRPr="00F34280" w:rsidRDefault="00C71225" w:rsidP="00C71225">
            <w:pPr>
              <w:pStyle w:val="TableBullet1"/>
            </w:pPr>
            <w:r w:rsidRPr="00F34280">
              <w:t>contingency measures where dust plumes are identified during visual monitoring and/or the project receives dust related complaints</w:t>
            </w:r>
          </w:p>
          <w:p w14:paraId="0DBC2D0A" w14:textId="77777777" w:rsidR="00C71225" w:rsidRPr="00F34280" w:rsidRDefault="00C71225" w:rsidP="00C71225">
            <w:pPr>
              <w:pStyle w:val="TableBullet1"/>
            </w:pPr>
            <w:r w:rsidRPr="00F34280">
              <w:t>dust management training would be undertaken for construction workforce as part of the site-specific induction, outlining controls to be implemented during construction to manage potential air quality impacts</w:t>
            </w:r>
          </w:p>
          <w:p w14:paraId="071886CB" w14:textId="77777777" w:rsidR="00C71225" w:rsidRPr="00F34280" w:rsidRDefault="00C71225" w:rsidP="00C71225">
            <w:pPr>
              <w:pStyle w:val="TableBullet1"/>
            </w:pPr>
            <w:r w:rsidRPr="00F34280">
              <w:t>procedures for monitoring of weather (e.g., wind speed, wind direction) and triggers to adjust dust generating activities</w:t>
            </w:r>
          </w:p>
          <w:p w14:paraId="52F7C906" w14:textId="77777777" w:rsidR="00C71225" w:rsidRPr="00F34280" w:rsidRDefault="00C71225" w:rsidP="00C71225">
            <w:pPr>
              <w:pStyle w:val="TableBullet1"/>
            </w:pPr>
            <w:r w:rsidRPr="00F34280">
              <w:t>complaint investigation and response plan</w:t>
            </w:r>
          </w:p>
          <w:p w14:paraId="6772B6D0" w14:textId="0108979F" w:rsidR="00C71225" w:rsidRPr="0040395D" w:rsidRDefault="00C71225" w:rsidP="00C71225">
            <w:pPr>
              <w:pStyle w:val="TableBullet1"/>
            </w:pPr>
            <w:r w:rsidRPr="00F34280">
              <w:t>procedures for reporting the project’s performance against regulatory limits.</w:t>
            </w:r>
          </w:p>
        </w:tc>
        <w:tc>
          <w:tcPr>
            <w:tcW w:w="546" w:type="pct"/>
          </w:tcPr>
          <w:p w14:paraId="36DC3FCD" w14:textId="183D1412" w:rsidR="00C71225" w:rsidRPr="0040395D" w:rsidRDefault="00C71225" w:rsidP="00C71225">
            <w:pPr>
              <w:pStyle w:val="TableText"/>
            </w:pPr>
            <w:r w:rsidRPr="0040395D">
              <w:t>Construction</w:t>
            </w:r>
            <w:r>
              <w:t xml:space="preserve"> and o</w:t>
            </w:r>
            <w:r w:rsidRPr="0040395D">
              <w:t>peration</w:t>
            </w:r>
          </w:p>
        </w:tc>
      </w:tr>
      <w:tr w:rsidR="00C71225" w:rsidRPr="0040395D" w14:paraId="1451A7D9" w14:textId="77777777" w:rsidTr="00A47875">
        <w:trPr>
          <w:cantSplit/>
        </w:trPr>
        <w:tc>
          <w:tcPr>
            <w:tcW w:w="576" w:type="pct"/>
          </w:tcPr>
          <w:p w14:paraId="1DE7284F" w14:textId="77777777" w:rsidR="00C71225" w:rsidRPr="0040395D" w:rsidRDefault="00C71225" w:rsidP="00C71225">
            <w:pPr>
              <w:pStyle w:val="TableText"/>
            </w:pPr>
            <w:r w:rsidRPr="0040395D">
              <w:t>AQ02</w:t>
            </w:r>
          </w:p>
        </w:tc>
        <w:tc>
          <w:tcPr>
            <w:tcW w:w="3878" w:type="pct"/>
          </w:tcPr>
          <w:p w14:paraId="14CA7FA4" w14:textId="13E498FC" w:rsidR="00C71225" w:rsidRPr="0040395D" w:rsidRDefault="00C71225" w:rsidP="00C71225">
            <w:pPr>
              <w:pStyle w:val="TableText"/>
            </w:pPr>
            <w:r w:rsidRPr="0040395D">
              <w:t xml:space="preserve">All project concrete batching plants </w:t>
            </w:r>
            <w:r>
              <w:t>would</w:t>
            </w:r>
            <w:r w:rsidRPr="0040395D">
              <w:t xml:space="preserve"> be designed and operated to adequately control dust emissions, as per guidelines set out in EPA Victoria Publication 1806: </w:t>
            </w:r>
            <w:r w:rsidRPr="00EE3EAC">
              <w:rPr>
                <w:i/>
                <w:iCs/>
              </w:rPr>
              <w:t>Reducing risk in the premixed concrete industry</w:t>
            </w:r>
            <w:r w:rsidRPr="0040395D">
              <w:t>.</w:t>
            </w:r>
          </w:p>
        </w:tc>
        <w:tc>
          <w:tcPr>
            <w:tcW w:w="546" w:type="pct"/>
          </w:tcPr>
          <w:p w14:paraId="378F6CE7" w14:textId="77777777" w:rsidR="00C71225" w:rsidRPr="0040395D" w:rsidRDefault="00C71225" w:rsidP="00C71225">
            <w:pPr>
              <w:pStyle w:val="TableText"/>
            </w:pPr>
            <w:r w:rsidRPr="0040395D">
              <w:t>Construction and operation</w:t>
            </w:r>
          </w:p>
        </w:tc>
      </w:tr>
      <w:tr w:rsidR="00C71225" w:rsidRPr="0040395D" w14:paraId="034A3FE1" w14:textId="77777777" w:rsidTr="00A47875">
        <w:trPr>
          <w:cantSplit/>
        </w:trPr>
        <w:tc>
          <w:tcPr>
            <w:tcW w:w="576" w:type="pct"/>
          </w:tcPr>
          <w:p w14:paraId="1BA0DFB7" w14:textId="77777777" w:rsidR="00C71225" w:rsidRPr="0040395D" w:rsidRDefault="00C71225" w:rsidP="00C71225">
            <w:pPr>
              <w:pStyle w:val="TableText"/>
            </w:pPr>
            <w:r w:rsidRPr="0040395D">
              <w:t>AQ03</w:t>
            </w:r>
          </w:p>
        </w:tc>
        <w:tc>
          <w:tcPr>
            <w:tcW w:w="3878" w:type="pct"/>
          </w:tcPr>
          <w:p w14:paraId="05B32595" w14:textId="3C2F4D69" w:rsidR="00C71225" w:rsidRPr="0040395D" w:rsidRDefault="00C71225" w:rsidP="00C71225">
            <w:pPr>
              <w:pStyle w:val="TableText"/>
            </w:pPr>
            <w:r w:rsidRPr="0040395D">
              <w:t xml:space="preserve">A Quarry Work </w:t>
            </w:r>
            <w:r w:rsidRPr="00A457F8">
              <w:t xml:space="preserve">Plan will be developed in accordance with section 77G of the Mineral Resources </w:t>
            </w:r>
            <w:r w:rsidRPr="00A457F8">
              <w:rPr>
                <w:i/>
                <w:iCs/>
              </w:rPr>
              <w:t>(Sustainable Development) Act 1990</w:t>
            </w:r>
            <w:r w:rsidRPr="00A457F8">
              <w:t>. This plan will contain measures for the control of emissions of dust or other particulates, and the carriage and deposition of dust, silt and clay by vehicles existing the work authority area. These controls will be in accordance with best practice management standards including, b</w:t>
            </w:r>
            <w:r w:rsidRPr="0040395D">
              <w:t xml:space="preserve">ut not limited to: </w:t>
            </w:r>
          </w:p>
          <w:p w14:paraId="44B57E26" w14:textId="77777777" w:rsidR="00C71225" w:rsidRPr="0042481B" w:rsidRDefault="00C71225" w:rsidP="00C71225">
            <w:pPr>
              <w:pStyle w:val="TableBullet1"/>
              <w:rPr>
                <w:i/>
                <w:iCs/>
              </w:rPr>
            </w:pPr>
            <w:r w:rsidRPr="0040395D">
              <w:t xml:space="preserve">EPA Victoria Publication 1191: </w:t>
            </w:r>
            <w:r w:rsidRPr="0042481B">
              <w:rPr>
                <w:i/>
                <w:iCs/>
              </w:rPr>
              <w:t xml:space="preserve">Protocol for Environmental Management: Mining and Extractive Industries </w:t>
            </w:r>
          </w:p>
          <w:p w14:paraId="255A497C" w14:textId="6AAAEA03" w:rsidR="00C71225" w:rsidRPr="0042481B" w:rsidRDefault="00C71225" w:rsidP="00C71225">
            <w:pPr>
              <w:pStyle w:val="TableBullet1"/>
              <w:rPr>
                <w:i/>
                <w:iCs/>
              </w:rPr>
            </w:pPr>
            <w:r w:rsidRPr="0040395D">
              <w:t xml:space="preserve">EPA Victoria Publication 1518: </w:t>
            </w:r>
            <w:r w:rsidRPr="0042481B">
              <w:rPr>
                <w:i/>
                <w:iCs/>
              </w:rPr>
              <w:t>Recommended separation distances for industrial residual air emissions</w:t>
            </w:r>
          </w:p>
          <w:p w14:paraId="13C1DDA3" w14:textId="77777777" w:rsidR="00C71225" w:rsidRPr="0040395D" w:rsidRDefault="00C71225" w:rsidP="00C71225">
            <w:pPr>
              <w:pStyle w:val="TableBullet1"/>
            </w:pPr>
            <w:r w:rsidRPr="0040395D">
              <w:t>National Environmental Protection (Ambient Air Quality) Measure.</w:t>
            </w:r>
          </w:p>
        </w:tc>
        <w:tc>
          <w:tcPr>
            <w:tcW w:w="546" w:type="pct"/>
          </w:tcPr>
          <w:p w14:paraId="0F607A8E" w14:textId="3A98E286" w:rsidR="00C71225" w:rsidRPr="0040395D" w:rsidRDefault="00C71225" w:rsidP="00C71225">
            <w:pPr>
              <w:pStyle w:val="TableText"/>
            </w:pPr>
            <w:r w:rsidRPr="0040395D">
              <w:t>Construction and operation</w:t>
            </w:r>
          </w:p>
        </w:tc>
      </w:tr>
      <w:tr w:rsidR="00C71225" w:rsidRPr="0040395D" w14:paraId="449711AF" w14:textId="77777777" w:rsidTr="00375C7D">
        <w:trPr>
          <w:cantSplit/>
        </w:trPr>
        <w:tc>
          <w:tcPr>
            <w:tcW w:w="5000" w:type="pct"/>
            <w:gridSpan w:val="3"/>
            <w:shd w:val="clear" w:color="auto" w:fill="E6EFE1"/>
          </w:tcPr>
          <w:p w14:paraId="5281473F" w14:textId="77777777" w:rsidR="00C71225" w:rsidRPr="0040395D" w:rsidRDefault="00C71225" w:rsidP="00C71225">
            <w:pPr>
              <w:pStyle w:val="TableText"/>
              <w:rPr>
                <w:b/>
                <w:i/>
              </w:rPr>
            </w:pPr>
            <w:r w:rsidRPr="0040395D">
              <w:rPr>
                <w:b/>
                <w:i/>
              </w:rPr>
              <w:t>Shadow flicker</w:t>
            </w:r>
          </w:p>
        </w:tc>
      </w:tr>
      <w:tr w:rsidR="00C71225" w:rsidRPr="0040395D" w14:paraId="7C47619C" w14:textId="77777777" w:rsidTr="00A47875">
        <w:trPr>
          <w:cantSplit/>
        </w:trPr>
        <w:tc>
          <w:tcPr>
            <w:tcW w:w="576" w:type="pct"/>
          </w:tcPr>
          <w:p w14:paraId="728E303A" w14:textId="77777777" w:rsidR="00C71225" w:rsidRPr="0040395D" w:rsidRDefault="00C71225" w:rsidP="00C71225">
            <w:pPr>
              <w:pStyle w:val="TableText"/>
            </w:pPr>
            <w:r w:rsidRPr="0040395D">
              <w:t>SF01</w:t>
            </w:r>
          </w:p>
        </w:tc>
        <w:tc>
          <w:tcPr>
            <w:tcW w:w="3878" w:type="pct"/>
          </w:tcPr>
          <w:p w14:paraId="53DD101D" w14:textId="54521A97" w:rsidR="00C71225" w:rsidRPr="0040395D" w:rsidRDefault="00C71225" w:rsidP="00C71225">
            <w:pPr>
              <w:pStyle w:val="TableText"/>
            </w:pPr>
            <w:r w:rsidRPr="00002938">
              <w:t xml:space="preserve">A pre-construction assessment of the potential effects of shadow flicker from turbines on existing dwellings is to be undertaken for the final turbine layout in accordance with </w:t>
            </w:r>
            <w:r>
              <w:t xml:space="preserve">the DELWP (2021) </w:t>
            </w:r>
            <w:r w:rsidRPr="00002938">
              <w:rPr>
                <w:i/>
              </w:rPr>
              <w:t>Policy and Planning Guidelines for the Development of Wind Energy Facilities in Victoria,</w:t>
            </w:r>
            <w:r w:rsidRPr="00002938">
              <w:t xml:space="preserve"> and to the satisfaction of the responsible authority.</w:t>
            </w:r>
          </w:p>
        </w:tc>
        <w:tc>
          <w:tcPr>
            <w:tcW w:w="546" w:type="pct"/>
          </w:tcPr>
          <w:p w14:paraId="62C009DD" w14:textId="2262F4EC" w:rsidR="00C71225" w:rsidRPr="0040395D" w:rsidRDefault="00C71225" w:rsidP="00C71225">
            <w:pPr>
              <w:pStyle w:val="TableText"/>
            </w:pPr>
            <w:r>
              <w:t>C</w:t>
            </w:r>
            <w:r w:rsidRPr="0040395D">
              <w:t>onstruction</w:t>
            </w:r>
          </w:p>
        </w:tc>
      </w:tr>
      <w:tr w:rsidR="00C71225" w:rsidRPr="0040395D" w14:paraId="7E553469" w14:textId="77777777" w:rsidTr="00A47875">
        <w:trPr>
          <w:cantSplit/>
        </w:trPr>
        <w:tc>
          <w:tcPr>
            <w:tcW w:w="576" w:type="pct"/>
          </w:tcPr>
          <w:p w14:paraId="5978A750" w14:textId="77777777" w:rsidR="00C71225" w:rsidRPr="0040395D" w:rsidRDefault="00C71225" w:rsidP="00C71225">
            <w:pPr>
              <w:pStyle w:val="TableText"/>
            </w:pPr>
            <w:r w:rsidRPr="0040395D">
              <w:t>SF02</w:t>
            </w:r>
          </w:p>
        </w:tc>
        <w:tc>
          <w:tcPr>
            <w:tcW w:w="3878" w:type="pct"/>
          </w:tcPr>
          <w:p w14:paraId="04B79BD5" w14:textId="43782E80" w:rsidR="00C71225" w:rsidRPr="0040395D" w:rsidRDefault="00571F0B" w:rsidP="00C71225">
            <w:pPr>
              <w:pStyle w:val="TableText"/>
            </w:pPr>
            <w:r w:rsidRPr="00002938">
              <w:t xml:space="preserve">The project would meet shadow flicker limits (30 hours per annum) at all pre-existing dwellings evidenced through pre-construction modelling. </w:t>
            </w:r>
            <w:bookmarkStart w:id="139" w:name="_Hlk104460667"/>
            <w:r w:rsidRPr="00002938">
              <w:t xml:space="preserve">For </w:t>
            </w:r>
            <w:r>
              <w:t>stakeholder dwellings</w:t>
            </w:r>
            <w:r w:rsidRPr="00002938">
              <w:t xml:space="preserve">, shadow flicker limits (30 hours per annum) would be met through the </w:t>
            </w:r>
            <w:r>
              <w:t>micro siting of turbines in the final design, conducting strategic screen plantings, using smaller wind turbine blades or</w:t>
            </w:r>
            <w:r w:rsidRPr="00002938">
              <w:t xml:space="preserve"> implementation of a curtailment strategy,</w:t>
            </w:r>
            <w:r>
              <w:t xml:space="preserve"> </w:t>
            </w:r>
            <w:r w:rsidRPr="00002938">
              <w:t>if required.</w:t>
            </w:r>
            <w:bookmarkEnd w:id="139"/>
          </w:p>
        </w:tc>
        <w:tc>
          <w:tcPr>
            <w:tcW w:w="546" w:type="pct"/>
          </w:tcPr>
          <w:p w14:paraId="12E1DFD9" w14:textId="77777777" w:rsidR="00C71225" w:rsidRPr="0040395D" w:rsidRDefault="00C71225" w:rsidP="00C71225">
            <w:pPr>
              <w:pStyle w:val="TableText"/>
            </w:pPr>
            <w:r w:rsidRPr="0040395D">
              <w:t>Operation</w:t>
            </w:r>
          </w:p>
        </w:tc>
      </w:tr>
      <w:tr w:rsidR="00C71225" w:rsidRPr="0040395D" w14:paraId="1D2C631D" w14:textId="77777777" w:rsidTr="00375C7D">
        <w:trPr>
          <w:cantSplit/>
        </w:trPr>
        <w:tc>
          <w:tcPr>
            <w:tcW w:w="5000" w:type="pct"/>
            <w:gridSpan w:val="3"/>
            <w:shd w:val="clear" w:color="auto" w:fill="E6EFE1"/>
          </w:tcPr>
          <w:p w14:paraId="25C8A345" w14:textId="77777777" w:rsidR="00C71225" w:rsidRPr="0040395D" w:rsidRDefault="00C71225" w:rsidP="00C71225">
            <w:pPr>
              <w:pStyle w:val="TableText"/>
              <w:rPr>
                <w:b/>
                <w:i/>
              </w:rPr>
            </w:pPr>
            <w:r w:rsidRPr="0040395D">
              <w:rPr>
                <w:b/>
                <w:i/>
              </w:rPr>
              <w:t>Electromagnetic interference</w:t>
            </w:r>
          </w:p>
        </w:tc>
      </w:tr>
      <w:tr w:rsidR="00C71225" w:rsidRPr="0040395D" w14:paraId="582DA37D" w14:textId="77777777" w:rsidTr="00A47875">
        <w:trPr>
          <w:cantSplit/>
        </w:trPr>
        <w:tc>
          <w:tcPr>
            <w:tcW w:w="576" w:type="pct"/>
          </w:tcPr>
          <w:p w14:paraId="4AE3093B" w14:textId="77777777" w:rsidR="00C71225" w:rsidRPr="0040395D" w:rsidRDefault="00C71225" w:rsidP="00C71225">
            <w:pPr>
              <w:pStyle w:val="TableText"/>
            </w:pPr>
            <w:r w:rsidRPr="0040395D">
              <w:t>EMI01</w:t>
            </w:r>
          </w:p>
        </w:tc>
        <w:tc>
          <w:tcPr>
            <w:tcW w:w="3878" w:type="pct"/>
          </w:tcPr>
          <w:p w14:paraId="02E5F108" w14:textId="54A374FE" w:rsidR="00C71225" w:rsidRPr="0040395D" w:rsidRDefault="00C71225" w:rsidP="00C71225">
            <w:pPr>
              <w:pStyle w:val="TableText"/>
            </w:pPr>
            <w:r w:rsidRPr="00872EEA">
              <w:t xml:space="preserve">The proponent </w:t>
            </w:r>
            <w:r>
              <w:t>would</w:t>
            </w:r>
            <w:r w:rsidRPr="00872EEA">
              <w:t xml:space="preserve"> consult with relevant point-to-point and point-to-multipoint service operators to confirm potential effects (or lack thereof) from final project design, prior to construction.</w:t>
            </w:r>
          </w:p>
        </w:tc>
        <w:tc>
          <w:tcPr>
            <w:tcW w:w="546" w:type="pct"/>
          </w:tcPr>
          <w:p w14:paraId="4A5C7627" w14:textId="77777777" w:rsidR="00C71225" w:rsidRPr="0040395D" w:rsidRDefault="00C71225" w:rsidP="00C71225">
            <w:pPr>
              <w:pStyle w:val="TableText"/>
            </w:pPr>
            <w:r w:rsidRPr="0040395D">
              <w:t>Pre-construction</w:t>
            </w:r>
          </w:p>
        </w:tc>
      </w:tr>
      <w:tr w:rsidR="00C71225" w:rsidRPr="0040395D" w14:paraId="53969885" w14:textId="77777777" w:rsidTr="00A47875">
        <w:trPr>
          <w:cantSplit/>
        </w:trPr>
        <w:tc>
          <w:tcPr>
            <w:tcW w:w="576" w:type="pct"/>
          </w:tcPr>
          <w:p w14:paraId="69E5E3C6" w14:textId="77777777" w:rsidR="00C71225" w:rsidRPr="0040395D" w:rsidRDefault="00C71225" w:rsidP="00C71225">
            <w:pPr>
              <w:pStyle w:val="TableText"/>
            </w:pPr>
            <w:r w:rsidRPr="0040395D">
              <w:t>EMI02</w:t>
            </w:r>
          </w:p>
        </w:tc>
        <w:tc>
          <w:tcPr>
            <w:tcW w:w="3878" w:type="pct"/>
          </w:tcPr>
          <w:p w14:paraId="33601C51" w14:textId="77777777" w:rsidR="00C71225" w:rsidRPr="0040395D" w:rsidRDefault="00C71225" w:rsidP="00C71225">
            <w:pPr>
              <w:pStyle w:val="TableText"/>
            </w:pPr>
            <w:r w:rsidRPr="0040395D">
              <w:t>Where interference is not eliminated through turbine design and siting, a mitigation strategy would be developed and implemented in consultation with organisations operating point-to-point and point-to-multipoint services to minimise or avoid interference to communications. These measures could include re-routing of affected services, installing additional towers, or replacing affected links with alternative technologies.</w:t>
            </w:r>
          </w:p>
        </w:tc>
        <w:tc>
          <w:tcPr>
            <w:tcW w:w="546" w:type="pct"/>
          </w:tcPr>
          <w:p w14:paraId="092B0CCC" w14:textId="4903673D" w:rsidR="00C71225" w:rsidRPr="0040395D" w:rsidRDefault="00C71225" w:rsidP="00C71225">
            <w:pPr>
              <w:pStyle w:val="TableText"/>
            </w:pPr>
            <w:r w:rsidRPr="0040395D">
              <w:t>Construction</w:t>
            </w:r>
            <w:r>
              <w:t xml:space="preserve"> and </w:t>
            </w:r>
            <w:r w:rsidRPr="0040395D">
              <w:t>operation</w:t>
            </w:r>
          </w:p>
        </w:tc>
      </w:tr>
      <w:tr w:rsidR="00C71225" w:rsidRPr="0040395D" w14:paraId="650BC882" w14:textId="77777777" w:rsidTr="00A47875">
        <w:trPr>
          <w:cantSplit/>
        </w:trPr>
        <w:tc>
          <w:tcPr>
            <w:tcW w:w="576" w:type="pct"/>
          </w:tcPr>
          <w:p w14:paraId="5365F8D0" w14:textId="77777777" w:rsidR="00C71225" w:rsidRPr="0040395D" w:rsidRDefault="00C71225" w:rsidP="00C71225">
            <w:pPr>
              <w:pStyle w:val="TableText"/>
            </w:pPr>
            <w:r w:rsidRPr="0040395D">
              <w:t>EMI03</w:t>
            </w:r>
          </w:p>
        </w:tc>
        <w:tc>
          <w:tcPr>
            <w:tcW w:w="3878" w:type="pct"/>
          </w:tcPr>
          <w:p w14:paraId="0A071CE1" w14:textId="77777777" w:rsidR="00C71225" w:rsidRPr="0040395D" w:rsidRDefault="00C71225" w:rsidP="00C71225">
            <w:pPr>
              <w:pStyle w:val="TableText"/>
            </w:pPr>
            <w:r w:rsidRPr="0040395D">
              <w:t>The proponent would consult with relevant radio service operators to confirm potential effects (or lack thereof) from final project design prior to construction.</w:t>
            </w:r>
          </w:p>
        </w:tc>
        <w:tc>
          <w:tcPr>
            <w:tcW w:w="546" w:type="pct"/>
          </w:tcPr>
          <w:p w14:paraId="4DEBAAFF" w14:textId="77777777" w:rsidR="00C71225" w:rsidRPr="0040395D" w:rsidRDefault="00C71225" w:rsidP="00C71225">
            <w:pPr>
              <w:pStyle w:val="TableText"/>
            </w:pPr>
            <w:r w:rsidRPr="0040395D">
              <w:t>Pre-construction</w:t>
            </w:r>
          </w:p>
        </w:tc>
      </w:tr>
      <w:tr w:rsidR="00C71225" w:rsidRPr="0040395D" w14:paraId="6B5A5638" w14:textId="77777777" w:rsidTr="00A47875">
        <w:trPr>
          <w:cantSplit/>
        </w:trPr>
        <w:tc>
          <w:tcPr>
            <w:tcW w:w="576" w:type="pct"/>
          </w:tcPr>
          <w:p w14:paraId="10181532" w14:textId="77777777" w:rsidR="00C71225" w:rsidRPr="0040395D" w:rsidRDefault="00C71225" w:rsidP="00C71225">
            <w:pPr>
              <w:pStyle w:val="TableText"/>
            </w:pPr>
            <w:r w:rsidRPr="0040395D">
              <w:t>EMI04</w:t>
            </w:r>
          </w:p>
        </w:tc>
        <w:tc>
          <w:tcPr>
            <w:tcW w:w="3878" w:type="pct"/>
          </w:tcPr>
          <w:p w14:paraId="06F1DD35" w14:textId="77777777" w:rsidR="00C71225" w:rsidRPr="0040395D" w:rsidRDefault="00C71225" w:rsidP="00C71225">
            <w:pPr>
              <w:pStyle w:val="TableText"/>
            </w:pPr>
            <w:r w:rsidRPr="0040395D">
              <w:t>Where interference is not eliminated through turbine design and siting, a mitigation strategy would be developed and implemented in consultation with organisations operating radio communications sites within 2 kilometres of wind turbines to minimise or avoid interference to radio communications. These measures could include increasing the signal strength from the affected tower or alternative towers, installing a signal repeater or an additional tower.</w:t>
            </w:r>
          </w:p>
        </w:tc>
        <w:tc>
          <w:tcPr>
            <w:tcW w:w="546" w:type="pct"/>
          </w:tcPr>
          <w:p w14:paraId="07BFFD05" w14:textId="3183E37A" w:rsidR="00C71225" w:rsidRPr="0040395D" w:rsidRDefault="00C71225" w:rsidP="00C71225">
            <w:pPr>
              <w:pStyle w:val="TableText"/>
            </w:pPr>
            <w:r>
              <w:t>Construction and o</w:t>
            </w:r>
            <w:r w:rsidRPr="0040395D">
              <w:t>peration</w:t>
            </w:r>
          </w:p>
        </w:tc>
      </w:tr>
      <w:tr w:rsidR="00C71225" w:rsidRPr="0040395D" w14:paraId="2C7E19EF" w14:textId="77777777" w:rsidTr="00A47875">
        <w:trPr>
          <w:cantSplit/>
        </w:trPr>
        <w:tc>
          <w:tcPr>
            <w:tcW w:w="576" w:type="pct"/>
          </w:tcPr>
          <w:p w14:paraId="03AAA566" w14:textId="77777777" w:rsidR="00C71225" w:rsidRPr="0040395D" w:rsidRDefault="00C71225" w:rsidP="00C71225">
            <w:pPr>
              <w:pStyle w:val="TableText"/>
            </w:pPr>
            <w:r w:rsidRPr="0040395D">
              <w:t>EMI05</w:t>
            </w:r>
          </w:p>
        </w:tc>
        <w:tc>
          <w:tcPr>
            <w:tcW w:w="3878" w:type="pct"/>
          </w:tcPr>
          <w:p w14:paraId="4497E1B1" w14:textId="77777777" w:rsidR="00C71225" w:rsidRPr="0040395D" w:rsidRDefault="00C71225" w:rsidP="00C71225">
            <w:pPr>
              <w:pStyle w:val="TableText"/>
            </w:pPr>
            <w:r w:rsidRPr="0040395D">
              <w:t>The proponent would consult with relevant telecommunications carriers and other parties potentially affected by electromagnetic interference to confirm potential effects (or lack thereof) from final project design, prior to construction.</w:t>
            </w:r>
          </w:p>
        </w:tc>
        <w:tc>
          <w:tcPr>
            <w:tcW w:w="546" w:type="pct"/>
          </w:tcPr>
          <w:p w14:paraId="11BA2084" w14:textId="77777777" w:rsidR="00C71225" w:rsidRPr="0040395D" w:rsidRDefault="00C71225" w:rsidP="00C71225">
            <w:pPr>
              <w:pStyle w:val="TableText"/>
            </w:pPr>
            <w:r w:rsidRPr="0040395D">
              <w:t>Pre-construction</w:t>
            </w:r>
          </w:p>
        </w:tc>
      </w:tr>
      <w:tr w:rsidR="00C71225" w:rsidRPr="0040395D" w14:paraId="034D519B" w14:textId="77777777" w:rsidTr="00A47875">
        <w:trPr>
          <w:cantSplit/>
        </w:trPr>
        <w:tc>
          <w:tcPr>
            <w:tcW w:w="576" w:type="pct"/>
          </w:tcPr>
          <w:p w14:paraId="7CB59F37" w14:textId="77777777" w:rsidR="00C71225" w:rsidRPr="0040395D" w:rsidRDefault="00C71225" w:rsidP="00C71225">
            <w:pPr>
              <w:pStyle w:val="TableText"/>
            </w:pPr>
            <w:r w:rsidRPr="0040395D">
              <w:t>EMI06</w:t>
            </w:r>
          </w:p>
        </w:tc>
        <w:tc>
          <w:tcPr>
            <w:tcW w:w="3878" w:type="pct"/>
          </w:tcPr>
          <w:p w14:paraId="5EAA066D" w14:textId="77777777" w:rsidR="00C71225" w:rsidRPr="0040395D" w:rsidRDefault="00C71225" w:rsidP="00C71225">
            <w:pPr>
              <w:pStyle w:val="TableText"/>
            </w:pPr>
            <w:r w:rsidRPr="0040395D">
              <w:t>Where interference is not eliminated through turbine design and siting, a mitigation strategy is to be developed and implemented in consultation with organisations operating telecommunications and NBN services to minimise or avoid interference to communications.</w:t>
            </w:r>
          </w:p>
          <w:p w14:paraId="3BC570C5" w14:textId="77777777" w:rsidR="00C71225" w:rsidRPr="0040395D" w:rsidRDefault="00C71225" w:rsidP="00C71225">
            <w:pPr>
              <w:pStyle w:val="TableText"/>
            </w:pPr>
            <w:r w:rsidRPr="0040395D">
              <w:t>These measures could include re-directing antenna at affected dwelling to alternative tower, changing location of antenna, or installing a new tower.</w:t>
            </w:r>
          </w:p>
        </w:tc>
        <w:tc>
          <w:tcPr>
            <w:tcW w:w="546" w:type="pct"/>
          </w:tcPr>
          <w:p w14:paraId="208401FF" w14:textId="219F5A98" w:rsidR="00C71225" w:rsidRPr="0040395D" w:rsidRDefault="00C71225" w:rsidP="00C71225">
            <w:pPr>
              <w:pStyle w:val="TableText"/>
            </w:pPr>
            <w:r>
              <w:t xml:space="preserve">Construction </w:t>
            </w:r>
            <w:r w:rsidRPr="0040395D">
              <w:t xml:space="preserve">and </w:t>
            </w:r>
            <w:r>
              <w:t>o</w:t>
            </w:r>
            <w:r w:rsidRPr="0040395D">
              <w:t>peration</w:t>
            </w:r>
          </w:p>
        </w:tc>
      </w:tr>
      <w:tr w:rsidR="00C71225" w:rsidRPr="0040395D" w14:paraId="2B2DCD4D" w14:textId="77777777" w:rsidTr="00A47875">
        <w:trPr>
          <w:cantSplit/>
        </w:trPr>
        <w:tc>
          <w:tcPr>
            <w:tcW w:w="576" w:type="pct"/>
          </w:tcPr>
          <w:p w14:paraId="4840631A" w14:textId="77777777" w:rsidR="00C71225" w:rsidRPr="0040395D" w:rsidRDefault="00C71225" w:rsidP="00C71225">
            <w:pPr>
              <w:pStyle w:val="TableText"/>
            </w:pPr>
            <w:r w:rsidRPr="0040395D">
              <w:t>EMI07</w:t>
            </w:r>
          </w:p>
        </w:tc>
        <w:tc>
          <w:tcPr>
            <w:tcW w:w="3878" w:type="pct"/>
          </w:tcPr>
          <w:p w14:paraId="6926B456" w14:textId="77777777" w:rsidR="00C71225" w:rsidRPr="0040395D" w:rsidRDefault="00C71225" w:rsidP="00C71225">
            <w:pPr>
              <w:pStyle w:val="TableText"/>
            </w:pPr>
            <w:r w:rsidRPr="0040395D">
              <w:t>The project would adhere to the following conditions provided by the Bureau of Meteorology:</w:t>
            </w:r>
          </w:p>
          <w:p w14:paraId="0CE13A8F" w14:textId="77777777" w:rsidR="00C71225" w:rsidRPr="0040395D" w:rsidRDefault="00C71225" w:rsidP="00C71225">
            <w:pPr>
              <w:pStyle w:val="TableBullet1"/>
            </w:pPr>
            <w:r w:rsidRPr="0040395D">
              <w:t>inform the Bureau of Meteorology of any changes to the wind farm design, including varying the wind farm layout, changing turbine locations by more than 100 metres or altering the turbine height</w:t>
            </w:r>
          </w:p>
          <w:p w14:paraId="37904855" w14:textId="77777777" w:rsidR="00C71225" w:rsidRPr="0040395D" w:rsidRDefault="00C71225" w:rsidP="00C71225">
            <w:pPr>
              <w:pStyle w:val="TableBullet1"/>
            </w:pPr>
            <w:r w:rsidRPr="0040395D">
              <w:t xml:space="preserve">notify the Bureau of Meteorology at least two weeks prior to any planned shutdown of the wind farm (for maintenance or any other reason) </w:t>
            </w:r>
          </w:p>
          <w:p w14:paraId="3533AA30" w14:textId="77777777" w:rsidR="00C71225" w:rsidRPr="0040395D" w:rsidRDefault="00C71225" w:rsidP="00C71225">
            <w:pPr>
              <w:pStyle w:val="TableBullet1"/>
            </w:pPr>
            <w:r w:rsidRPr="0040395D">
              <w:t>collaborate with the Bureau of Meteorology on the event of severe weather condition to assist in endeavours of community safety.</w:t>
            </w:r>
          </w:p>
        </w:tc>
        <w:tc>
          <w:tcPr>
            <w:tcW w:w="546" w:type="pct"/>
          </w:tcPr>
          <w:p w14:paraId="1A14CDF4" w14:textId="6EA089E7" w:rsidR="00C71225" w:rsidRPr="0040395D" w:rsidRDefault="00C71225" w:rsidP="00C71225">
            <w:pPr>
              <w:pStyle w:val="TableText"/>
            </w:pPr>
            <w:r>
              <w:t>Design and op</w:t>
            </w:r>
            <w:r w:rsidRPr="0040395D">
              <w:t>eration</w:t>
            </w:r>
          </w:p>
        </w:tc>
      </w:tr>
      <w:tr w:rsidR="00C71225" w:rsidRPr="0040395D" w14:paraId="207C38D4" w14:textId="77777777" w:rsidTr="00A47875">
        <w:trPr>
          <w:cantSplit/>
        </w:trPr>
        <w:tc>
          <w:tcPr>
            <w:tcW w:w="576" w:type="pct"/>
          </w:tcPr>
          <w:p w14:paraId="1729DDA4" w14:textId="77777777" w:rsidR="00C71225" w:rsidRPr="0040395D" w:rsidRDefault="00C71225" w:rsidP="00C71225">
            <w:pPr>
              <w:pStyle w:val="TableText"/>
            </w:pPr>
            <w:r w:rsidRPr="0040395D">
              <w:t>EMI08</w:t>
            </w:r>
          </w:p>
        </w:tc>
        <w:tc>
          <w:tcPr>
            <w:tcW w:w="3878" w:type="pct"/>
          </w:tcPr>
          <w:p w14:paraId="667DC072" w14:textId="77777777" w:rsidR="00C71225" w:rsidRPr="00872EEA" w:rsidRDefault="00C71225" w:rsidP="00C71225">
            <w:pPr>
              <w:pStyle w:val="TableText"/>
            </w:pPr>
            <w:r w:rsidRPr="00872EEA">
              <w:t>The proponent would conduct a Signal Strength Survey</w:t>
            </w:r>
            <w:r>
              <w:t>, which</w:t>
            </w:r>
            <w:r w:rsidRPr="00872EEA">
              <w:t xml:space="preserve"> would be submitted to, approved, and endorsed by the responsible authority, prior to construction. The survey would:</w:t>
            </w:r>
          </w:p>
          <w:p w14:paraId="014CD4CC" w14:textId="77777777" w:rsidR="00C71225" w:rsidRPr="00872EEA" w:rsidRDefault="00C71225" w:rsidP="00C71225">
            <w:pPr>
              <w:pStyle w:val="TableBullet1"/>
            </w:pPr>
            <w:r w:rsidRPr="00872EEA">
              <w:t>be carried out by a suitably qualified and experienced independent specialist</w:t>
            </w:r>
          </w:p>
          <w:p w14:paraId="7B8C417D" w14:textId="77777777" w:rsidR="00C71225" w:rsidRPr="00872EEA" w:rsidRDefault="00C71225" w:rsidP="00C71225">
            <w:pPr>
              <w:pStyle w:val="TableBullet1"/>
            </w:pPr>
            <w:r w:rsidRPr="00872EEA">
              <w:t xml:space="preserve">include testing at selected locations within </w:t>
            </w:r>
            <w:r>
              <w:t>5 </w:t>
            </w:r>
            <w:r w:rsidRPr="00872EEA">
              <w:t xml:space="preserve">kilometres of the </w:t>
            </w:r>
            <w:r>
              <w:t>project site</w:t>
            </w:r>
            <w:r w:rsidRPr="00872EEA">
              <w:t xml:space="preserve"> to enable the average signal strength to be determined for television, radio and other point to point services (including GPS autosteer functions used in agricultural operations) that could be impacted by electromagnetic interference from the wind energy facility </w:t>
            </w:r>
          </w:p>
          <w:p w14:paraId="4EB95F22" w14:textId="77777777" w:rsidR="00C71225" w:rsidRPr="00872EEA" w:rsidRDefault="00C71225" w:rsidP="00C71225">
            <w:pPr>
              <w:pStyle w:val="TableBullet1"/>
            </w:pPr>
            <w:r w:rsidRPr="00872EEA">
              <w:t>identify and consult with organisations operating point to point communication links</w:t>
            </w:r>
          </w:p>
          <w:p w14:paraId="0F0DE169" w14:textId="33106287" w:rsidR="00C71225" w:rsidRPr="0040395D" w:rsidRDefault="00C71225" w:rsidP="00C71225">
            <w:pPr>
              <w:pStyle w:val="TableBullet1"/>
            </w:pPr>
            <w:r w:rsidRPr="00872EEA">
              <w:t>include a mitigation strategy for impact to television radio, NBN reception and point to point transmission.</w:t>
            </w:r>
          </w:p>
        </w:tc>
        <w:tc>
          <w:tcPr>
            <w:tcW w:w="546" w:type="pct"/>
          </w:tcPr>
          <w:p w14:paraId="228D4426" w14:textId="709BE64F" w:rsidR="00C71225" w:rsidRPr="0040395D" w:rsidRDefault="00C71225" w:rsidP="00C71225">
            <w:pPr>
              <w:pStyle w:val="TableText"/>
            </w:pPr>
            <w:r>
              <w:t>Pre-construction</w:t>
            </w:r>
          </w:p>
        </w:tc>
      </w:tr>
      <w:tr w:rsidR="00C71225" w:rsidRPr="0040395D" w14:paraId="075318D4" w14:textId="77777777" w:rsidTr="00A47875">
        <w:trPr>
          <w:cantSplit/>
        </w:trPr>
        <w:tc>
          <w:tcPr>
            <w:tcW w:w="576" w:type="pct"/>
          </w:tcPr>
          <w:p w14:paraId="589CDA61" w14:textId="77777777" w:rsidR="00C71225" w:rsidRPr="0040395D" w:rsidRDefault="00C71225" w:rsidP="00C71225">
            <w:pPr>
              <w:pStyle w:val="TableText"/>
            </w:pPr>
            <w:r w:rsidRPr="0040395D">
              <w:t>EMI09</w:t>
            </w:r>
          </w:p>
        </w:tc>
        <w:tc>
          <w:tcPr>
            <w:tcW w:w="3878" w:type="pct"/>
          </w:tcPr>
          <w:p w14:paraId="1472B261" w14:textId="4B29B8E8" w:rsidR="00C71225" w:rsidRPr="0040395D" w:rsidRDefault="00C71225" w:rsidP="00C71225">
            <w:pPr>
              <w:pStyle w:val="TableText"/>
            </w:pPr>
            <w:r w:rsidRPr="00872EEA">
              <w:t xml:space="preserve">Develop and implement a complaints process for managing complaints relating to radio reception strength at pre-existing dwellings within 5 kilometres of the </w:t>
            </w:r>
            <w:r>
              <w:t xml:space="preserve">project </w:t>
            </w:r>
            <w:r w:rsidRPr="00872EEA">
              <w:t>site prior to construction.</w:t>
            </w:r>
          </w:p>
        </w:tc>
        <w:tc>
          <w:tcPr>
            <w:tcW w:w="546" w:type="pct"/>
          </w:tcPr>
          <w:p w14:paraId="0F31DF60" w14:textId="3B23E6A2" w:rsidR="00C71225" w:rsidRPr="0040395D" w:rsidRDefault="00C71225" w:rsidP="00C71225">
            <w:pPr>
              <w:pStyle w:val="TableText"/>
            </w:pPr>
            <w:r>
              <w:t>Pre-construction</w:t>
            </w:r>
          </w:p>
        </w:tc>
      </w:tr>
      <w:tr w:rsidR="00C71225" w:rsidRPr="0040395D" w14:paraId="6DBA60F3" w14:textId="77777777" w:rsidTr="00A47875">
        <w:trPr>
          <w:cantSplit/>
        </w:trPr>
        <w:tc>
          <w:tcPr>
            <w:tcW w:w="576" w:type="pct"/>
          </w:tcPr>
          <w:p w14:paraId="19EC4446" w14:textId="77777777" w:rsidR="00C71225" w:rsidRPr="0040395D" w:rsidRDefault="00C71225" w:rsidP="00C71225">
            <w:pPr>
              <w:pStyle w:val="TableText"/>
            </w:pPr>
            <w:r w:rsidRPr="0040395D">
              <w:t>EMI10</w:t>
            </w:r>
          </w:p>
        </w:tc>
        <w:tc>
          <w:tcPr>
            <w:tcW w:w="3878" w:type="pct"/>
          </w:tcPr>
          <w:p w14:paraId="6A36A5E0" w14:textId="77777777" w:rsidR="00C71225" w:rsidRPr="00872EEA" w:rsidRDefault="00C71225" w:rsidP="00C71225">
            <w:pPr>
              <w:pStyle w:val="TableText"/>
            </w:pPr>
            <w:r w:rsidRPr="00872EEA">
              <w:t xml:space="preserve">If a complaint is received regarding the effect of the facility on television or radio reception at an existing dwelling within </w:t>
            </w:r>
            <w:r>
              <w:t>5</w:t>
            </w:r>
            <w:r w:rsidRPr="00872EEA">
              <w:t xml:space="preserve"> kilometres of the</w:t>
            </w:r>
            <w:r>
              <w:t xml:space="preserve"> project </w:t>
            </w:r>
            <w:r w:rsidRPr="00872EEA">
              <w:t>site, then:</w:t>
            </w:r>
          </w:p>
          <w:p w14:paraId="4D86740A" w14:textId="77777777" w:rsidR="00C71225" w:rsidRPr="00872EEA" w:rsidRDefault="00C71225" w:rsidP="00C71225">
            <w:pPr>
              <w:pStyle w:val="TableBullet1"/>
            </w:pPr>
            <w:r w:rsidRPr="00872EEA">
              <w:t>the complaint would be investigated in accordance with an approved Complaint Investigation and Response Plan</w:t>
            </w:r>
          </w:p>
          <w:p w14:paraId="24395398" w14:textId="7136A66F" w:rsidR="00C71225" w:rsidRPr="0040395D" w:rsidRDefault="00C71225" w:rsidP="00C71225">
            <w:pPr>
              <w:pStyle w:val="TableBullet1"/>
            </w:pPr>
            <w:r w:rsidRPr="00872EEA">
              <w:t>if the investigation indicates that the project has had a detrimental impact on the quality of reception or signal strength, the proponent w</w:t>
            </w:r>
            <w:r>
              <w:t>ould</w:t>
            </w:r>
            <w:r w:rsidRPr="00872EEA">
              <w:t xml:space="preserve"> restore reception/signal strength to at least the quality determined in the preconstruction Signal Strength Survey.</w:t>
            </w:r>
          </w:p>
        </w:tc>
        <w:tc>
          <w:tcPr>
            <w:tcW w:w="546" w:type="pct"/>
          </w:tcPr>
          <w:p w14:paraId="4648B0FB" w14:textId="28662DB2" w:rsidR="00C71225" w:rsidRPr="0040395D" w:rsidRDefault="00C71225" w:rsidP="00C71225">
            <w:pPr>
              <w:pStyle w:val="TableText"/>
            </w:pPr>
            <w:r w:rsidRPr="0040395D">
              <w:t>Construction</w:t>
            </w:r>
            <w:r>
              <w:t xml:space="preserve"> and </w:t>
            </w:r>
            <w:r w:rsidRPr="0040395D">
              <w:t>operation</w:t>
            </w:r>
          </w:p>
        </w:tc>
      </w:tr>
      <w:tr w:rsidR="00C71225" w:rsidRPr="0040395D" w14:paraId="7E181998" w14:textId="77777777" w:rsidTr="00A47875">
        <w:trPr>
          <w:cantSplit/>
        </w:trPr>
        <w:tc>
          <w:tcPr>
            <w:tcW w:w="576" w:type="pct"/>
          </w:tcPr>
          <w:p w14:paraId="22264D54" w14:textId="77777777" w:rsidR="00C71225" w:rsidRPr="0040395D" w:rsidRDefault="00C71225" w:rsidP="00C71225">
            <w:pPr>
              <w:pStyle w:val="TableText"/>
            </w:pPr>
            <w:r w:rsidRPr="0040395D">
              <w:t>EMI11</w:t>
            </w:r>
          </w:p>
        </w:tc>
        <w:tc>
          <w:tcPr>
            <w:tcW w:w="3878" w:type="pct"/>
          </w:tcPr>
          <w:p w14:paraId="32715D84" w14:textId="77777777" w:rsidR="00C71225" w:rsidRPr="0040395D" w:rsidRDefault="00C71225" w:rsidP="00C71225">
            <w:pPr>
              <w:pStyle w:val="TableText"/>
            </w:pPr>
            <w:r w:rsidRPr="0040395D">
              <w:t>Where interference to television and satellite internet services is not eliminated through turbine design and siting, a mitigation strategy is to be developed and implemented in consultation with homeowners and service providers to restore the affected service to at least the quality determined in the preconstruction Signal Strength Survey. These measures could include re-directing communication links, re-locating antenna/satellite dishes, and/or upgrading antenna/satellite dishes, installing cable or satellite television, or installing a relay transmitter.</w:t>
            </w:r>
          </w:p>
        </w:tc>
        <w:tc>
          <w:tcPr>
            <w:tcW w:w="546" w:type="pct"/>
          </w:tcPr>
          <w:p w14:paraId="421D6E2A" w14:textId="039C787C" w:rsidR="00C71225" w:rsidRPr="0040395D" w:rsidRDefault="00C71225" w:rsidP="00C71225">
            <w:pPr>
              <w:pStyle w:val="TableText"/>
            </w:pPr>
            <w:r w:rsidRPr="0040395D">
              <w:t>Construction</w:t>
            </w:r>
            <w:r>
              <w:t xml:space="preserve"> and</w:t>
            </w:r>
            <w:r w:rsidRPr="0040395D">
              <w:t xml:space="preserve"> operation</w:t>
            </w:r>
          </w:p>
        </w:tc>
      </w:tr>
      <w:tr w:rsidR="00C71225" w:rsidRPr="0040395D" w14:paraId="39EA02D7" w14:textId="77777777" w:rsidTr="00375C7D">
        <w:trPr>
          <w:cantSplit/>
        </w:trPr>
        <w:tc>
          <w:tcPr>
            <w:tcW w:w="5000" w:type="pct"/>
            <w:gridSpan w:val="3"/>
            <w:shd w:val="clear" w:color="auto" w:fill="E6EFE1"/>
          </w:tcPr>
          <w:p w14:paraId="7D9AE256" w14:textId="77777777" w:rsidR="00C71225" w:rsidRPr="0040395D" w:rsidRDefault="00C71225" w:rsidP="00C71225">
            <w:pPr>
              <w:pStyle w:val="TableText"/>
              <w:keepNext/>
              <w:rPr>
                <w:b/>
                <w:i/>
              </w:rPr>
            </w:pPr>
            <w:r w:rsidRPr="0040395D">
              <w:rPr>
                <w:b/>
                <w:i/>
              </w:rPr>
              <w:t>Aviation</w:t>
            </w:r>
          </w:p>
        </w:tc>
      </w:tr>
      <w:tr w:rsidR="00C71225" w:rsidRPr="0040395D" w14:paraId="051DF98B" w14:textId="77777777" w:rsidTr="00A47875">
        <w:trPr>
          <w:cantSplit/>
        </w:trPr>
        <w:tc>
          <w:tcPr>
            <w:tcW w:w="576" w:type="pct"/>
          </w:tcPr>
          <w:p w14:paraId="617BC6D9" w14:textId="77777777" w:rsidR="00C71225" w:rsidRPr="0040395D" w:rsidRDefault="00C71225" w:rsidP="00C71225">
            <w:pPr>
              <w:pStyle w:val="TableText"/>
            </w:pPr>
            <w:r w:rsidRPr="0040395D">
              <w:t>AVI01</w:t>
            </w:r>
          </w:p>
        </w:tc>
        <w:tc>
          <w:tcPr>
            <w:tcW w:w="3878" w:type="pct"/>
          </w:tcPr>
          <w:p w14:paraId="64885D61" w14:textId="68C40B13" w:rsidR="00C71225" w:rsidRPr="0040395D" w:rsidRDefault="00C71225" w:rsidP="00C71225">
            <w:pPr>
              <w:pStyle w:val="TableText"/>
            </w:pPr>
            <w:r w:rsidRPr="0040395D">
              <w:t xml:space="preserve">Maintain marking of meteorological monitoring masts in accordance with the </w:t>
            </w:r>
            <w:r w:rsidRPr="0042481B">
              <w:rPr>
                <w:i/>
                <w:iCs/>
              </w:rPr>
              <w:t>National Airport</w:t>
            </w:r>
            <w:r>
              <w:rPr>
                <w:i/>
                <w:iCs/>
              </w:rPr>
              <w:t>s</w:t>
            </w:r>
            <w:r w:rsidRPr="0042481B">
              <w:rPr>
                <w:i/>
                <w:iCs/>
              </w:rPr>
              <w:t xml:space="preserve"> Safeguarding Framework Guideline D: Managing the Risk of Wind Turbine Farms</w:t>
            </w:r>
            <w:r w:rsidRPr="0040395D">
              <w:t xml:space="preserve"> </w:t>
            </w:r>
            <w:r w:rsidRPr="0042481B">
              <w:rPr>
                <w:i/>
                <w:iCs/>
              </w:rPr>
              <w:t>as Physical Obstacles to Air Navigation</w:t>
            </w:r>
            <w:r w:rsidRPr="0040395D">
              <w:t xml:space="preserve"> and marking on the base around the outer guy wires to improve visibility of these structures for low-flying aircraft such as aerial agricultural operations.</w:t>
            </w:r>
          </w:p>
        </w:tc>
        <w:tc>
          <w:tcPr>
            <w:tcW w:w="546" w:type="pct"/>
          </w:tcPr>
          <w:p w14:paraId="5E733751" w14:textId="51848025" w:rsidR="00C71225" w:rsidRPr="0040395D" w:rsidRDefault="00C71225" w:rsidP="00C71225">
            <w:pPr>
              <w:pStyle w:val="TableText"/>
            </w:pPr>
            <w:r w:rsidRPr="0040395D">
              <w:t xml:space="preserve">Construction and </w:t>
            </w:r>
            <w:r>
              <w:t>o</w:t>
            </w:r>
            <w:r w:rsidRPr="0040395D">
              <w:t>peration</w:t>
            </w:r>
          </w:p>
        </w:tc>
      </w:tr>
      <w:tr w:rsidR="00C71225" w:rsidRPr="0040395D" w14:paraId="070D02D5" w14:textId="77777777" w:rsidTr="00A47875">
        <w:trPr>
          <w:cantSplit/>
        </w:trPr>
        <w:tc>
          <w:tcPr>
            <w:tcW w:w="576" w:type="pct"/>
          </w:tcPr>
          <w:p w14:paraId="69FAF82D" w14:textId="58BE05F0" w:rsidR="00C71225" w:rsidRPr="0040395D" w:rsidRDefault="00C71225" w:rsidP="00C71225">
            <w:pPr>
              <w:pStyle w:val="TableText"/>
            </w:pPr>
            <w:r w:rsidRPr="0040395D">
              <w:t>AVI02</w:t>
            </w:r>
          </w:p>
        </w:tc>
        <w:tc>
          <w:tcPr>
            <w:tcW w:w="3878" w:type="pct"/>
          </w:tcPr>
          <w:p w14:paraId="61D58860" w14:textId="6259BF88" w:rsidR="00C71225" w:rsidRPr="0040395D" w:rsidRDefault="00C71225" w:rsidP="00C71225">
            <w:pPr>
              <w:pStyle w:val="TableText"/>
            </w:pPr>
            <w:r w:rsidRPr="0040395D">
              <w:t xml:space="preserve">Notification to relevant stakeholders about the location and heights of wind turbines and meteorological monitoring masts, including: </w:t>
            </w:r>
          </w:p>
          <w:p w14:paraId="57DDA77C" w14:textId="255F83AC" w:rsidR="00C71225" w:rsidRPr="0040395D" w:rsidRDefault="00C71225" w:rsidP="00C71225">
            <w:pPr>
              <w:pStyle w:val="TableBullet1"/>
            </w:pPr>
            <w:r w:rsidRPr="0040395D">
              <w:t xml:space="preserve">Vertical Obstacle Database, managed by Airservices Australia, as per the procedure for reporting tall structures contained in CASA (2018) </w:t>
            </w:r>
            <w:r w:rsidRPr="0042481B">
              <w:rPr>
                <w:i/>
                <w:iCs/>
              </w:rPr>
              <w:t xml:space="preserve">Advisory Circular: Reporting of tall structure and hazardous plume sources </w:t>
            </w:r>
            <w:r w:rsidRPr="0040395D">
              <w:t>(AC 139-08 V2.0)</w:t>
            </w:r>
            <w:r w:rsidR="000E7B93">
              <w:t>.</w:t>
            </w:r>
            <w:r w:rsidR="00D32A2F" w:rsidDel="00D32A2F">
              <w:t xml:space="preserve"> </w:t>
            </w:r>
          </w:p>
          <w:p w14:paraId="6D6F2D5D" w14:textId="3ADC3683" w:rsidR="00C71225" w:rsidRPr="0040395D" w:rsidRDefault="00C71225" w:rsidP="00C71225">
            <w:pPr>
              <w:pStyle w:val="TableBullet1"/>
            </w:pPr>
            <w:r>
              <w:t>e</w:t>
            </w:r>
            <w:r w:rsidRPr="0040395D">
              <w:t>nsure a Notice to Airmen (NOTAM) that provides the height and location of the turbines and meteorological monitoring masts is issued</w:t>
            </w:r>
            <w:r>
              <w:t>.</w:t>
            </w:r>
          </w:p>
        </w:tc>
        <w:tc>
          <w:tcPr>
            <w:tcW w:w="546" w:type="pct"/>
          </w:tcPr>
          <w:p w14:paraId="5D2C4983" w14:textId="77777777" w:rsidR="00C71225" w:rsidRPr="0040395D" w:rsidRDefault="00C71225" w:rsidP="00C71225">
            <w:pPr>
              <w:pStyle w:val="TableText"/>
            </w:pPr>
            <w:r w:rsidRPr="0040395D">
              <w:t>Construction</w:t>
            </w:r>
          </w:p>
        </w:tc>
      </w:tr>
      <w:tr w:rsidR="00C71225" w:rsidRPr="0040395D" w14:paraId="678B5766" w14:textId="77777777" w:rsidTr="00A47875">
        <w:trPr>
          <w:cantSplit/>
        </w:trPr>
        <w:tc>
          <w:tcPr>
            <w:tcW w:w="576" w:type="pct"/>
          </w:tcPr>
          <w:p w14:paraId="1932497F" w14:textId="77777777" w:rsidR="00C71225" w:rsidRPr="0040395D" w:rsidRDefault="00C71225" w:rsidP="00C71225">
            <w:pPr>
              <w:pStyle w:val="TableText"/>
            </w:pPr>
            <w:r w:rsidRPr="0040395D">
              <w:t>AVI03</w:t>
            </w:r>
          </w:p>
        </w:tc>
        <w:tc>
          <w:tcPr>
            <w:tcW w:w="3878" w:type="pct"/>
          </w:tcPr>
          <w:p w14:paraId="44C06FF4" w14:textId="67706EC1" w:rsidR="00C71225" w:rsidRPr="005E5565" w:rsidRDefault="00C71225" w:rsidP="00C71225">
            <w:pPr>
              <w:pStyle w:val="TableText"/>
            </w:pPr>
            <w:r w:rsidRPr="005E5565">
              <w:t>As per the Country Fire Authority (202</w:t>
            </w:r>
            <w:r w:rsidR="000E7B93">
              <w:t>2</w:t>
            </w:r>
            <w:r w:rsidRPr="005E5565">
              <w:t xml:space="preserve">) </w:t>
            </w:r>
            <w:r w:rsidR="000E7B93" w:rsidRPr="00F92C40">
              <w:rPr>
                <w:i/>
                <w:iCs/>
              </w:rPr>
              <w:t>Design</w:t>
            </w:r>
            <w:r w:rsidR="000E7B93" w:rsidRPr="00BF50F8">
              <w:rPr>
                <w:i/>
              </w:rPr>
              <w:t xml:space="preserve"> </w:t>
            </w:r>
            <w:r w:rsidR="000E7B93" w:rsidRPr="00F92C40">
              <w:rPr>
                <w:i/>
                <w:iCs/>
              </w:rPr>
              <w:t>Guidelines and Model Requirements Renewable Energy Facilities</w:t>
            </w:r>
            <w:r w:rsidRPr="005E5565">
              <w:t>, the following would apply for the operation of the wind farm to manage potential impacts to firefighting operations:</w:t>
            </w:r>
          </w:p>
          <w:p w14:paraId="2593C43A" w14:textId="7C2FBFBC" w:rsidR="00C71225" w:rsidRPr="005E5565" w:rsidRDefault="00A775DA" w:rsidP="00C71225">
            <w:pPr>
              <w:pStyle w:val="TableBullet1"/>
              <w:rPr>
                <w:i/>
              </w:rPr>
            </w:pPr>
            <w:r w:rsidRPr="005E5565">
              <w:t xml:space="preserve">fuel </w:t>
            </w:r>
            <w:r w:rsidR="00C71225" w:rsidRPr="005E5565">
              <w:t>management measures during the Fire Danger Period, including maintaining grass levels</w:t>
            </w:r>
            <w:r w:rsidR="000E7B93">
              <w:t xml:space="preserve"> at or</w:t>
            </w:r>
            <w:r w:rsidR="00C71225" w:rsidRPr="005E5565">
              <w:t xml:space="preserve"> below 100 millimetres in height and maintaining a fire break area of at least ten metre width around electricity compounds and substations</w:t>
            </w:r>
          </w:p>
          <w:p w14:paraId="30DB9DB8" w14:textId="0B5EE5D0" w:rsidR="00C71225" w:rsidRPr="005E5565" w:rsidRDefault="00A775DA" w:rsidP="00C71225">
            <w:pPr>
              <w:pStyle w:val="TableBullet1"/>
              <w:rPr>
                <w:i/>
              </w:rPr>
            </w:pPr>
            <w:r w:rsidRPr="00144C5D">
              <w:t xml:space="preserve">a </w:t>
            </w:r>
            <w:r w:rsidR="000E7B93" w:rsidRPr="00144C5D">
              <w:t xml:space="preserve">fire break </w:t>
            </w:r>
            <w:r w:rsidR="000E7B93">
              <w:t xml:space="preserve">of 10 metres </w:t>
            </w:r>
            <w:r w:rsidR="000E7B93" w:rsidRPr="00144C5D">
              <w:t>around the base of wind turbines</w:t>
            </w:r>
            <w:r w:rsidR="000E7B93">
              <w:t xml:space="preserve"> has been incorporated into the design</w:t>
            </w:r>
          </w:p>
          <w:p w14:paraId="743E5B9B" w14:textId="440204F3" w:rsidR="00C71225" w:rsidRPr="005E5565" w:rsidRDefault="00A775DA" w:rsidP="00C71225">
            <w:pPr>
              <w:pStyle w:val="TableBullet1"/>
            </w:pPr>
            <w:r w:rsidRPr="005E5565">
              <w:t xml:space="preserve">constructed </w:t>
            </w:r>
            <w:r w:rsidR="00C71225" w:rsidRPr="005E5565">
              <w:t xml:space="preserve">roads developed during construction of the facility must be maintained post-commissioning and throughout the operational life of the facility to allow access to each turbine for maintenance and emergency purposes. These access tracks must be maintained as described in Part </w:t>
            </w:r>
            <w:r w:rsidR="000E7B93">
              <w:t>6.2</w:t>
            </w:r>
            <w:r w:rsidR="00C71225" w:rsidRPr="005E5565">
              <w:t xml:space="preserve"> of the Country Fire Authority Guidelines (202</w:t>
            </w:r>
            <w:r w:rsidR="000E7B93">
              <w:t>2</w:t>
            </w:r>
            <w:r w:rsidR="00C71225" w:rsidRPr="005E5565">
              <w:t>)</w:t>
            </w:r>
          </w:p>
          <w:p w14:paraId="174D3941" w14:textId="6755BEF1" w:rsidR="00C71225" w:rsidRPr="005E5565" w:rsidRDefault="00A775DA" w:rsidP="00C71225">
            <w:pPr>
              <w:pStyle w:val="TableBullet1"/>
            </w:pPr>
            <w:r w:rsidRPr="005E5565">
              <w:t xml:space="preserve">a </w:t>
            </w:r>
            <w:r w:rsidR="00C71225" w:rsidRPr="005E5565">
              <w:t>fire protection system to allow adequate response to the risks and hazards at the facility, in consultation with the Country Fire Authority</w:t>
            </w:r>
          </w:p>
          <w:p w14:paraId="1EDBF933" w14:textId="61909590" w:rsidR="00C71225" w:rsidRPr="005E5565" w:rsidRDefault="00A775DA" w:rsidP="00C71225">
            <w:pPr>
              <w:pStyle w:val="TableBullet1"/>
            </w:pPr>
            <w:r w:rsidRPr="005E5565">
              <w:t xml:space="preserve">inclusion </w:t>
            </w:r>
            <w:r w:rsidR="00C71225" w:rsidRPr="005E5565">
              <w:t>of a static fire water storage tank of at least 45,000</w:t>
            </w:r>
            <w:r w:rsidR="000E7B93">
              <w:t xml:space="preserve"> L effective </w:t>
            </w:r>
            <w:r w:rsidR="00C71225" w:rsidRPr="005E5565">
              <w:t xml:space="preserve">capacity </w:t>
            </w:r>
            <w:r w:rsidR="000E7B93" w:rsidRPr="00E03F7B">
              <w:t>at each site entrance</w:t>
            </w:r>
          </w:p>
          <w:p w14:paraId="286C699A" w14:textId="04A3BB51" w:rsidR="00C71225" w:rsidRPr="0040395D" w:rsidRDefault="00A775DA" w:rsidP="00C71225">
            <w:pPr>
              <w:pStyle w:val="TableBullet1"/>
            </w:pPr>
            <w:r w:rsidRPr="005E5565">
              <w:t xml:space="preserve">wind </w:t>
            </w:r>
            <w:r w:rsidR="00C71225" w:rsidRPr="005E5565">
              <w:t xml:space="preserve">energy facility emergency </w:t>
            </w:r>
            <w:r w:rsidR="000E7B93">
              <w:t xml:space="preserve">management </w:t>
            </w:r>
            <w:r w:rsidR="00C71225" w:rsidRPr="005E5565">
              <w:t>plan, provided within the emergency information book, which includes the maximum</w:t>
            </w:r>
            <w:r w:rsidR="000E7B93">
              <w:t xml:space="preserve"> (safe)</w:t>
            </w:r>
            <w:r w:rsidR="00C71225" w:rsidRPr="005E5565">
              <w:t xml:space="preserve"> operational wind speed and temperature conditions and operating procedures to </w:t>
            </w:r>
            <w:r w:rsidR="000E7B93">
              <w:t xml:space="preserve">limit </w:t>
            </w:r>
            <w:r w:rsidR="00C71225" w:rsidRPr="005E5565">
              <w:t>fire risk.</w:t>
            </w:r>
          </w:p>
        </w:tc>
        <w:tc>
          <w:tcPr>
            <w:tcW w:w="546" w:type="pct"/>
          </w:tcPr>
          <w:p w14:paraId="621C0226" w14:textId="77777777" w:rsidR="00C71225" w:rsidRPr="0040395D" w:rsidRDefault="00C71225" w:rsidP="00C71225">
            <w:pPr>
              <w:pStyle w:val="TableText"/>
            </w:pPr>
            <w:r w:rsidRPr="0040395D">
              <w:t>Operation</w:t>
            </w:r>
          </w:p>
        </w:tc>
      </w:tr>
    </w:tbl>
    <w:p w14:paraId="3E619F43" w14:textId="77777777" w:rsidR="00397857" w:rsidRPr="00397857" w:rsidRDefault="00397857" w:rsidP="00397857">
      <w:bookmarkStart w:id="140" w:name="EndPasteHere"/>
      <w:bookmarkEnd w:id="140"/>
      <w:bookmarkEnd w:id="1"/>
    </w:p>
    <w:sectPr w:rsidR="00397857" w:rsidRPr="00397857" w:rsidSect="00397857">
      <w:headerReference w:type="default" r:id="rId19"/>
      <w:pgSz w:w="16839" w:h="11907" w:orient="landscape" w:code="9"/>
      <w:pgMar w:top="1276" w:right="1418" w:bottom="1134" w:left="1418" w:header="709"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2B9A" w14:textId="77777777" w:rsidR="00071A1A" w:rsidRDefault="00071A1A" w:rsidP="00DC10B3">
      <w:pPr>
        <w:spacing w:after="0"/>
      </w:pPr>
      <w:r>
        <w:separator/>
      </w:r>
    </w:p>
    <w:p w14:paraId="1D7E9481" w14:textId="77777777" w:rsidR="00071A1A" w:rsidRDefault="00071A1A"/>
  </w:endnote>
  <w:endnote w:type="continuationSeparator" w:id="0">
    <w:p w14:paraId="416D166E" w14:textId="77777777" w:rsidR="00071A1A" w:rsidRDefault="00071A1A" w:rsidP="00DC10B3">
      <w:pPr>
        <w:spacing w:after="0"/>
      </w:pPr>
      <w:r>
        <w:continuationSeparator/>
      </w:r>
    </w:p>
    <w:p w14:paraId="1102486A" w14:textId="77777777" w:rsidR="00071A1A" w:rsidRDefault="0007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tserrat">
    <w:altName w:val="Courier New"/>
    <w:panose1 w:val="00000500000000000000"/>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640"/>
    </w:tblGrid>
    <w:tr w:rsidR="00071A1A" w14:paraId="7BE36D41" w14:textId="77777777" w:rsidTr="00CD6056">
      <w:tc>
        <w:tcPr>
          <w:tcW w:w="425" w:type="dxa"/>
          <w:tcMar>
            <w:left w:w="0" w:type="dxa"/>
            <w:right w:w="0" w:type="dxa"/>
          </w:tcMar>
        </w:tcPr>
        <w:p w14:paraId="739E3E38" w14:textId="77777777" w:rsidR="00071A1A" w:rsidRPr="00632BD3" w:rsidRDefault="00071A1A" w:rsidP="0032621A">
          <w:pPr>
            <w:pStyle w:val="Footer"/>
            <w:rPr>
              <w: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c>
        <w:tcPr>
          <w:tcW w:w="8506" w:type="dxa"/>
        </w:tcPr>
        <w:p w14:paraId="18C5EB5F" w14:textId="320152A0" w:rsidR="00071A1A" w:rsidRPr="00A775DA" w:rsidRDefault="0085415E" w:rsidP="0032621A">
          <w:pPr>
            <w:pStyle w:val="Footer"/>
          </w:pPr>
          <w:fldSimple w:instr=" TITLE   \* MERGEFORMAT ">
            <w:r w:rsidR="00694153" w:rsidRPr="00694153">
              <w:rPr>
                <w:b/>
                <w:bCs/>
              </w:rPr>
              <w:t>Willatook Wind Farm</w:t>
            </w:r>
            <w:r w:rsidR="00694153">
              <w:t xml:space="preserve"> | Environment Effects Statement</w:t>
            </w:r>
          </w:fldSimple>
          <w:fldSimple w:instr=" STYLEREF  &quot;Heading 1&quot;  \* MERGEFORMAT ">
            <w:r w:rsidR="00694153" w:rsidRPr="00694153">
              <w:rPr>
                <w:noProof/>
                <w:lang w:val="en-US"/>
              </w:rPr>
              <w:br/>
              <w:t>Environmental management framework</w:t>
            </w:r>
          </w:fldSimple>
          <w:r w:rsidR="00071A1A" w:rsidRPr="00A775DA">
            <w:t xml:space="preserve"> </w:t>
          </w:r>
        </w:p>
      </w:tc>
    </w:tr>
  </w:tbl>
  <w:p w14:paraId="5EE35D55" w14:textId="77777777" w:rsidR="00071A1A" w:rsidRPr="0032621A" w:rsidRDefault="00071A1A" w:rsidP="0032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9"/>
      <w:gridCol w:w="423"/>
    </w:tblGrid>
    <w:tr w:rsidR="00071A1A" w14:paraId="31BE17D7" w14:textId="77777777" w:rsidTr="00CD6056">
      <w:trPr>
        <w:jc w:val="right"/>
      </w:trPr>
      <w:tc>
        <w:tcPr>
          <w:tcW w:w="8647" w:type="dxa"/>
        </w:tcPr>
        <w:bookmarkStart w:id="114" w:name="_Hlk89780646"/>
        <w:bookmarkStart w:id="115" w:name="_Hlk89780647"/>
        <w:p w14:paraId="024EC034" w14:textId="1277B063" w:rsidR="00071A1A" w:rsidRPr="00A775DA" w:rsidRDefault="00071A1A" w:rsidP="00397857">
          <w:pPr>
            <w:pStyle w:val="Footer"/>
            <w:jc w:val="right"/>
          </w:pPr>
          <w:r w:rsidRPr="00A775DA">
            <w:fldChar w:fldCharType="begin"/>
          </w:r>
          <w:r w:rsidRPr="00A775DA">
            <w:instrText xml:space="preserve"> TITLE   \* MERGEFORMAT </w:instrText>
          </w:r>
          <w:r w:rsidRPr="00A775DA">
            <w:fldChar w:fldCharType="separate"/>
          </w:r>
          <w:r w:rsidR="00694153" w:rsidRPr="00694153">
            <w:rPr>
              <w:b/>
              <w:bCs/>
            </w:rPr>
            <w:t>Willatook Wind Farm</w:t>
          </w:r>
          <w:r w:rsidR="00694153">
            <w:t xml:space="preserve"> | Environment Effects Statement</w:t>
          </w:r>
          <w:r w:rsidRPr="00A775DA">
            <w:fldChar w:fldCharType="end"/>
          </w:r>
          <w:fldSimple w:instr=" STYLEREF  &quot;Heading 1&quot;  \* MERGEFORMAT ">
            <w:r w:rsidR="00694153" w:rsidRPr="00694153">
              <w:rPr>
                <w:noProof/>
                <w:lang w:val="en-US"/>
              </w:rPr>
              <w:br/>
              <w:t>Environmental management framework</w:t>
            </w:r>
          </w:fldSimple>
          <w:r w:rsidRPr="00A775DA">
            <w:t xml:space="preserve"> </w:t>
          </w:r>
        </w:p>
      </w:tc>
      <w:tc>
        <w:tcPr>
          <w:tcW w:w="423" w:type="dxa"/>
          <w:tcMar>
            <w:left w:w="0" w:type="dxa"/>
            <w:right w:w="0" w:type="dxa"/>
          </w:tcMar>
        </w:tcPr>
        <w:p w14:paraId="22304B1B" w14:textId="77777777" w:rsidR="00071A1A" w:rsidRPr="00632BD3" w:rsidRDefault="00071A1A" w:rsidP="00397857">
          <w:pPr>
            <w:pStyle w:val="Footer"/>
            <w:jc w:val="right"/>
            <w:rPr>
              <w:b/>
              <w:color w:val="5BC3EB"/>
            </w:rPr>
          </w:pPr>
          <w:r w:rsidRPr="00632BD3">
            <w:rPr>
              <w:b/>
              <w:color w:val="auto"/>
            </w:rPr>
            <w:fldChar w:fldCharType="begin"/>
          </w:r>
          <w:r w:rsidRPr="00632BD3">
            <w:rPr>
              <w:b/>
              <w:color w:val="auto"/>
            </w:rPr>
            <w:instrText xml:space="preserve"> PAGE   \* MERGEFORMAT </w:instrText>
          </w:r>
          <w:r w:rsidRPr="00632BD3">
            <w:rPr>
              <w:b/>
              <w:color w:val="auto"/>
            </w:rPr>
            <w:fldChar w:fldCharType="separate"/>
          </w:r>
          <w:r w:rsidRPr="00632BD3">
            <w:rPr>
              <w:b/>
              <w:color w:val="auto"/>
            </w:rPr>
            <w:t>1-1</w:t>
          </w:r>
          <w:r w:rsidRPr="00632BD3">
            <w:rPr>
              <w:b/>
              <w:noProof/>
              <w:color w:val="auto"/>
            </w:rPr>
            <w:fldChar w:fldCharType="end"/>
          </w:r>
        </w:p>
      </w:tc>
    </w:tr>
    <w:bookmarkEnd w:id="114"/>
    <w:bookmarkEnd w:id="115"/>
  </w:tbl>
  <w:p w14:paraId="64A55318" w14:textId="77777777" w:rsidR="00071A1A" w:rsidRDefault="00071A1A" w:rsidP="003262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5FF7" w14:textId="299B7EC6" w:rsidR="00071A1A" w:rsidRDefault="0085415E" w:rsidP="008C12B0">
    <w:pPr>
      <w:pStyle w:val="Footer"/>
      <w:jc w:val="right"/>
    </w:pPr>
    <w:fldSimple w:instr=" TITLE   \* MERGEFORMAT ">
      <w:r w:rsidR="00694153">
        <w:t>Willatook Wind Farm | Environment Effects Statement</w:t>
      </w:r>
    </w:fldSimple>
    <w:r w:rsidR="00071A1A">
      <w:t xml:space="preserve"> 2018 </w:t>
    </w:r>
    <w:r w:rsidR="00071A1A" w:rsidRPr="008D2F0D">
      <w:rPr>
        <w:b/>
      </w:rPr>
      <w:t xml:space="preserve">| </w:t>
    </w:r>
    <w:r w:rsidR="00071A1A" w:rsidRPr="008D2F0D">
      <w:rPr>
        <w:b/>
      </w:rPr>
      <w:fldChar w:fldCharType="begin"/>
    </w:r>
    <w:r w:rsidR="00071A1A" w:rsidRPr="008D2F0D">
      <w:rPr>
        <w:b/>
      </w:rPr>
      <w:instrText xml:space="preserve"> PAGE   \* MERGEFORMAT </w:instrText>
    </w:r>
    <w:r w:rsidR="00071A1A" w:rsidRPr="008D2F0D">
      <w:rPr>
        <w:b/>
      </w:rPr>
      <w:fldChar w:fldCharType="separate"/>
    </w:r>
    <w:r w:rsidR="00071A1A">
      <w:rPr>
        <w:b/>
        <w:noProof/>
      </w:rPr>
      <w:t>2</w:t>
    </w:r>
    <w:r w:rsidR="00071A1A" w:rsidRPr="008D2F0D">
      <w:rPr>
        <w:b/>
        <w:noProof/>
      </w:rPr>
      <w:fldChar w:fldCharType="end"/>
    </w:r>
  </w:p>
  <w:p w14:paraId="732F5E52" w14:textId="77777777" w:rsidR="00071A1A" w:rsidRDefault="00071A1A" w:rsidP="008C12B0"/>
  <w:p w14:paraId="7B425696" w14:textId="77777777" w:rsidR="00071A1A" w:rsidRPr="008C12B0" w:rsidRDefault="00071A1A" w:rsidP="008C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7852" w14:textId="77777777" w:rsidR="00071A1A" w:rsidRDefault="00071A1A" w:rsidP="00DC10B3">
      <w:pPr>
        <w:spacing w:after="0"/>
      </w:pPr>
      <w:r>
        <w:separator/>
      </w:r>
    </w:p>
    <w:p w14:paraId="1A7AC7EB" w14:textId="77777777" w:rsidR="00071A1A" w:rsidRDefault="00071A1A"/>
  </w:footnote>
  <w:footnote w:type="continuationSeparator" w:id="0">
    <w:p w14:paraId="03F2915B" w14:textId="77777777" w:rsidR="00071A1A" w:rsidRDefault="00071A1A" w:rsidP="00DC10B3">
      <w:pPr>
        <w:spacing w:after="0"/>
      </w:pPr>
      <w:r>
        <w:continuationSeparator/>
      </w:r>
    </w:p>
    <w:p w14:paraId="0BBF0F14" w14:textId="77777777" w:rsidR="00071A1A" w:rsidRDefault="0007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83BB" w14:textId="77777777" w:rsidR="00071A1A" w:rsidRDefault="00071A1A">
    <w:pPr>
      <w:pStyle w:val="Header"/>
    </w:pPr>
    <w:r>
      <w:rPr>
        <w:noProof/>
      </w:rPr>
      <w:drawing>
        <wp:anchor distT="0" distB="0" distL="114300" distR="114300" simplePos="0" relativeHeight="251676672" behindDoc="0" locked="0" layoutInCell="1" allowOverlap="1" wp14:anchorId="0564E31C" wp14:editId="4C141EAD">
          <wp:simplePos x="0" y="0"/>
          <wp:positionH relativeFrom="column">
            <wp:posOffset>-885825</wp:posOffset>
          </wp:positionH>
          <wp:positionV relativeFrom="paragraph">
            <wp:posOffset>-438785</wp:posOffset>
          </wp:positionV>
          <wp:extent cx="3600000" cy="56539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flipH="1">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99BD" w14:textId="77777777" w:rsidR="00071A1A" w:rsidRDefault="00071A1A">
    <w:pPr>
      <w:pStyle w:val="Header"/>
    </w:pPr>
    <w:bookmarkStart w:id="102" w:name="_Hlk89780644"/>
    <w:bookmarkStart w:id="103" w:name="_Hlk89780645"/>
    <w:bookmarkStart w:id="104" w:name="_Hlk89780673"/>
    <w:bookmarkStart w:id="105" w:name="_Hlk89780674"/>
    <w:bookmarkStart w:id="106" w:name="_Hlk89780702"/>
    <w:bookmarkStart w:id="107" w:name="_Hlk89780703"/>
    <w:bookmarkStart w:id="108" w:name="_Hlk89780726"/>
    <w:bookmarkStart w:id="109" w:name="_Hlk89780727"/>
    <w:bookmarkStart w:id="110" w:name="_Hlk89780763"/>
    <w:bookmarkStart w:id="111" w:name="_Hlk89780764"/>
    <w:bookmarkStart w:id="112" w:name="_Hlk89780828"/>
    <w:bookmarkStart w:id="113" w:name="_Hlk89780829"/>
    <w:r>
      <w:rPr>
        <w:noProof/>
      </w:rPr>
      <w:drawing>
        <wp:anchor distT="0" distB="0" distL="114300" distR="114300" simplePos="0" relativeHeight="251674624" behindDoc="0" locked="0" layoutInCell="1" allowOverlap="1" wp14:anchorId="0636C7F0" wp14:editId="55B64D6D">
          <wp:simplePos x="0" y="0"/>
          <wp:positionH relativeFrom="column">
            <wp:posOffset>3061335</wp:posOffset>
          </wp:positionH>
          <wp:positionV relativeFrom="paragraph">
            <wp:posOffset>-440690</wp:posOffset>
          </wp:positionV>
          <wp:extent cx="3600000" cy="565395"/>
          <wp:effectExtent l="0" t="0" r="63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02"/>
    <w:bookmarkEnd w:id="103"/>
    <w:bookmarkEnd w:id="104"/>
    <w:bookmarkEnd w:id="105"/>
    <w:bookmarkEnd w:id="106"/>
    <w:bookmarkEnd w:id="107"/>
    <w:bookmarkEnd w:id="108"/>
    <w:bookmarkEnd w:id="109"/>
    <w:bookmarkEnd w:id="110"/>
    <w:bookmarkEnd w:id="111"/>
    <w:bookmarkEnd w:id="112"/>
    <w:bookmarkEnd w:id="1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0C9A" w14:textId="77777777" w:rsidR="00071A1A" w:rsidRDefault="00071A1A">
    <w:pPr>
      <w:pStyle w:val="Header"/>
    </w:pPr>
    <w:bookmarkStart w:id="116" w:name="_Hlk519249691"/>
    <w:bookmarkStart w:id="117" w:name="_Hlk519249692"/>
    <w:bookmarkStart w:id="118" w:name="_Hlk519249693"/>
    <w:bookmarkStart w:id="119" w:name="_Hlk89780648"/>
    <w:bookmarkStart w:id="120" w:name="_Hlk89780649"/>
    <w:bookmarkStart w:id="121" w:name="_Hlk89780675"/>
    <w:bookmarkStart w:id="122" w:name="_Hlk89780676"/>
    <w:bookmarkStart w:id="123" w:name="_Hlk89780704"/>
    <w:bookmarkStart w:id="124" w:name="_Hlk89780705"/>
    <w:bookmarkStart w:id="125" w:name="_Hlk89780728"/>
    <w:bookmarkStart w:id="126" w:name="_Hlk89780729"/>
    <w:bookmarkStart w:id="127" w:name="_Hlk89780765"/>
    <w:bookmarkStart w:id="128" w:name="_Hlk89780766"/>
    <w:bookmarkStart w:id="129" w:name="_Hlk89780830"/>
    <w:bookmarkStart w:id="130" w:name="_Hlk8978083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1A2C" w14:textId="77777777" w:rsidR="00A775DA" w:rsidRDefault="00A775DA">
    <w:pPr>
      <w:pStyle w:val="Header"/>
    </w:pPr>
    <w:r>
      <w:rPr>
        <w:noProof/>
      </w:rPr>
      <w:drawing>
        <wp:anchor distT="0" distB="0" distL="114300" distR="114300" simplePos="0" relativeHeight="251678720" behindDoc="0" locked="0" layoutInCell="1" allowOverlap="1" wp14:anchorId="010EF0F1" wp14:editId="3A67C25B">
          <wp:simplePos x="0" y="0"/>
          <wp:positionH relativeFrom="column">
            <wp:posOffset>6195060</wp:posOffset>
          </wp:positionH>
          <wp:positionV relativeFrom="paragraph">
            <wp:posOffset>-440690</wp:posOffset>
          </wp:positionV>
          <wp:extent cx="3600000" cy="565395"/>
          <wp:effectExtent l="0" t="0" r="63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52607" b="94738"/>
                  <a:stretch/>
                </pic:blipFill>
                <pic:spPr bwMode="auto">
                  <a:xfrm>
                    <a:off x="0" y="0"/>
                    <a:ext cx="3600000" cy="565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AC85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47E6FCE"/>
    <w:lvl w:ilvl="0">
      <w:start w:val="1"/>
      <w:numFmt w:val="decimal"/>
      <w:pStyle w:val="ListNumber4"/>
      <w:lvlText w:val="%1."/>
      <w:lvlJc w:val="left"/>
      <w:pPr>
        <w:tabs>
          <w:tab w:val="num" w:pos="1209"/>
        </w:tabs>
        <w:ind w:left="1209" w:hanging="360"/>
      </w:pPr>
    </w:lvl>
  </w:abstractNum>
  <w:abstractNum w:abstractNumId="2" w15:restartNumberingAfterBreak="0">
    <w:nsid w:val="FFFFFF83"/>
    <w:multiLevelType w:val="singleLevel"/>
    <w:tmpl w:val="CD6070E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17A737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270561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5B0EA9CA"/>
    <w:lvl w:ilvl="0">
      <w:start w:val="1"/>
      <w:numFmt w:val="none"/>
      <w:suff w:val="nothing"/>
      <w:lvlText w:val=""/>
      <w:lvlJc w:val="left"/>
      <w:pPr>
        <w:ind w:left="113" w:firstLine="0"/>
      </w:pPr>
      <w:rPr>
        <w:rFonts w:hint="default"/>
      </w:rPr>
    </w:lvl>
    <w:lvl w:ilvl="1">
      <w:start w:val="1"/>
      <w:numFmt w:val="decimal"/>
      <w:pStyle w:val="Footnotes"/>
      <w:lvlText w:val="%2."/>
      <w:lvlJc w:val="left"/>
      <w:pPr>
        <w:tabs>
          <w:tab w:val="num" w:pos="357"/>
        </w:tabs>
        <w:ind w:left="357" w:hanging="357"/>
      </w:pPr>
      <w:rPr>
        <w:rFonts w:hint="default"/>
        <w:b w:val="0"/>
        <w:bCs/>
        <w:i w:val="0"/>
        <w:color w:val="1C2B39" w:themeColor="text2"/>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64F3927"/>
    <w:multiLevelType w:val="multilevel"/>
    <w:tmpl w:val="5262EEF0"/>
    <w:numStyleLink w:val="LXRANumberedList"/>
  </w:abstractNum>
  <w:abstractNum w:abstractNumId="8" w15:restartNumberingAfterBreak="0">
    <w:nsid w:val="0FB2573F"/>
    <w:multiLevelType w:val="multilevel"/>
    <w:tmpl w:val="DE1A4C60"/>
    <w:lvl w:ilvl="0">
      <w:start w:val="1"/>
      <w:numFmt w:val="none"/>
      <w:suff w:val="nothing"/>
      <w:lvlText w:val=""/>
      <w:lvlJc w:val="left"/>
      <w:pPr>
        <w:ind w:left="113" w:firstLine="0"/>
      </w:pPr>
      <w:rPr>
        <w:rFonts w:hint="default"/>
        <w:spacing w:val="-10"/>
      </w:rPr>
    </w:lvl>
    <w:lvl w:ilvl="1">
      <w:start w:val="1"/>
      <w:numFmt w:val="decimal"/>
      <w:pStyle w:val="TableFootnotes"/>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15:restartNumberingAfterBreak="0">
    <w:nsid w:val="14890D1D"/>
    <w:multiLevelType w:val="multilevel"/>
    <w:tmpl w:val="49047748"/>
    <w:lvl w:ilvl="0">
      <w:start w:val="7"/>
      <w:numFmt w:val="bullet"/>
      <w:lvlText w:val="—"/>
      <w:lvlJc w:val="left"/>
      <w:pPr>
        <w:ind w:left="357" w:hanging="357"/>
      </w:pPr>
      <w:rPr>
        <w:rFonts w:ascii="Calibri" w:hAnsi="Calibri" w:hint="default"/>
        <w:color w:val="auto"/>
        <w:position w:val="1"/>
        <w:sz w:val="20"/>
      </w:rPr>
    </w:lvl>
    <w:lvl w:ilvl="1">
      <w:start w:val="5"/>
      <w:numFmt w:val="bullet"/>
      <w:lvlText w:val="—"/>
      <w:lvlJc w:val="left"/>
      <w:pPr>
        <w:ind w:left="714" w:hanging="357"/>
      </w:pPr>
      <w:rPr>
        <w:rFonts w:ascii="Calibri" w:hAnsi="Calibri" w:hint="default"/>
        <w:b w:val="0"/>
        <w:i w:val="0"/>
        <w:color w:val="auto"/>
        <w:position w:val="0"/>
        <w:sz w:val="20"/>
      </w:rPr>
    </w:lvl>
    <w:lvl w:ilvl="2">
      <w:start w:val="1"/>
      <w:numFmt w:val="bullet"/>
      <w:lvlText w:val="—"/>
      <w:lvlJc w:val="left"/>
      <w:pPr>
        <w:ind w:left="1071" w:hanging="357"/>
      </w:pPr>
      <w:rPr>
        <w:rFonts w:ascii="Calibri" w:hAnsi="Calibri" w:hint="default"/>
        <w:b w:val="0"/>
        <w:i w:val="0"/>
        <w:color w:val="auto"/>
        <w:position w:val="3"/>
        <w:sz w:val="20"/>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Calibri" w:hAnsi="Calibri" w:hint="default"/>
        <w:color w:val="auto"/>
      </w:rPr>
    </w:lvl>
    <w:lvl w:ilvl="5">
      <w:start w:val="1"/>
      <w:numFmt w:val="none"/>
      <w:lvlText w:val=""/>
      <w:lvlJc w:val="left"/>
      <w:pPr>
        <w:tabs>
          <w:tab w:val="num" w:pos="2210"/>
        </w:tabs>
        <w:ind w:left="2142" w:hanging="357"/>
      </w:pPr>
      <w:rPr>
        <w:rFonts w:hint="default"/>
      </w:rPr>
    </w:lvl>
    <w:lvl w:ilvl="6">
      <w:start w:val="1"/>
      <w:numFmt w:val="none"/>
      <w:lvlText w:val=""/>
      <w:lvlJc w:val="left"/>
      <w:pPr>
        <w:tabs>
          <w:tab w:val="num" w:pos="2567"/>
        </w:tabs>
        <w:ind w:left="2499" w:hanging="357"/>
      </w:pPr>
      <w:rPr>
        <w:rFonts w:hint="default"/>
      </w:rPr>
    </w:lvl>
    <w:lvl w:ilvl="7">
      <w:start w:val="1"/>
      <w:numFmt w:val="none"/>
      <w:lvlText w:val=""/>
      <w:lvlJc w:val="left"/>
      <w:pPr>
        <w:tabs>
          <w:tab w:val="num" w:pos="2924"/>
        </w:tabs>
        <w:ind w:left="2856" w:hanging="357"/>
      </w:pPr>
      <w:rPr>
        <w:rFonts w:hint="default"/>
      </w:rPr>
    </w:lvl>
    <w:lvl w:ilvl="8">
      <w:start w:val="1"/>
      <w:numFmt w:val="none"/>
      <w:lvlText w:val=""/>
      <w:lvlJc w:val="left"/>
      <w:pPr>
        <w:tabs>
          <w:tab w:val="num" w:pos="3281"/>
        </w:tabs>
        <w:ind w:left="3213" w:hanging="357"/>
      </w:pPr>
      <w:rPr>
        <w:rFonts w:hint="default"/>
      </w:rPr>
    </w:lvl>
  </w:abstractNum>
  <w:abstractNum w:abstractNumId="10" w15:restartNumberingAfterBreak="0">
    <w:nsid w:val="1AC53308"/>
    <w:multiLevelType w:val="multilevel"/>
    <w:tmpl w:val="D5C6CBB6"/>
    <w:lvl w:ilvl="0">
      <w:start w:val="26"/>
      <w:numFmt w:val="decimal"/>
      <w:pStyle w:val="Heading1"/>
      <w:suff w:val="nothing"/>
      <w:lvlText w:val="Chapter %1"/>
      <w:lvlJc w:val="left"/>
      <w:pPr>
        <w:ind w:left="1134" w:hanging="1134"/>
      </w:pPr>
      <w:rPr>
        <w:rFonts w:hint="default"/>
        <w:color w:val="auto"/>
        <w:sz w:val="48"/>
        <w:szCs w:val="48"/>
      </w:rPr>
    </w:lvl>
    <w:lvl w:ilvl="1">
      <w:start w:val="1"/>
      <w:numFmt w:val="decimal"/>
      <w:pStyle w:val="Heading2"/>
      <w:lvlText w:val="%1.%2"/>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C976934"/>
    <w:multiLevelType w:val="multilevel"/>
    <w:tmpl w:val="C9881CB4"/>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3" w15:restartNumberingAfterBreak="0">
    <w:nsid w:val="3178730F"/>
    <w:multiLevelType w:val="multilevel"/>
    <w:tmpl w:val="AB24EEA4"/>
    <w:name w:val="WSP Appendices"/>
    <w:lvl w:ilvl="0">
      <w:start w:val="1"/>
      <w:numFmt w:val="upperLetter"/>
      <w:lvlText w:val="Appendix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4" w15:restartNumberingAfterBreak="0">
    <w:nsid w:val="3AAB7112"/>
    <w:multiLevelType w:val="multilevel"/>
    <w:tmpl w:val="5262EEF0"/>
    <w:styleLink w:val="LXRANumberedList"/>
    <w:lvl w:ilvl="0">
      <w:start w:val="1"/>
      <w:numFmt w:val="decimal"/>
      <w:pStyle w:val="ListNumber"/>
      <w:lvlText w:val="%1."/>
      <w:lvlJc w:val="left"/>
      <w:pPr>
        <w:tabs>
          <w:tab w:val="num" w:pos="360"/>
        </w:tabs>
        <w:ind w:left="284" w:hanging="284"/>
      </w:pPr>
      <w:rPr>
        <w:rFonts w:hint="default"/>
      </w:rPr>
    </w:lvl>
    <w:lvl w:ilvl="1">
      <w:start w:val="1"/>
      <w:numFmt w:val="lowerLetter"/>
      <w:pStyle w:val="ListNumber2"/>
      <w:lvlText w:val="%2."/>
      <w:lvlJc w:val="left"/>
      <w:pPr>
        <w:tabs>
          <w:tab w:val="num" w:pos="2835"/>
        </w:tabs>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4"/>
      <w:lvlJc w:val="left"/>
      <w:pPr>
        <w:ind w:left="1134" w:hanging="283"/>
      </w:pPr>
      <w:rPr>
        <w:rFonts w:hint="default"/>
      </w:rPr>
    </w:lvl>
    <w:lvl w:ilvl="4">
      <w:start w:val="1"/>
      <w:numFmt w:val="none"/>
      <w:lvlText w:val="%5"/>
      <w:lvlJc w:val="left"/>
      <w:pPr>
        <w:ind w:left="1418" w:hanging="284"/>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5" w15:restartNumberingAfterBreak="0">
    <w:nsid w:val="3CB352F4"/>
    <w:multiLevelType w:val="multilevel"/>
    <w:tmpl w:val="B176A4CE"/>
    <w:styleLink w:val="LXRABullets"/>
    <w:lvl w:ilvl="0">
      <w:start w:val="1"/>
      <w:numFmt w:val="bullet"/>
      <w:pStyle w:val="ListBullet"/>
      <w:lvlText w:val="•"/>
      <w:lvlJc w:val="left"/>
      <w:pPr>
        <w:ind w:left="284" w:hanging="284"/>
      </w:pPr>
      <w:rPr>
        <w:rFonts w:ascii="Calibri" w:hAnsi="Calibri" w:hint="default"/>
      </w:rPr>
    </w:lvl>
    <w:lvl w:ilvl="1">
      <w:start w:val="1"/>
      <w:numFmt w:val="bullet"/>
      <w:pStyle w:val="ListBullet2"/>
      <w:lvlText w:val="̵"/>
      <w:lvlJc w:val="left"/>
      <w:pPr>
        <w:ind w:left="567" w:hanging="283"/>
      </w:pPr>
      <w:rPr>
        <w:rFonts w:ascii="Courier New" w:hAnsi="Courier New" w:hint="default"/>
      </w:rPr>
    </w:lvl>
    <w:lvl w:ilvl="2">
      <w:start w:val="1"/>
      <w:numFmt w:val="bullet"/>
      <w:pStyle w:val="ListBullet3"/>
      <w:lvlText w:val="›"/>
      <w:lvlJc w:val="left"/>
      <w:pPr>
        <w:ind w:left="851" w:hanging="284"/>
      </w:pPr>
      <w:rPr>
        <w:rFonts w:ascii="Calibri" w:hAnsi="Calibri" w:hint="default"/>
      </w:rPr>
    </w:lvl>
    <w:lvl w:ilvl="3">
      <w:start w:val="1"/>
      <w:numFmt w:val="bullet"/>
      <w:pStyle w:val="ListBullet4"/>
      <w:lvlText w:val="▪"/>
      <w:lvlJc w:val="left"/>
      <w:pPr>
        <w:ind w:left="1134" w:hanging="283"/>
      </w:pPr>
      <w:rPr>
        <w:rFonts w:ascii="Calibri" w:hAnsi="Calibri" w:hint="default"/>
      </w:rPr>
    </w:lvl>
    <w:lvl w:ilvl="4">
      <w:start w:val="1"/>
      <w:numFmt w:val="bullet"/>
      <w:pStyle w:val="ListBullet5"/>
      <w:lvlText w:val="▫"/>
      <w:lvlJc w:val="left"/>
      <w:pPr>
        <w:ind w:left="1418" w:hanging="284"/>
      </w:pPr>
      <w:rPr>
        <w:rFonts w:ascii="Calibri" w:hAnsi="Calibri" w:hint="default"/>
      </w:rPr>
    </w:lvl>
    <w:lvl w:ilvl="5">
      <w:start w:val="1"/>
      <w:numFmt w:val="none"/>
      <w:lvlText w:val=""/>
      <w:lvlJc w:val="left"/>
      <w:pPr>
        <w:ind w:left="4539" w:hanging="284"/>
      </w:pPr>
      <w:rPr>
        <w:rFonts w:hint="default"/>
      </w:rPr>
    </w:lvl>
    <w:lvl w:ilvl="6">
      <w:start w:val="1"/>
      <w:numFmt w:val="none"/>
      <w:lvlText w:val=""/>
      <w:lvlJc w:val="left"/>
      <w:pPr>
        <w:ind w:left="5390" w:hanging="284"/>
      </w:pPr>
      <w:rPr>
        <w:rFonts w:hint="default"/>
      </w:rPr>
    </w:lvl>
    <w:lvl w:ilvl="7">
      <w:start w:val="1"/>
      <w:numFmt w:val="none"/>
      <w:lvlText w:val=""/>
      <w:lvlJc w:val="left"/>
      <w:pPr>
        <w:ind w:left="6241" w:hanging="284"/>
      </w:pPr>
      <w:rPr>
        <w:rFonts w:hint="default"/>
      </w:rPr>
    </w:lvl>
    <w:lvl w:ilvl="8">
      <w:start w:val="1"/>
      <w:numFmt w:val="none"/>
      <w:lvlText w:val=""/>
      <w:lvlJc w:val="left"/>
      <w:pPr>
        <w:ind w:left="7092" w:hanging="284"/>
      </w:pPr>
      <w:rPr>
        <w:rFonts w:hint="default"/>
      </w:rPr>
    </w:lvl>
  </w:abstractNum>
  <w:abstractNum w:abstractNumId="16" w15:restartNumberingAfterBreak="0">
    <w:nsid w:val="48151EE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8" w15:restartNumberingAfterBreak="0">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41D25"/>
    <w:multiLevelType w:val="multilevel"/>
    <w:tmpl w:val="10107B4A"/>
    <w:styleLink w:val="TableFootnotes0"/>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0" w15:restartNumberingAfterBreak="0">
    <w:nsid w:val="5D820AEB"/>
    <w:multiLevelType w:val="multilevel"/>
    <w:tmpl w:val="B176A4CE"/>
    <w:numStyleLink w:val="LXRABullets"/>
  </w:abstractNum>
  <w:abstractNum w:abstractNumId="21" w15:restartNumberingAfterBreak="0">
    <w:nsid w:val="6DFC32B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BD745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15"/>
  </w:num>
  <w:num w:numId="4">
    <w:abstractNumId w:val="14"/>
  </w:num>
  <w:num w:numId="5">
    <w:abstractNumId w:val="7"/>
    <w:lvlOverride w:ilvl="0">
      <w:lvl w:ilvl="0">
        <w:start w:val="1"/>
        <w:numFmt w:val="decimal"/>
        <w:pStyle w:val="ListNumber"/>
        <w:lvlText w:val="%1."/>
        <w:lvlJc w:val="left"/>
        <w:pPr>
          <w:tabs>
            <w:tab w:val="num" w:pos="360"/>
          </w:tabs>
          <w:ind w:left="284" w:hanging="284"/>
        </w:pPr>
        <w:rPr>
          <w:rFonts w:hint="default"/>
        </w:rPr>
      </w:lvl>
    </w:lvlOverride>
    <w:lvlOverride w:ilvl="1">
      <w:lvl w:ilvl="1">
        <w:start w:val="1"/>
        <w:numFmt w:val="lowerLetter"/>
        <w:pStyle w:val="ListNumber2"/>
        <w:lvlText w:val="%2."/>
        <w:lvlJc w:val="left"/>
        <w:pPr>
          <w:tabs>
            <w:tab w:val="num" w:pos="2835"/>
          </w:tabs>
          <w:ind w:left="567" w:hanging="283"/>
        </w:pPr>
        <w:rPr>
          <w:rFonts w:hint="default"/>
        </w:rPr>
      </w:lvl>
    </w:lvlOverride>
    <w:lvlOverride w:ilvl="2">
      <w:lvl w:ilvl="2">
        <w:start w:val="1"/>
        <w:numFmt w:val="lowerRoman"/>
        <w:pStyle w:val="ListNumber3"/>
        <w:lvlText w:val="%3."/>
        <w:lvlJc w:val="left"/>
        <w:pPr>
          <w:ind w:left="851" w:hanging="284"/>
        </w:pPr>
        <w:rPr>
          <w:rFonts w:hint="default"/>
        </w:rPr>
      </w:lvl>
    </w:lvlOverride>
    <w:lvlOverride w:ilvl="3">
      <w:lvl w:ilvl="3">
        <w:start w:val="1"/>
        <w:numFmt w:val="none"/>
        <w:lvlText w:val="%4"/>
        <w:lvlJc w:val="left"/>
        <w:pPr>
          <w:ind w:left="1134" w:hanging="283"/>
        </w:pPr>
        <w:rPr>
          <w:rFonts w:hint="default"/>
        </w:rPr>
      </w:lvl>
    </w:lvlOverride>
    <w:lvlOverride w:ilvl="4">
      <w:lvl w:ilvl="4">
        <w:start w:val="1"/>
        <w:numFmt w:val="none"/>
        <w:lvlText w:val="%5"/>
        <w:lvlJc w:val="left"/>
        <w:pPr>
          <w:ind w:left="1418" w:hanging="284"/>
        </w:pPr>
        <w:rPr>
          <w:rFonts w:hint="default"/>
        </w:rPr>
      </w:lvl>
    </w:lvlOverride>
    <w:lvlOverride w:ilvl="5">
      <w:lvl w:ilvl="5">
        <w:start w:val="1"/>
        <w:numFmt w:val="none"/>
        <w:lvlText w:val="%6"/>
        <w:lvlJc w:val="right"/>
        <w:pPr>
          <w:ind w:left="4320" w:hanging="180"/>
        </w:pPr>
        <w:rPr>
          <w:rFonts w:hint="default"/>
        </w:rPr>
      </w:lvl>
    </w:lvlOverride>
    <w:lvlOverride w:ilvl="6">
      <w:lvl w:ilvl="6">
        <w:start w:val="1"/>
        <w:numFmt w:val="none"/>
        <w:lvlText w:val="%7"/>
        <w:lvlJc w:val="left"/>
        <w:pPr>
          <w:ind w:left="5040" w:hanging="360"/>
        </w:pPr>
        <w:rPr>
          <w:rFonts w:hint="default"/>
        </w:rPr>
      </w:lvl>
    </w:lvlOverride>
    <w:lvlOverride w:ilvl="7">
      <w:lvl w:ilvl="7">
        <w:start w:val="1"/>
        <w:numFmt w:val="none"/>
        <w:lvlText w:val="%8"/>
        <w:lvlJc w:val="left"/>
        <w:pPr>
          <w:ind w:left="5760" w:hanging="360"/>
        </w:pPr>
        <w:rPr>
          <w:rFonts w:hint="default"/>
        </w:rPr>
      </w:lvl>
    </w:lvlOverride>
    <w:lvlOverride w:ilvl="8">
      <w:lvl w:ilvl="8">
        <w:start w:val="1"/>
        <w:numFmt w:val="none"/>
        <w:lvlText w:val="%9"/>
        <w:lvlJc w:val="right"/>
        <w:pPr>
          <w:ind w:left="6480" w:hanging="180"/>
        </w:pPr>
        <w:rPr>
          <w:rFonts w:hint="default"/>
        </w:rPr>
      </w:lvl>
    </w:lvlOverride>
  </w:num>
  <w:num w:numId="6">
    <w:abstractNumId w:val="20"/>
  </w:num>
  <w:num w:numId="7">
    <w:abstractNumId w:val="10"/>
  </w:num>
  <w:num w:numId="8">
    <w:abstractNumId w:val="6"/>
  </w:num>
  <w:num w:numId="9">
    <w:abstractNumId w:val="9"/>
  </w:num>
  <w:num w:numId="10">
    <w:abstractNumId w:val="11"/>
  </w:num>
  <w:num w:numId="11">
    <w:abstractNumId w:val="5"/>
  </w:num>
  <w:num w:numId="12">
    <w:abstractNumId w:val="8"/>
  </w:num>
  <w:num w:numId="13">
    <w:abstractNumId w:val="12"/>
  </w:num>
  <w:num w:numId="14">
    <w:abstractNumId w:val="19"/>
  </w:num>
  <w:num w:numId="15">
    <w:abstractNumId w:val="17"/>
  </w:num>
  <w:num w:numId="16">
    <w:abstractNumId w:val="21"/>
  </w:num>
  <w:num w:numId="17">
    <w:abstractNumId w:val="22"/>
  </w:num>
  <w:num w:numId="18">
    <w:abstractNumId w:val="16"/>
  </w:num>
  <w:num w:numId="19">
    <w:abstractNumId w:val="20"/>
  </w:num>
  <w:num w:numId="2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
  </w:num>
  <w:num w:numId="23">
    <w:abstractNumId w:val="20"/>
  </w:num>
  <w:num w:numId="24">
    <w:abstractNumId w:val="2"/>
  </w:num>
  <w:num w:numId="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drawingGridHorizontalSpacing w:val="95"/>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1E678E"/>
    <w:rsid w:val="00003949"/>
    <w:rsid w:val="00014147"/>
    <w:rsid w:val="0002237F"/>
    <w:rsid w:val="00032E82"/>
    <w:rsid w:val="000337DA"/>
    <w:rsid w:val="00041CC6"/>
    <w:rsid w:val="00041E70"/>
    <w:rsid w:val="00043402"/>
    <w:rsid w:val="00044F86"/>
    <w:rsid w:val="00047205"/>
    <w:rsid w:val="00050902"/>
    <w:rsid w:val="00053373"/>
    <w:rsid w:val="00057EFC"/>
    <w:rsid w:val="00057FE3"/>
    <w:rsid w:val="0006151E"/>
    <w:rsid w:val="00071A1A"/>
    <w:rsid w:val="00074A7D"/>
    <w:rsid w:val="000751CD"/>
    <w:rsid w:val="00077062"/>
    <w:rsid w:val="000773B9"/>
    <w:rsid w:val="00084512"/>
    <w:rsid w:val="0009234B"/>
    <w:rsid w:val="00092DC7"/>
    <w:rsid w:val="00094EB8"/>
    <w:rsid w:val="000963CD"/>
    <w:rsid w:val="000A36C5"/>
    <w:rsid w:val="000A3786"/>
    <w:rsid w:val="000A72A4"/>
    <w:rsid w:val="000A7D48"/>
    <w:rsid w:val="000B6E30"/>
    <w:rsid w:val="000C2447"/>
    <w:rsid w:val="000C3BCA"/>
    <w:rsid w:val="000C4C89"/>
    <w:rsid w:val="000C66AD"/>
    <w:rsid w:val="000D0E4C"/>
    <w:rsid w:val="000D1E34"/>
    <w:rsid w:val="000D74C6"/>
    <w:rsid w:val="000D7729"/>
    <w:rsid w:val="000D7ECE"/>
    <w:rsid w:val="000E1FAE"/>
    <w:rsid w:val="000E54C9"/>
    <w:rsid w:val="000E6468"/>
    <w:rsid w:val="000E7B93"/>
    <w:rsid w:val="000F4EC0"/>
    <w:rsid w:val="000F5FB5"/>
    <w:rsid w:val="000F6116"/>
    <w:rsid w:val="000F7996"/>
    <w:rsid w:val="001029CF"/>
    <w:rsid w:val="00106518"/>
    <w:rsid w:val="001134D2"/>
    <w:rsid w:val="00116CB6"/>
    <w:rsid w:val="00120869"/>
    <w:rsid w:val="00122694"/>
    <w:rsid w:val="0012483F"/>
    <w:rsid w:val="00131634"/>
    <w:rsid w:val="0013604A"/>
    <w:rsid w:val="001375EE"/>
    <w:rsid w:val="00141EFB"/>
    <w:rsid w:val="0015071E"/>
    <w:rsid w:val="00151B93"/>
    <w:rsid w:val="00153D46"/>
    <w:rsid w:val="00154761"/>
    <w:rsid w:val="00156875"/>
    <w:rsid w:val="001575B6"/>
    <w:rsid w:val="00161C13"/>
    <w:rsid w:val="00173082"/>
    <w:rsid w:val="0017327A"/>
    <w:rsid w:val="00173E17"/>
    <w:rsid w:val="0017694B"/>
    <w:rsid w:val="0018121D"/>
    <w:rsid w:val="00185F14"/>
    <w:rsid w:val="00196C75"/>
    <w:rsid w:val="001A579F"/>
    <w:rsid w:val="001A697F"/>
    <w:rsid w:val="001A6D68"/>
    <w:rsid w:val="001A71DB"/>
    <w:rsid w:val="001B2001"/>
    <w:rsid w:val="001B2A7D"/>
    <w:rsid w:val="001B41B5"/>
    <w:rsid w:val="001B456D"/>
    <w:rsid w:val="001B4E88"/>
    <w:rsid w:val="001C073D"/>
    <w:rsid w:val="001C17C1"/>
    <w:rsid w:val="001D2A37"/>
    <w:rsid w:val="001D2AFC"/>
    <w:rsid w:val="001D3600"/>
    <w:rsid w:val="001D6E30"/>
    <w:rsid w:val="001E1CB0"/>
    <w:rsid w:val="001E2E84"/>
    <w:rsid w:val="001E5900"/>
    <w:rsid w:val="001E678E"/>
    <w:rsid w:val="001E71B3"/>
    <w:rsid w:val="001F2A42"/>
    <w:rsid w:val="001F3F7A"/>
    <w:rsid w:val="001F6712"/>
    <w:rsid w:val="002073B3"/>
    <w:rsid w:val="00211012"/>
    <w:rsid w:val="002173F7"/>
    <w:rsid w:val="0022096F"/>
    <w:rsid w:val="002220A8"/>
    <w:rsid w:val="00223B9D"/>
    <w:rsid w:val="00224794"/>
    <w:rsid w:val="00236983"/>
    <w:rsid w:val="00240091"/>
    <w:rsid w:val="0024331B"/>
    <w:rsid w:val="002436AE"/>
    <w:rsid w:val="00243D01"/>
    <w:rsid w:val="00251DC3"/>
    <w:rsid w:val="00253F72"/>
    <w:rsid w:val="00254677"/>
    <w:rsid w:val="00256ACF"/>
    <w:rsid w:val="00256AF2"/>
    <w:rsid w:val="00257986"/>
    <w:rsid w:val="00260E7F"/>
    <w:rsid w:val="00275E6B"/>
    <w:rsid w:val="00277203"/>
    <w:rsid w:val="00280154"/>
    <w:rsid w:val="002900B0"/>
    <w:rsid w:val="002954C4"/>
    <w:rsid w:val="00297F0E"/>
    <w:rsid w:val="002A40A3"/>
    <w:rsid w:val="002B0C3E"/>
    <w:rsid w:val="002B0E3C"/>
    <w:rsid w:val="002B2F02"/>
    <w:rsid w:val="002B4803"/>
    <w:rsid w:val="002B5952"/>
    <w:rsid w:val="002D5A77"/>
    <w:rsid w:val="002E031A"/>
    <w:rsid w:val="002E44C4"/>
    <w:rsid w:val="002E785C"/>
    <w:rsid w:val="002F2DC9"/>
    <w:rsid w:val="002F4451"/>
    <w:rsid w:val="002F7615"/>
    <w:rsid w:val="002F7BB1"/>
    <w:rsid w:val="002F7FF9"/>
    <w:rsid w:val="0030014A"/>
    <w:rsid w:val="00304D1F"/>
    <w:rsid w:val="0030750D"/>
    <w:rsid w:val="00307CF1"/>
    <w:rsid w:val="00310DC2"/>
    <w:rsid w:val="0031547F"/>
    <w:rsid w:val="00316236"/>
    <w:rsid w:val="003176AE"/>
    <w:rsid w:val="00323D83"/>
    <w:rsid w:val="0032621A"/>
    <w:rsid w:val="00332335"/>
    <w:rsid w:val="00332855"/>
    <w:rsid w:val="00334011"/>
    <w:rsid w:val="003353D7"/>
    <w:rsid w:val="00340C7C"/>
    <w:rsid w:val="003443B9"/>
    <w:rsid w:val="0034724F"/>
    <w:rsid w:val="003555F5"/>
    <w:rsid w:val="003559BE"/>
    <w:rsid w:val="00355CFB"/>
    <w:rsid w:val="00356089"/>
    <w:rsid w:val="0036247D"/>
    <w:rsid w:val="003635F6"/>
    <w:rsid w:val="00363D9B"/>
    <w:rsid w:val="00363E3A"/>
    <w:rsid w:val="00364984"/>
    <w:rsid w:val="003758D9"/>
    <w:rsid w:val="00375C7D"/>
    <w:rsid w:val="00376E5E"/>
    <w:rsid w:val="0038521A"/>
    <w:rsid w:val="0038601C"/>
    <w:rsid w:val="00395CE5"/>
    <w:rsid w:val="00397857"/>
    <w:rsid w:val="003A1172"/>
    <w:rsid w:val="003A46A7"/>
    <w:rsid w:val="003C1035"/>
    <w:rsid w:val="003C2EF1"/>
    <w:rsid w:val="003C7BFA"/>
    <w:rsid w:val="003D46C3"/>
    <w:rsid w:val="003E3E83"/>
    <w:rsid w:val="003F234F"/>
    <w:rsid w:val="003F2F68"/>
    <w:rsid w:val="00400EA1"/>
    <w:rsid w:val="0041245A"/>
    <w:rsid w:val="00412758"/>
    <w:rsid w:val="004163B4"/>
    <w:rsid w:val="00417545"/>
    <w:rsid w:val="0042481B"/>
    <w:rsid w:val="00433860"/>
    <w:rsid w:val="00437790"/>
    <w:rsid w:val="004408F8"/>
    <w:rsid w:val="00440A35"/>
    <w:rsid w:val="00440D2A"/>
    <w:rsid w:val="0044142D"/>
    <w:rsid w:val="00441EA2"/>
    <w:rsid w:val="00443834"/>
    <w:rsid w:val="0045138F"/>
    <w:rsid w:val="0045228E"/>
    <w:rsid w:val="004535F6"/>
    <w:rsid w:val="00471329"/>
    <w:rsid w:val="00473C32"/>
    <w:rsid w:val="0047660F"/>
    <w:rsid w:val="00480336"/>
    <w:rsid w:val="004813E6"/>
    <w:rsid w:val="0048656F"/>
    <w:rsid w:val="004867BB"/>
    <w:rsid w:val="00486CF7"/>
    <w:rsid w:val="0049000B"/>
    <w:rsid w:val="00495500"/>
    <w:rsid w:val="00497150"/>
    <w:rsid w:val="0049729A"/>
    <w:rsid w:val="00497B45"/>
    <w:rsid w:val="004A0DBB"/>
    <w:rsid w:val="004A6F0A"/>
    <w:rsid w:val="004B0674"/>
    <w:rsid w:val="004B21B9"/>
    <w:rsid w:val="004B23D9"/>
    <w:rsid w:val="004B45C0"/>
    <w:rsid w:val="004B4F12"/>
    <w:rsid w:val="004C6692"/>
    <w:rsid w:val="004C6C22"/>
    <w:rsid w:val="004C7A7E"/>
    <w:rsid w:val="004C7D60"/>
    <w:rsid w:val="004D4F46"/>
    <w:rsid w:val="004F0CDF"/>
    <w:rsid w:val="004F30BD"/>
    <w:rsid w:val="004F59B4"/>
    <w:rsid w:val="004F6997"/>
    <w:rsid w:val="00501199"/>
    <w:rsid w:val="00505278"/>
    <w:rsid w:val="005056CD"/>
    <w:rsid w:val="00516520"/>
    <w:rsid w:val="00525440"/>
    <w:rsid w:val="00525B8C"/>
    <w:rsid w:val="00534E9E"/>
    <w:rsid w:val="0053742F"/>
    <w:rsid w:val="0053761F"/>
    <w:rsid w:val="00545523"/>
    <w:rsid w:val="00545732"/>
    <w:rsid w:val="0055374E"/>
    <w:rsid w:val="0055631C"/>
    <w:rsid w:val="00571F0B"/>
    <w:rsid w:val="0057227E"/>
    <w:rsid w:val="0057409C"/>
    <w:rsid w:val="005750A5"/>
    <w:rsid w:val="005775CE"/>
    <w:rsid w:val="00584971"/>
    <w:rsid w:val="00592694"/>
    <w:rsid w:val="005A1D43"/>
    <w:rsid w:val="005A770E"/>
    <w:rsid w:val="005B4860"/>
    <w:rsid w:val="005B4EE1"/>
    <w:rsid w:val="005C274E"/>
    <w:rsid w:val="005C4B71"/>
    <w:rsid w:val="005C5295"/>
    <w:rsid w:val="005C68F1"/>
    <w:rsid w:val="005D0790"/>
    <w:rsid w:val="005D14B6"/>
    <w:rsid w:val="005D4811"/>
    <w:rsid w:val="005D734B"/>
    <w:rsid w:val="005F6DED"/>
    <w:rsid w:val="00607EC2"/>
    <w:rsid w:val="00610B90"/>
    <w:rsid w:val="00611E7D"/>
    <w:rsid w:val="00616992"/>
    <w:rsid w:val="006238B5"/>
    <w:rsid w:val="00627F58"/>
    <w:rsid w:val="00632BD3"/>
    <w:rsid w:val="00647B85"/>
    <w:rsid w:val="00651066"/>
    <w:rsid w:val="00651CA1"/>
    <w:rsid w:val="0065433C"/>
    <w:rsid w:val="00657D28"/>
    <w:rsid w:val="006659D0"/>
    <w:rsid w:val="006666CE"/>
    <w:rsid w:val="0068224A"/>
    <w:rsid w:val="00685888"/>
    <w:rsid w:val="00686D62"/>
    <w:rsid w:val="00690190"/>
    <w:rsid w:val="00691D7D"/>
    <w:rsid w:val="00694153"/>
    <w:rsid w:val="006978AC"/>
    <w:rsid w:val="006A37D1"/>
    <w:rsid w:val="006A4757"/>
    <w:rsid w:val="006A5EE1"/>
    <w:rsid w:val="006A6312"/>
    <w:rsid w:val="006C100C"/>
    <w:rsid w:val="006C7357"/>
    <w:rsid w:val="006D761B"/>
    <w:rsid w:val="006E5348"/>
    <w:rsid w:val="006E62E1"/>
    <w:rsid w:val="006E67F6"/>
    <w:rsid w:val="006E6BED"/>
    <w:rsid w:val="006F1DC6"/>
    <w:rsid w:val="006F3501"/>
    <w:rsid w:val="00701977"/>
    <w:rsid w:val="00710AE2"/>
    <w:rsid w:val="00714CAC"/>
    <w:rsid w:val="00720744"/>
    <w:rsid w:val="0072670F"/>
    <w:rsid w:val="00731F9A"/>
    <w:rsid w:val="00733B36"/>
    <w:rsid w:val="00734512"/>
    <w:rsid w:val="007404F1"/>
    <w:rsid w:val="007441BF"/>
    <w:rsid w:val="00744D3B"/>
    <w:rsid w:val="00745A8A"/>
    <w:rsid w:val="0074656C"/>
    <w:rsid w:val="00747230"/>
    <w:rsid w:val="00754DFE"/>
    <w:rsid w:val="0076323B"/>
    <w:rsid w:val="00763B1C"/>
    <w:rsid w:val="007662FC"/>
    <w:rsid w:val="00776AB0"/>
    <w:rsid w:val="007857A4"/>
    <w:rsid w:val="00785ADA"/>
    <w:rsid w:val="00786FF5"/>
    <w:rsid w:val="007907CC"/>
    <w:rsid w:val="007940EC"/>
    <w:rsid w:val="007A1A74"/>
    <w:rsid w:val="007A360D"/>
    <w:rsid w:val="007A4FBD"/>
    <w:rsid w:val="007B446D"/>
    <w:rsid w:val="007B6094"/>
    <w:rsid w:val="007B6773"/>
    <w:rsid w:val="007C1C1C"/>
    <w:rsid w:val="007C3C86"/>
    <w:rsid w:val="007C73B2"/>
    <w:rsid w:val="007C7738"/>
    <w:rsid w:val="007D0612"/>
    <w:rsid w:val="007D3C12"/>
    <w:rsid w:val="007E7CC5"/>
    <w:rsid w:val="007F3425"/>
    <w:rsid w:val="00802342"/>
    <w:rsid w:val="008031B4"/>
    <w:rsid w:val="0080669C"/>
    <w:rsid w:val="00806BB1"/>
    <w:rsid w:val="00806D28"/>
    <w:rsid w:val="008150A0"/>
    <w:rsid w:val="00816521"/>
    <w:rsid w:val="00821B7B"/>
    <w:rsid w:val="00821F4C"/>
    <w:rsid w:val="00821FA1"/>
    <w:rsid w:val="008225B6"/>
    <w:rsid w:val="00823A1A"/>
    <w:rsid w:val="008249DD"/>
    <w:rsid w:val="00841B3F"/>
    <w:rsid w:val="00841CC2"/>
    <w:rsid w:val="008428BF"/>
    <w:rsid w:val="00843E6D"/>
    <w:rsid w:val="0084748C"/>
    <w:rsid w:val="00847B12"/>
    <w:rsid w:val="008530DB"/>
    <w:rsid w:val="0085415E"/>
    <w:rsid w:val="008604BB"/>
    <w:rsid w:val="00860B2A"/>
    <w:rsid w:val="00861822"/>
    <w:rsid w:val="008657A0"/>
    <w:rsid w:val="00865FD2"/>
    <w:rsid w:val="00881351"/>
    <w:rsid w:val="00881655"/>
    <w:rsid w:val="00881B88"/>
    <w:rsid w:val="00881D96"/>
    <w:rsid w:val="00882EB4"/>
    <w:rsid w:val="00883127"/>
    <w:rsid w:val="00884258"/>
    <w:rsid w:val="00892F50"/>
    <w:rsid w:val="00895349"/>
    <w:rsid w:val="00895AD0"/>
    <w:rsid w:val="00895F12"/>
    <w:rsid w:val="008A2BDA"/>
    <w:rsid w:val="008A50E7"/>
    <w:rsid w:val="008B0CDE"/>
    <w:rsid w:val="008B3C9D"/>
    <w:rsid w:val="008B76B8"/>
    <w:rsid w:val="008B7A83"/>
    <w:rsid w:val="008B7E8D"/>
    <w:rsid w:val="008C12B0"/>
    <w:rsid w:val="008C1C8E"/>
    <w:rsid w:val="008C2D6C"/>
    <w:rsid w:val="008C7883"/>
    <w:rsid w:val="008D1DE0"/>
    <w:rsid w:val="008D2F0D"/>
    <w:rsid w:val="008D3CD9"/>
    <w:rsid w:val="008D7BEC"/>
    <w:rsid w:val="008E44A3"/>
    <w:rsid w:val="008E4A63"/>
    <w:rsid w:val="008E4D0B"/>
    <w:rsid w:val="008F7422"/>
    <w:rsid w:val="008F79BC"/>
    <w:rsid w:val="00900A61"/>
    <w:rsid w:val="009044B1"/>
    <w:rsid w:val="0090498E"/>
    <w:rsid w:val="00905C25"/>
    <w:rsid w:val="00907D98"/>
    <w:rsid w:val="00913A05"/>
    <w:rsid w:val="0091485E"/>
    <w:rsid w:val="00922DE5"/>
    <w:rsid w:val="009255C9"/>
    <w:rsid w:val="0092773E"/>
    <w:rsid w:val="00932DF9"/>
    <w:rsid w:val="00943AF6"/>
    <w:rsid w:val="009500E0"/>
    <w:rsid w:val="009540DA"/>
    <w:rsid w:val="00957BD2"/>
    <w:rsid w:val="00961E22"/>
    <w:rsid w:val="009620D7"/>
    <w:rsid w:val="0096344B"/>
    <w:rsid w:val="009643F7"/>
    <w:rsid w:val="009647B8"/>
    <w:rsid w:val="009709B1"/>
    <w:rsid w:val="00971385"/>
    <w:rsid w:val="0097346B"/>
    <w:rsid w:val="00973990"/>
    <w:rsid w:val="00974904"/>
    <w:rsid w:val="00976D85"/>
    <w:rsid w:val="009912AF"/>
    <w:rsid w:val="00991EE0"/>
    <w:rsid w:val="00994EE1"/>
    <w:rsid w:val="00995DF6"/>
    <w:rsid w:val="00997720"/>
    <w:rsid w:val="009A3C54"/>
    <w:rsid w:val="009A7D2A"/>
    <w:rsid w:val="009B1862"/>
    <w:rsid w:val="009B43C1"/>
    <w:rsid w:val="009B7D26"/>
    <w:rsid w:val="009C03FF"/>
    <w:rsid w:val="009C0A25"/>
    <w:rsid w:val="009C2F8E"/>
    <w:rsid w:val="009D04AE"/>
    <w:rsid w:val="009D10E5"/>
    <w:rsid w:val="009D7D7F"/>
    <w:rsid w:val="009E54D9"/>
    <w:rsid w:val="009E745E"/>
    <w:rsid w:val="009E7EF5"/>
    <w:rsid w:val="009F21CA"/>
    <w:rsid w:val="009F5244"/>
    <w:rsid w:val="009F7558"/>
    <w:rsid w:val="00A01B05"/>
    <w:rsid w:val="00A01CAE"/>
    <w:rsid w:val="00A04665"/>
    <w:rsid w:val="00A05CB6"/>
    <w:rsid w:val="00A1017F"/>
    <w:rsid w:val="00A10956"/>
    <w:rsid w:val="00A11370"/>
    <w:rsid w:val="00A11B54"/>
    <w:rsid w:val="00A160FE"/>
    <w:rsid w:val="00A17DB0"/>
    <w:rsid w:val="00A2038A"/>
    <w:rsid w:val="00A2708D"/>
    <w:rsid w:val="00A3636D"/>
    <w:rsid w:val="00A375AB"/>
    <w:rsid w:val="00A4290B"/>
    <w:rsid w:val="00A43502"/>
    <w:rsid w:val="00A457F8"/>
    <w:rsid w:val="00A45B0A"/>
    <w:rsid w:val="00A47875"/>
    <w:rsid w:val="00A510B3"/>
    <w:rsid w:val="00A51A61"/>
    <w:rsid w:val="00A523B7"/>
    <w:rsid w:val="00A53858"/>
    <w:rsid w:val="00A6155A"/>
    <w:rsid w:val="00A61BF2"/>
    <w:rsid w:val="00A70C6D"/>
    <w:rsid w:val="00A7335F"/>
    <w:rsid w:val="00A74701"/>
    <w:rsid w:val="00A75B52"/>
    <w:rsid w:val="00A775DA"/>
    <w:rsid w:val="00A8282B"/>
    <w:rsid w:val="00A86A6F"/>
    <w:rsid w:val="00A86DBC"/>
    <w:rsid w:val="00A91212"/>
    <w:rsid w:val="00A96270"/>
    <w:rsid w:val="00AA187A"/>
    <w:rsid w:val="00AA2245"/>
    <w:rsid w:val="00AA4DC4"/>
    <w:rsid w:val="00AA77A0"/>
    <w:rsid w:val="00AA7D3E"/>
    <w:rsid w:val="00AB4EF5"/>
    <w:rsid w:val="00AC7B92"/>
    <w:rsid w:val="00AD572D"/>
    <w:rsid w:val="00AD6677"/>
    <w:rsid w:val="00AD7C6B"/>
    <w:rsid w:val="00AE3F04"/>
    <w:rsid w:val="00AF1F60"/>
    <w:rsid w:val="00AF7392"/>
    <w:rsid w:val="00AF740A"/>
    <w:rsid w:val="00B02211"/>
    <w:rsid w:val="00B10B2C"/>
    <w:rsid w:val="00B12467"/>
    <w:rsid w:val="00B137C9"/>
    <w:rsid w:val="00B26F42"/>
    <w:rsid w:val="00B2768F"/>
    <w:rsid w:val="00B34D46"/>
    <w:rsid w:val="00B37312"/>
    <w:rsid w:val="00B3746C"/>
    <w:rsid w:val="00B37FA9"/>
    <w:rsid w:val="00B40441"/>
    <w:rsid w:val="00B414BB"/>
    <w:rsid w:val="00B44969"/>
    <w:rsid w:val="00B45187"/>
    <w:rsid w:val="00B62492"/>
    <w:rsid w:val="00B71BBE"/>
    <w:rsid w:val="00B76487"/>
    <w:rsid w:val="00B7758C"/>
    <w:rsid w:val="00B77D41"/>
    <w:rsid w:val="00B81639"/>
    <w:rsid w:val="00B817F3"/>
    <w:rsid w:val="00B91DE3"/>
    <w:rsid w:val="00BA4CB5"/>
    <w:rsid w:val="00BA601B"/>
    <w:rsid w:val="00BB0720"/>
    <w:rsid w:val="00BB34CA"/>
    <w:rsid w:val="00BB46A6"/>
    <w:rsid w:val="00BB5316"/>
    <w:rsid w:val="00BB69B5"/>
    <w:rsid w:val="00BC00A4"/>
    <w:rsid w:val="00BC02CA"/>
    <w:rsid w:val="00BC0ECC"/>
    <w:rsid w:val="00BC5732"/>
    <w:rsid w:val="00BD0E38"/>
    <w:rsid w:val="00BD1BCF"/>
    <w:rsid w:val="00BD3B9B"/>
    <w:rsid w:val="00BE3BCF"/>
    <w:rsid w:val="00BE4430"/>
    <w:rsid w:val="00BF1A72"/>
    <w:rsid w:val="00BF4E0D"/>
    <w:rsid w:val="00C023E3"/>
    <w:rsid w:val="00C1019B"/>
    <w:rsid w:val="00C10E0B"/>
    <w:rsid w:val="00C13A47"/>
    <w:rsid w:val="00C148C0"/>
    <w:rsid w:val="00C14AAC"/>
    <w:rsid w:val="00C16B1F"/>
    <w:rsid w:val="00C2472F"/>
    <w:rsid w:val="00C30B71"/>
    <w:rsid w:val="00C32F84"/>
    <w:rsid w:val="00C33FCA"/>
    <w:rsid w:val="00C35125"/>
    <w:rsid w:val="00C361A3"/>
    <w:rsid w:val="00C36470"/>
    <w:rsid w:val="00C37DEA"/>
    <w:rsid w:val="00C447D6"/>
    <w:rsid w:val="00C47DEE"/>
    <w:rsid w:val="00C50CD7"/>
    <w:rsid w:val="00C512E2"/>
    <w:rsid w:val="00C53377"/>
    <w:rsid w:val="00C5338E"/>
    <w:rsid w:val="00C53BE2"/>
    <w:rsid w:val="00C71225"/>
    <w:rsid w:val="00C75610"/>
    <w:rsid w:val="00C76337"/>
    <w:rsid w:val="00C76D7B"/>
    <w:rsid w:val="00C849C5"/>
    <w:rsid w:val="00C87288"/>
    <w:rsid w:val="00C873AB"/>
    <w:rsid w:val="00C87AFE"/>
    <w:rsid w:val="00C928FD"/>
    <w:rsid w:val="00C94DD6"/>
    <w:rsid w:val="00CA1C53"/>
    <w:rsid w:val="00CA3719"/>
    <w:rsid w:val="00CA50C8"/>
    <w:rsid w:val="00CA5A49"/>
    <w:rsid w:val="00CB0071"/>
    <w:rsid w:val="00CB10D2"/>
    <w:rsid w:val="00CB2C41"/>
    <w:rsid w:val="00CB3865"/>
    <w:rsid w:val="00CB5B61"/>
    <w:rsid w:val="00CB60C9"/>
    <w:rsid w:val="00CB63E3"/>
    <w:rsid w:val="00CC2980"/>
    <w:rsid w:val="00CD6053"/>
    <w:rsid w:val="00CD6056"/>
    <w:rsid w:val="00CE20F3"/>
    <w:rsid w:val="00CF2E15"/>
    <w:rsid w:val="00CF683E"/>
    <w:rsid w:val="00D02B14"/>
    <w:rsid w:val="00D03A49"/>
    <w:rsid w:val="00D04CDF"/>
    <w:rsid w:val="00D056B2"/>
    <w:rsid w:val="00D071D0"/>
    <w:rsid w:val="00D14B99"/>
    <w:rsid w:val="00D15DE3"/>
    <w:rsid w:val="00D16D11"/>
    <w:rsid w:val="00D17ED8"/>
    <w:rsid w:val="00D204B9"/>
    <w:rsid w:val="00D21F8E"/>
    <w:rsid w:val="00D2644E"/>
    <w:rsid w:val="00D30F04"/>
    <w:rsid w:val="00D314C2"/>
    <w:rsid w:val="00D32A2F"/>
    <w:rsid w:val="00D33894"/>
    <w:rsid w:val="00D33DD2"/>
    <w:rsid w:val="00D40C33"/>
    <w:rsid w:val="00D42762"/>
    <w:rsid w:val="00D565D2"/>
    <w:rsid w:val="00D647C4"/>
    <w:rsid w:val="00D70490"/>
    <w:rsid w:val="00D71BFB"/>
    <w:rsid w:val="00D73A19"/>
    <w:rsid w:val="00D75C97"/>
    <w:rsid w:val="00D77B1F"/>
    <w:rsid w:val="00D8220D"/>
    <w:rsid w:val="00D83D08"/>
    <w:rsid w:val="00D84054"/>
    <w:rsid w:val="00D86DF0"/>
    <w:rsid w:val="00D87F99"/>
    <w:rsid w:val="00DA5E95"/>
    <w:rsid w:val="00DB14F9"/>
    <w:rsid w:val="00DB4FED"/>
    <w:rsid w:val="00DB7E9B"/>
    <w:rsid w:val="00DC06F4"/>
    <w:rsid w:val="00DC10B3"/>
    <w:rsid w:val="00DC237C"/>
    <w:rsid w:val="00DC32E9"/>
    <w:rsid w:val="00DC4B7E"/>
    <w:rsid w:val="00DC53A8"/>
    <w:rsid w:val="00DD256F"/>
    <w:rsid w:val="00DD2BC6"/>
    <w:rsid w:val="00DD2E67"/>
    <w:rsid w:val="00DD56FD"/>
    <w:rsid w:val="00DE0A98"/>
    <w:rsid w:val="00DE2653"/>
    <w:rsid w:val="00DE4DC6"/>
    <w:rsid w:val="00DE6417"/>
    <w:rsid w:val="00DF339C"/>
    <w:rsid w:val="00DF6614"/>
    <w:rsid w:val="00E03232"/>
    <w:rsid w:val="00E03F69"/>
    <w:rsid w:val="00E04DD7"/>
    <w:rsid w:val="00E07D40"/>
    <w:rsid w:val="00E11FA9"/>
    <w:rsid w:val="00E137E5"/>
    <w:rsid w:val="00E138E1"/>
    <w:rsid w:val="00E13EA9"/>
    <w:rsid w:val="00E14FE6"/>
    <w:rsid w:val="00E173E7"/>
    <w:rsid w:val="00E240FC"/>
    <w:rsid w:val="00E26C7D"/>
    <w:rsid w:val="00E2705B"/>
    <w:rsid w:val="00E3217D"/>
    <w:rsid w:val="00E3477F"/>
    <w:rsid w:val="00E34B14"/>
    <w:rsid w:val="00E42EAD"/>
    <w:rsid w:val="00E43706"/>
    <w:rsid w:val="00E44086"/>
    <w:rsid w:val="00E44BA8"/>
    <w:rsid w:val="00E51684"/>
    <w:rsid w:val="00E54497"/>
    <w:rsid w:val="00E563C9"/>
    <w:rsid w:val="00E56E79"/>
    <w:rsid w:val="00E602EC"/>
    <w:rsid w:val="00E6072A"/>
    <w:rsid w:val="00E62595"/>
    <w:rsid w:val="00E64111"/>
    <w:rsid w:val="00E7007A"/>
    <w:rsid w:val="00E73C7C"/>
    <w:rsid w:val="00E745D5"/>
    <w:rsid w:val="00E76777"/>
    <w:rsid w:val="00E76F22"/>
    <w:rsid w:val="00E81A4D"/>
    <w:rsid w:val="00E81F94"/>
    <w:rsid w:val="00E84085"/>
    <w:rsid w:val="00E8746A"/>
    <w:rsid w:val="00E90AC7"/>
    <w:rsid w:val="00E92A7C"/>
    <w:rsid w:val="00EA4C24"/>
    <w:rsid w:val="00EA7306"/>
    <w:rsid w:val="00EB0B07"/>
    <w:rsid w:val="00EB10BD"/>
    <w:rsid w:val="00EB3844"/>
    <w:rsid w:val="00EC3359"/>
    <w:rsid w:val="00ED0325"/>
    <w:rsid w:val="00ED2858"/>
    <w:rsid w:val="00ED5419"/>
    <w:rsid w:val="00ED54EF"/>
    <w:rsid w:val="00EE3EAC"/>
    <w:rsid w:val="00EE6455"/>
    <w:rsid w:val="00EE70FC"/>
    <w:rsid w:val="00EF0FDF"/>
    <w:rsid w:val="00EF3C0F"/>
    <w:rsid w:val="00EF5545"/>
    <w:rsid w:val="00F01225"/>
    <w:rsid w:val="00F032B0"/>
    <w:rsid w:val="00F0574B"/>
    <w:rsid w:val="00F1220B"/>
    <w:rsid w:val="00F12341"/>
    <w:rsid w:val="00F12AE9"/>
    <w:rsid w:val="00F1395F"/>
    <w:rsid w:val="00F2122C"/>
    <w:rsid w:val="00F267E7"/>
    <w:rsid w:val="00F351B7"/>
    <w:rsid w:val="00F40133"/>
    <w:rsid w:val="00F42185"/>
    <w:rsid w:val="00F4743F"/>
    <w:rsid w:val="00F5091C"/>
    <w:rsid w:val="00F5188A"/>
    <w:rsid w:val="00F57936"/>
    <w:rsid w:val="00F62EB6"/>
    <w:rsid w:val="00F646AC"/>
    <w:rsid w:val="00F6639A"/>
    <w:rsid w:val="00F67C15"/>
    <w:rsid w:val="00F70165"/>
    <w:rsid w:val="00F71EA4"/>
    <w:rsid w:val="00F73188"/>
    <w:rsid w:val="00F81912"/>
    <w:rsid w:val="00F83FAA"/>
    <w:rsid w:val="00F86587"/>
    <w:rsid w:val="00FA2478"/>
    <w:rsid w:val="00FA45A5"/>
    <w:rsid w:val="00FA4665"/>
    <w:rsid w:val="00FA7D51"/>
    <w:rsid w:val="00FB311C"/>
    <w:rsid w:val="00FC1F4A"/>
    <w:rsid w:val="00FC557C"/>
    <w:rsid w:val="00FC5841"/>
    <w:rsid w:val="00FC7642"/>
    <w:rsid w:val="00FC7FE4"/>
    <w:rsid w:val="00FD58F2"/>
    <w:rsid w:val="00FD69BD"/>
    <w:rsid w:val="00FD749E"/>
    <w:rsid w:val="00FE754A"/>
    <w:rsid w:val="00FF0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93B84EC"/>
  <w15:docId w15:val="{3612A2D3-C85D-4664-8490-CCD3767D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3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5"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39" w:unhideWhenUsed="1"/>
    <w:lsdException w:name="Plain Text" w:semiHidden="1" w:uiPriority="3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BD3"/>
    <w:pPr>
      <w:spacing w:before="120" w:after="120" w:line="276" w:lineRule="auto"/>
    </w:pPr>
    <w:rPr>
      <w:rFonts w:ascii="Arial" w:hAnsi="Arial"/>
      <w:sz w:val="19"/>
    </w:rPr>
  </w:style>
  <w:style w:type="paragraph" w:styleId="Heading1">
    <w:name w:val="heading 1"/>
    <w:basedOn w:val="Normal"/>
    <w:next w:val="BodyText"/>
    <w:link w:val="Heading1Char"/>
    <w:qFormat/>
    <w:rsid w:val="00397857"/>
    <w:pPr>
      <w:keepNext/>
      <w:keepLines/>
      <w:pageBreakBefore/>
      <w:numPr>
        <w:numId w:val="7"/>
      </w:numPr>
      <w:spacing w:after="960"/>
      <w:ind w:left="0" w:firstLine="0"/>
      <w:outlineLvl w:val="0"/>
    </w:pPr>
    <w:rPr>
      <w:rFonts w:eastAsia="Times New Roman" w:cs="Times New Roman"/>
      <w:color w:val="004F9E"/>
      <w:kern w:val="32"/>
      <w:sz w:val="60"/>
      <w:szCs w:val="48"/>
      <w:lang w:eastAsia="fr-CA"/>
    </w:rPr>
  </w:style>
  <w:style w:type="paragraph" w:styleId="Heading2">
    <w:name w:val="heading 2"/>
    <w:basedOn w:val="Normal"/>
    <w:next w:val="BodyText"/>
    <w:link w:val="Heading2Char"/>
    <w:qFormat/>
    <w:rsid w:val="00E03232"/>
    <w:pPr>
      <w:keepNext/>
      <w:keepLines/>
      <w:numPr>
        <w:ilvl w:val="1"/>
        <w:numId w:val="7"/>
      </w:numPr>
      <w:pBdr>
        <w:between w:val="single" w:sz="4" w:space="9" w:color="D7D8D6" w:themeColor="accent1"/>
      </w:pBdr>
      <w:spacing w:before="240"/>
      <w:outlineLvl w:val="1"/>
    </w:pPr>
    <w:rPr>
      <w:rFonts w:eastAsia="Times New Roman" w:cs="Times New Roman"/>
      <w:color w:val="004F9E"/>
      <w:sz w:val="32"/>
      <w:szCs w:val="24"/>
      <w:lang w:eastAsia="fr-CA"/>
    </w:rPr>
  </w:style>
  <w:style w:type="paragraph" w:styleId="Heading3">
    <w:name w:val="heading 3"/>
    <w:basedOn w:val="Normal"/>
    <w:next w:val="BodyText"/>
    <w:link w:val="Heading3Char"/>
    <w:qFormat/>
    <w:rsid w:val="00E03232"/>
    <w:pPr>
      <w:keepNext/>
      <w:keepLines/>
      <w:numPr>
        <w:ilvl w:val="2"/>
        <w:numId w:val="7"/>
      </w:numPr>
      <w:spacing w:before="240"/>
      <w:outlineLvl w:val="2"/>
    </w:pPr>
    <w:rPr>
      <w:rFonts w:eastAsiaTheme="majorEastAsia" w:cs="Arial"/>
      <w:bCs/>
      <w:color w:val="004F9E"/>
      <w:sz w:val="24"/>
      <w:szCs w:val="24"/>
      <w:lang w:eastAsia="fr-CA"/>
    </w:rPr>
  </w:style>
  <w:style w:type="paragraph" w:styleId="Heading4">
    <w:name w:val="heading 4"/>
    <w:basedOn w:val="Normal"/>
    <w:next w:val="BodyText"/>
    <w:link w:val="Heading4Char"/>
    <w:qFormat/>
    <w:rsid w:val="00E03232"/>
    <w:pPr>
      <w:keepNext/>
      <w:keepLines/>
      <w:spacing w:before="200" w:after="60"/>
      <w:outlineLvl w:val="3"/>
    </w:pPr>
    <w:rPr>
      <w:rFonts w:ascii="Arial Bold" w:eastAsiaTheme="minorEastAsia" w:hAnsi="Arial Bold" w:cs="Arial"/>
      <w:b/>
      <w:bCs/>
      <w:color w:val="004F9E"/>
      <w:szCs w:val="20"/>
      <w:lang w:eastAsia="fr-CA"/>
    </w:rPr>
  </w:style>
  <w:style w:type="paragraph" w:styleId="Heading5">
    <w:name w:val="heading 5"/>
    <w:basedOn w:val="Normal"/>
    <w:next w:val="BodyText"/>
    <w:link w:val="Heading5Char"/>
    <w:qFormat/>
    <w:rsid w:val="00E03232"/>
    <w:pPr>
      <w:keepNext/>
      <w:keepLines/>
      <w:spacing w:before="200" w:after="60"/>
      <w:ind w:right="896"/>
      <w:outlineLvl w:val="4"/>
    </w:pPr>
    <w:rPr>
      <w:rFonts w:eastAsia="Times New Roman" w:cs="Times New Roman"/>
      <w:i/>
      <w:color w:val="004F9E"/>
      <w:szCs w:val="24"/>
      <w:lang w:eastAsia="fr-CA"/>
    </w:rPr>
  </w:style>
  <w:style w:type="paragraph" w:styleId="Heading6">
    <w:name w:val="heading 6"/>
    <w:basedOn w:val="Normal"/>
    <w:next w:val="Normal"/>
    <w:link w:val="Heading6Char"/>
    <w:qFormat/>
    <w:rsid w:val="009E745E"/>
    <w:pPr>
      <w:keepNext/>
      <w:keepLines/>
      <w:spacing w:before="40" w:after="0"/>
      <w:outlineLvl w:val="5"/>
    </w:pPr>
    <w:rPr>
      <w:rFonts w:asciiTheme="majorHAnsi" w:eastAsiaTheme="majorEastAsia" w:hAnsiTheme="majorHAnsi" w:cstheme="majorBidi"/>
      <w:color w:val="6A6D68" w:themeColor="accent1" w:themeShade="7F"/>
    </w:rPr>
  </w:style>
  <w:style w:type="paragraph" w:styleId="Heading7">
    <w:name w:val="heading 7"/>
    <w:basedOn w:val="Normal"/>
    <w:next w:val="Normal"/>
    <w:link w:val="Heading7Char"/>
    <w:unhideWhenUsed/>
    <w:qFormat/>
    <w:rsid w:val="0072670F"/>
    <w:pPr>
      <w:keepNext/>
      <w:keepLines/>
      <w:spacing w:before="40" w:after="0"/>
      <w:outlineLvl w:val="6"/>
    </w:pPr>
    <w:rPr>
      <w:rFonts w:asciiTheme="majorHAnsi" w:eastAsiaTheme="majorEastAsia" w:hAnsiTheme="majorHAnsi" w:cstheme="majorBidi"/>
      <w:i/>
      <w:iCs/>
      <w:color w:val="6A6D68" w:themeColor="accent1" w:themeShade="7F"/>
    </w:rPr>
  </w:style>
  <w:style w:type="paragraph" w:styleId="Heading8">
    <w:name w:val="heading 8"/>
    <w:aliases w:val="Appendix Title"/>
    <w:basedOn w:val="Normal"/>
    <w:next w:val="Normal"/>
    <w:link w:val="Heading8Char"/>
    <w:unhideWhenUsed/>
    <w:qFormat/>
    <w:rsid w:val="007267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Appendix Heading 1"/>
    <w:basedOn w:val="Normal"/>
    <w:next w:val="Normal"/>
    <w:link w:val="Heading9Char"/>
    <w:unhideWhenUsed/>
    <w:qFormat/>
    <w:rsid w:val="007267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3F72"/>
    <w:pPr>
      <w:spacing w:line="860" w:lineRule="exact"/>
      <w:ind w:left="437" w:right="-188"/>
      <w:jc w:val="right"/>
    </w:pPr>
    <w:rPr>
      <w:rFonts w:asciiTheme="majorHAnsi" w:eastAsiaTheme="majorEastAsia" w:hAnsiTheme="majorHAnsi" w:cstheme="majorBidi"/>
      <w:b/>
      <w:color w:val="FFFFFF" w:themeColor="background1"/>
      <w:kern w:val="28"/>
      <w:sz w:val="80"/>
      <w:szCs w:val="80"/>
    </w:rPr>
  </w:style>
  <w:style w:type="character" w:customStyle="1" w:styleId="TitleChar">
    <w:name w:val="Title Char"/>
    <w:basedOn w:val="DefaultParagraphFont"/>
    <w:link w:val="Title"/>
    <w:uiPriority w:val="10"/>
    <w:rsid w:val="00253F72"/>
    <w:rPr>
      <w:rFonts w:asciiTheme="majorHAnsi" w:eastAsiaTheme="majorEastAsia" w:hAnsiTheme="majorHAnsi" w:cstheme="majorBidi"/>
      <w:b/>
      <w:color w:val="FFFFFF" w:themeColor="background1"/>
      <w:kern w:val="28"/>
      <w:sz w:val="80"/>
      <w:szCs w:val="80"/>
    </w:rPr>
  </w:style>
  <w:style w:type="paragraph" w:styleId="Subtitle">
    <w:name w:val="Subtitle"/>
    <w:basedOn w:val="Title"/>
    <w:next w:val="Normal"/>
    <w:link w:val="SubtitleChar"/>
    <w:uiPriority w:val="11"/>
    <w:qFormat/>
    <w:rsid w:val="00CA3719"/>
    <w:pPr>
      <w:spacing w:line="240" w:lineRule="auto"/>
      <w:ind w:left="516"/>
    </w:pPr>
    <w:rPr>
      <w:b w:val="0"/>
      <w:caps/>
      <w:sz w:val="30"/>
      <w:szCs w:val="30"/>
    </w:rPr>
  </w:style>
  <w:style w:type="character" w:customStyle="1" w:styleId="SubtitleChar">
    <w:name w:val="Subtitle Char"/>
    <w:basedOn w:val="DefaultParagraphFont"/>
    <w:link w:val="Subtitle"/>
    <w:uiPriority w:val="11"/>
    <w:rsid w:val="00CA3719"/>
    <w:rPr>
      <w:rFonts w:asciiTheme="majorHAnsi" w:eastAsiaTheme="majorEastAsia" w:hAnsiTheme="majorHAnsi" w:cstheme="majorBidi"/>
      <w:caps/>
      <w:color w:val="FFFFFF" w:themeColor="background1"/>
      <w:kern w:val="28"/>
      <w:sz w:val="30"/>
      <w:szCs w:val="30"/>
    </w:rPr>
  </w:style>
  <w:style w:type="character" w:customStyle="1" w:styleId="Heading1Char">
    <w:name w:val="Heading 1 Char"/>
    <w:basedOn w:val="DefaultParagraphFont"/>
    <w:link w:val="Heading1"/>
    <w:rsid w:val="00397857"/>
    <w:rPr>
      <w:rFonts w:ascii="Arial" w:eastAsia="Times New Roman" w:hAnsi="Arial" w:cs="Times New Roman"/>
      <w:color w:val="004F9E"/>
      <w:kern w:val="32"/>
      <w:sz w:val="60"/>
      <w:szCs w:val="48"/>
      <w:lang w:eastAsia="fr-CA"/>
    </w:rPr>
  </w:style>
  <w:style w:type="character" w:customStyle="1" w:styleId="Heading2Char">
    <w:name w:val="Heading 2 Char"/>
    <w:basedOn w:val="DefaultParagraphFont"/>
    <w:link w:val="Heading2"/>
    <w:rsid w:val="00E03232"/>
    <w:rPr>
      <w:rFonts w:ascii="Arial" w:eastAsia="Times New Roman" w:hAnsi="Arial" w:cs="Times New Roman"/>
      <w:color w:val="004F9E"/>
      <w:sz w:val="32"/>
      <w:szCs w:val="24"/>
      <w:lang w:eastAsia="fr-CA"/>
    </w:rPr>
  </w:style>
  <w:style w:type="character" w:customStyle="1" w:styleId="Heading3Char">
    <w:name w:val="Heading 3 Char"/>
    <w:link w:val="Heading3"/>
    <w:rsid w:val="00E03232"/>
    <w:rPr>
      <w:rFonts w:ascii="Arial" w:eastAsiaTheme="majorEastAsia" w:hAnsi="Arial" w:cs="Arial"/>
      <w:bCs/>
      <w:color w:val="004F9E"/>
      <w:sz w:val="24"/>
      <w:szCs w:val="24"/>
      <w:lang w:eastAsia="fr-CA"/>
    </w:rPr>
  </w:style>
  <w:style w:type="character" w:customStyle="1" w:styleId="Heading4Char">
    <w:name w:val="Heading 4 Char"/>
    <w:basedOn w:val="DefaultParagraphFont"/>
    <w:link w:val="Heading4"/>
    <w:rsid w:val="00E03232"/>
    <w:rPr>
      <w:rFonts w:ascii="Arial Bold" w:eastAsiaTheme="minorEastAsia" w:hAnsi="Arial Bold" w:cs="Arial"/>
      <w:b/>
      <w:bCs/>
      <w:color w:val="004F9E"/>
      <w:sz w:val="19"/>
      <w:szCs w:val="20"/>
      <w:lang w:eastAsia="fr-CA"/>
    </w:rPr>
  </w:style>
  <w:style w:type="character" w:customStyle="1" w:styleId="Heading5Char">
    <w:name w:val="Heading 5 Char"/>
    <w:basedOn w:val="DefaultParagraphFont"/>
    <w:link w:val="Heading5"/>
    <w:rsid w:val="00E03232"/>
    <w:rPr>
      <w:rFonts w:ascii="Arial" w:eastAsia="Times New Roman" w:hAnsi="Arial" w:cs="Times New Roman"/>
      <w:i/>
      <w:color w:val="004F9E"/>
      <w:sz w:val="19"/>
      <w:szCs w:val="24"/>
      <w:lang w:eastAsia="fr-CA"/>
    </w:rPr>
  </w:style>
  <w:style w:type="paragraph" w:styleId="ListParagraph">
    <w:name w:val="List Paragraph"/>
    <w:basedOn w:val="Normal"/>
    <w:uiPriority w:val="34"/>
    <w:qFormat/>
    <w:rsid w:val="00DE0A98"/>
    <w:pPr>
      <w:ind w:left="720"/>
      <w:contextualSpacing/>
    </w:pPr>
  </w:style>
  <w:style w:type="paragraph" w:styleId="ListBullet">
    <w:name w:val="List Bullet"/>
    <w:aliases w:val="lb"/>
    <w:basedOn w:val="Normal"/>
    <w:uiPriority w:val="5"/>
    <w:qFormat/>
    <w:rsid w:val="00E03232"/>
    <w:pPr>
      <w:numPr>
        <w:numId w:val="6"/>
      </w:numPr>
    </w:pPr>
  </w:style>
  <w:style w:type="paragraph" w:styleId="ListBullet2">
    <w:name w:val="List Bullet 2"/>
    <w:aliases w:val="lb2"/>
    <w:basedOn w:val="Normal"/>
    <w:uiPriority w:val="6"/>
    <w:qFormat/>
    <w:rsid w:val="00E03232"/>
    <w:pPr>
      <w:numPr>
        <w:ilvl w:val="1"/>
        <w:numId w:val="6"/>
      </w:numPr>
      <w:ind w:left="568" w:hanging="284"/>
    </w:pPr>
  </w:style>
  <w:style w:type="paragraph" w:styleId="ListBullet3">
    <w:name w:val="List Bullet 3"/>
    <w:aliases w:val="lb3"/>
    <w:basedOn w:val="Normal"/>
    <w:uiPriority w:val="6"/>
    <w:qFormat/>
    <w:rsid w:val="00E03232"/>
    <w:pPr>
      <w:numPr>
        <w:ilvl w:val="2"/>
        <w:numId w:val="6"/>
      </w:numPr>
    </w:pPr>
  </w:style>
  <w:style w:type="paragraph" w:styleId="ListBullet4">
    <w:name w:val="List Bullet 4"/>
    <w:basedOn w:val="Normal"/>
    <w:rsid w:val="00D14B99"/>
    <w:pPr>
      <w:numPr>
        <w:ilvl w:val="3"/>
        <w:numId w:val="6"/>
      </w:numPr>
      <w:tabs>
        <w:tab w:val="num" w:pos="360"/>
      </w:tabs>
      <w:spacing w:after="160"/>
      <w:ind w:left="0" w:firstLine="0"/>
      <w:contextualSpacing/>
    </w:pPr>
  </w:style>
  <w:style w:type="paragraph" w:styleId="ListBullet5">
    <w:name w:val="List Bullet 5"/>
    <w:basedOn w:val="Normal"/>
    <w:rsid w:val="00D14B99"/>
    <w:pPr>
      <w:numPr>
        <w:ilvl w:val="4"/>
        <w:numId w:val="6"/>
      </w:numPr>
      <w:tabs>
        <w:tab w:val="num" w:pos="360"/>
      </w:tabs>
      <w:spacing w:after="160"/>
      <w:ind w:left="0" w:firstLine="0"/>
      <w:contextualSpacing/>
    </w:pPr>
  </w:style>
  <w:style w:type="paragraph" w:styleId="ListContinue">
    <w:name w:val="List Continue"/>
    <w:basedOn w:val="Normal"/>
    <w:qFormat/>
    <w:rsid w:val="00DE0A98"/>
    <w:pPr>
      <w:ind w:left="283"/>
      <w:contextualSpacing/>
    </w:pPr>
  </w:style>
  <w:style w:type="paragraph" w:styleId="ListContinue2">
    <w:name w:val="List Continue 2"/>
    <w:basedOn w:val="Normal"/>
    <w:rsid w:val="00DE0A98"/>
    <w:pPr>
      <w:ind w:left="566"/>
      <w:contextualSpacing/>
    </w:pPr>
  </w:style>
  <w:style w:type="paragraph" w:styleId="ListNumber">
    <w:name w:val="List Number"/>
    <w:basedOn w:val="Normal"/>
    <w:uiPriority w:val="7"/>
    <w:qFormat/>
    <w:rsid w:val="00E03232"/>
    <w:pPr>
      <w:numPr>
        <w:numId w:val="5"/>
      </w:numPr>
      <w:tabs>
        <w:tab w:val="clear" w:pos="360"/>
        <w:tab w:val="num" w:pos="284"/>
      </w:tabs>
    </w:pPr>
    <w:rPr>
      <w:lang w:eastAsia="fr-CA"/>
    </w:rPr>
  </w:style>
  <w:style w:type="paragraph" w:styleId="ListNumber2">
    <w:name w:val="List Number 2"/>
    <w:basedOn w:val="Normal"/>
    <w:uiPriority w:val="2"/>
    <w:qFormat/>
    <w:rsid w:val="00E03232"/>
    <w:pPr>
      <w:numPr>
        <w:ilvl w:val="1"/>
        <w:numId w:val="5"/>
      </w:numPr>
      <w:ind w:left="568" w:hanging="284"/>
    </w:pPr>
  </w:style>
  <w:style w:type="paragraph" w:styleId="ListNumber3">
    <w:name w:val="List Number 3"/>
    <w:basedOn w:val="Normal"/>
    <w:uiPriority w:val="2"/>
    <w:rsid w:val="00E03232"/>
    <w:pPr>
      <w:numPr>
        <w:ilvl w:val="2"/>
        <w:numId w:val="5"/>
      </w:numPr>
    </w:pPr>
  </w:style>
  <w:style w:type="character" w:styleId="IntenseEmphasis">
    <w:name w:val="Intense Emphasis"/>
    <w:basedOn w:val="DefaultParagraphFont"/>
    <w:uiPriority w:val="21"/>
    <w:qFormat/>
    <w:rsid w:val="003C2EF1"/>
    <w:rPr>
      <w:i/>
      <w:iCs/>
      <w:color w:val="auto"/>
    </w:rPr>
  </w:style>
  <w:style w:type="character" w:styleId="Strong">
    <w:name w:val="Strong"/>
    <w:basedOn w:val="DefaultParagraphFont"/>
    <w:uiPriority w:val="22"/>
    <w:qFormat/>
    <w:rsid w:val="003C2EF1"/>
    <w:rPr>
      <w:b/>
      <w:bCs/>
    </w:rPr>
  </w:style>
  <w:style w:type="paragraph" w:styleId="IntenseQuote">
    <w:name w:val="Intense Quote"/>
    <w:basedOn w:val="Normal"/>
    <w:next w:val="Normal"/>
    <w:link w:val="IntenseQuoteChar"/>
    <w:uiPriority w:val="30"/>
    <w:qFormat/>
    <w:rsid w:val="005C4B71"/>
    <w:pPr>
      <w:pBdr>
        <w:top w:val="single" w:sz="4" w:space="10" w:color="D7D8D6" w:themeColor="accent1"/>
        <w:bottom w:val="single" w:sz="4" w:space="10" w:color="D7D8D6" w:themeColor="accent1"/>
      </w:pBdr>
      <w:spacing w:before="360" w:after="360"/>
      <w:ind w:right="864"/>
    </w:pPr>
    <w:rPr>
      <w:i/>
      <w:iCs/>
      <w:color w:val="D7D8D6" w:themeColor="accent1"/>
    </w:rPr>
  </w:style>
  <w:style w:type="character" w:customStyle="1" w:styleId="IntenseQuoteChar">
    <w:name w:val="Intense Quote Char"/>
    <w:basedOn w:val="DefaultParagraphFont"/>
    <w:link w:val="IntenseQuote"/>
    <w:uiPriority w:val="30"/>
    <w:rsid w:val="00443834"/>
    <w:rPr>
      <w:i/>
      <w:iCs/>
      <w:color w:val="D7D8D6" w:themeColor="accent1"/>
      <w:sz w:val="19"/>
    </w:rPr>
  </w:style>
  <w:style w:type="paragraph" w:styleId="NoSpacing">
    <w:name w:val="No Spacing"/>
    <w:uiPriority w:val="1"/>
    <w:qFormat/>
    <w:rsid w:val="005C4B71"/>
    <w:pPr>
      <w:spacing w:after="0" w:line="240" w:lineRule="auto"/>
    </w:pPr>
    <w:rPr>
      <w:sz w:val="19"/>
    </w:rPr>
  </w:style>
  <w:style w:type="paragraph" w:styleId="BodyText">
    <w:name w:val="Body Text"/>
    <w:basedOn w:val="Normal"/>
    <w:next w:val="Normal"/>
    <w:link w:val="BodyTextChar"/>
    <w:qFormat/>
    <w:rsid w:val="00E137E5"/>
  </w:style>
  <w:style w:type="character" w:customStyle="1" w:styleId="BodyTextChar">
    <w:name w:val="Body Text Char"/>
    <w:basedOn w:val="DefaultParagraphFont"/>
    <w:link w:val="BodyText"/>
    <w:rsid w:val="00E137E5"/>
    <w:rPr>
      <w:rFonts w:ascii="Arial" w:hAnsi="Arial"/>
      <w:sz w:val="19"/>
    </w:rPr>
  </w:style>
  <w:style w:type="paragraph" w:styleId="BodyTextFirstIndent">
    <w:name w:val="Body Text First Indent"/>
    <w:basedOn w:val="BodyText"/>
    <w:link w:val="BodyTextFirstIndentChar"/>
    <w:rsid w:val="00734512"/>
    <w:pPr>
      <w:ind w:firstLine="360"/>
    </w:pPr>
  </w:style>
  <w:style w:type="character" w:customStyle="1" w:styleId="BodyTextFirstIndentChar">
    <w:name w:val="Body Text First Indent Char"/>
    <w:basedOn w:val="BodyTextChar"/>
    <w:link w:val="BodyTextFirstIndent"/>
    <w:rsid w:val="00443834"/>
    <w:rPr>
      <w:rFonts w:ascii="Arial" w:hAnsi="Arial"/>
      <w:sz w:val="19"/>
    </w:rPr>
  </w:style>
  <w:style w:type="paragraph" w:styleId="BodyText2">
    <w:name w:val="Body Text 2"/>
    <w:basedOn w:val="Normal"/>
    <w:link w:val="BodyText2Char"/>
    <w:semiHidden/>
    <w:qFormat/>
    <w:rsid w:val="00734512"/>
    <w:pPr>
      <w:spacing w:line="480" w:lineRule="auto"/>
    </w:pPr>
  </w:style>
  <w:style w:type="character" w:customStyle="1" w:styleId="BodyText2Char">
    <w:name w:val="Body Text 2 Char"/>
    <w:basedOn w:val="DefaultParagraphFont"/>
    <w:link w:val="BodyText2"/>
    <w:semiHidden/>
    <w:rsid w:val="00443834"/>
    <w:rPr>
      <w:sz w:val="19"/>
    </w:rPr>
  </w:style>
  <w:style w:type="paragraph" w:styleId="BodyText3">
    <w:name w:val="Body Text 3"/>
    <w:basedOn w:val="Normal"/>
    <w:link w:val="BodyText3Char"/>
    <w:semiHidden/>
    <w:rsid w:val="00734512"/>
    <w:rPr>
      <w:sz w:val="16"/>
      <w:szCs w:val="16"/>
    </w:rPr>
  </w:style>
  <w:style w:type="character" w:customStyle="1" w:styleId="BodyText3Char">
    <w:name w:val="Body Text 3 Char"/>
    <w:basedOn w:val="DefaultParagraphFont"/>
    <w:link w:val="BodyText3"/>
    <w:semiHidden/>
    <w:rsid w:val="00443834"/>
    <w:rPr>
      <w:sz w:val="16"/>
      <w:szCs w:val="16"/>
    </w:rPr>
  </w:style>
  <w:style w:type="paragraph" w:styleId="NormalIndent">
    <w:name w:val="Normal Indent"/>
    <w:basedOn w:val="Normal"/>
    <w:rsid w:val="00734512"/>
    <w:pPr>
      <w:ind w:left="720"/>
    </w:pPr>
  </w:style>
  <w:style w:type="paragraph" w:styleId="Quote">
    <w:name w:val="Quote"/>
    <w:basedOn w:val="Normal"/>
    <w:next w:val="Normal"/>
    <w:link w:val="QuoteChar"/>
    <w:uiPriority w:val="3"/>
    <w:qFormat/>
    <w:rsid w:val="0065433C"/>
    <w:pPr>
      <w:spacing w:before="200" w:after="160"/>
      <w:ind w:right="864"/>
    </w:pPr>
    <w:rPr>
      <w:i/>
      <w:iCs/>
      <w:color w:val="1C2B39" w:themeColor="text2"/>
    </w:rPr>
  </w:style>
  <w:style w:type="character" w:customStyle="1" w:styleId="QuoteChar">
    <w:name w:val="Quote Char"/>
    <w:basedOn w:val="DefaultParagraphFont"/>
    <w:link w:val="Quote"/>
    <w:uiPriority w:val="3"/>
    <w:rsid w:val="0065433C"/>
    <w:rPr>
      <w:i/>
      <w:iCs/>
      <w:color w:val="1C2B39" w:themeColor="text2"/>
      <w:sz w:val="19"/>
    </w:rPr>
  </w:style>
  <w:style w:type="table" w:styleId="TableGrid">
    <w:name w:val="Table Grid"/>
    <w:basedOn w:val="TableNormal"/>
    <w:uiPriority w:val="59"/>
    <w:rsid w:val="0055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aliases w:val="LXRA T4"/>
    <w:basedOn w:val="ListTable4-Accent11"/>
    <w:uiPriority w:val="49"/>
    <w:rsid w:val="005B4EE1"/>
    <w:tblPr>
      <w:tblBorders>
        <w:top w:val="single" w:sz="4" w:space="0" w:color="666666" w:themeColor="text1" w:themeTint="99"/>
        <w:bottom w:val="single" w:sz="4" w:space="0" w:color="666666" w:themeColor="text1" w:themeTint="99"/>
      </w:tblBorders>
    </w:tblPr>
    <w:tblStylePr w:type="firstRow">
      <w:pPr>
        <w:jc w:val="left"/>
      </w:pPr>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aliases w:val="LXRA T2"/>
    <w:basedOn w:val="TableNormal"/>
    <w:uiPriority w:val="49"/>
    <w:rsid w:val="005B4EE1"/>
    <w:pPr>
      <w:spacing w:after="0" w:line="240" w:lineRule="auto"/>
    </w:pPr>
    <w:tblPr>
      <w:tblStyleRowBandSize w:val="1"/>
      <w:tblStyleColBandSize w:val="1"/>
      <w:tblBorders>
        <w:top w:val="single" w:sz="4" w:space="0" w:color="E6E7E6" w:themeColor="accent1" w:themeTint="99"/>
        <w:bottom w:val="single" w:sz="4" w:space="0" w:color="E6E7E6" w:themeColor="accent1" w:themeTint="99"/>
      </w:tblBorders>
      <w:tblCellMar>
        <w:top w:w="113" w:type="dxa"/>
      </w:tblCellMar>
    </w:tblPr>
    <w:tcPr>
      <w:vAlign w:val="center"/>
    </w:tcPr>
    <w:tblStylePr w:type="firstRow">
      <w:pPr>
        <w:jc w:val="left"/>
      </w:pPr>
      <w:rPr>
        <w:b/>
        <w:bCs/>
        <w:color w:val="FFFFFF" w:themeColor="background1"/>
      </w:rPr>
      <w:tblPr/>
      <w:trPr>
        <w:tblHeader/>
      </w:tr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customStyle="1" w:styleId="ListTable6Colorful1">
    <w:name w:val="List Table 6 Colorful1"/>
    <w:basedOn w:val="TableNormal"/>
    <w:uiPriority w:val="51"/>
    <w:rsid w:val="0055631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21">
    <w:name w:val="List Table 4 - Accent 21"/>
    <w:aliases w:val="LXRA T3"/>
    <w:basedOn w:val="ListTable4-Accent11"/>
    <w:uiPriority w:val="49"/>
    <w:rsid w:val="005B4EE1"/>
    <w:tblPr>
      <w:tblBorders>
        <w:top w:val="single" w:sz="4" w:space="0" w:color="FFDC6B" w:themeColor="accent2" w:themeTint="99"/>
        <w:bottom w:val="single" w:sz="4" w:space="0" w:color="FFDC6B" w:themeColor="accent2" w:themeTint="99"/>
      </w:tblBorders>
    </w:tblPr>
    <w:tblStylePr w:type="firstRow">
      <w:pPr>
        <w:jc w:val="left"/>
      </w:pPr>
      <w:rPr>
        <w:b/>
        <w:bCs/>
        <w:color w:val="FFFFFF" w:themeColor="background1"/>
      </w:rPr>
      <w:tblPr/>
      <w:trPr>
        <w:tblHeader/>
      </w:tr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ListTable4-Accent31">
    <w:name w:val="List Table 4 - Accent 31"/>
    <w:aliases w:val="LXRA T1"/>
    <w:basedOn w:val="ListTable4-Accent11"/>
    <w:uiPriority w:val="49"/>
    <w:rsid w:val="00DA5E95"/>
    <w:tblPr>
      <w:tblBorders>
        <w:top w:val="single" w:sz="4" w:space="0" w:color="3D7B80"/>
        <w:bottom w:val="single" w:sz="4" w:space="0" w:color="3D7B80"/>
      </w:tblBorders>
      <w:tblCellMar>
        <w:bottom w:w="108"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bCs/>
        <w:color w:val="FFFFFF" w:themeColor="background1"/>
        <w:sz w:val="19"/>
      </w:rPr>
      <w:tblPr/>
      <w:trPr>
        <w:tblHeader/>
      </w:trPr>
      <w:tcPr>
        <w:tcBorders>
          <w:top w:val="nil"/>
          <w:left w:val="nil"/>
          <w:bottom w:val="nil"/>
          <w:right w:val="nil"/>
          <w:insideH w:val="nil"/>
          <w:insideV w:val="single" w:sz="4" w:space="0" w:color="FFFFFF" w:themeColor="background1"/>
        </w:tcBorders>
        <w:shd w:val="clear" w:color="auto" w:fill="3D7B80"/>
        <w:vAlign w:val="bottom"/>
      </w:tcPr>
    </w:tblStylePr>
    <w:tblStylePr w:type="lastRow">
      <w:rPr>
        <w:b/>
        <w:bCs/>
      </w:rPr>
      <w:tblPr/>
      <w:tcPr>
        <w:tcBorders>
          <w:top w:val="single" w:sz="8" w:space="0" w:color="3D7B80"/>
          <w:bottom w:val="single" w:sz="8" w:space="0" w:color="3D7B80"/>
        </w:tcBorders>
        <w:shd w:val="clear" w:color="auto" w:fill="DCEBEE"/>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DCEBEE"/>
      </w:tcPr>
    </w:tblStylePr>
    <w:tblStylePr w:type="band2Horz">
      <w:tblPr/>
      <w:tcPr>
        <w:shd w:val="clear" w:color="auto" w:fill="FFFFFF" w:themeFill="background1"/>
      </w:tcPr>
    </w:tblStylePr>
  </w:style>
  <w:style w:type="table" w:customStyle="1" w:styleId="ListTable4-Accent41">
    <w:name w:val="List Table 4 - Accent 41"/>
    <w:aliases w:val="LXRA T5"/>
    <w:basedOn w:val="ListTable4-Accent11"/>
    <w:uiPriority w:val="49"/>
    <w:rsid w:val="005B4EE1"/>
    <w:tblPr>
      <w:tblBorders>
        <w:top w:val="single" w:sz="4" w:space="0" w:color="AF60D2" w:themeColor="accent4" w:themeTint="99"/>
        <w:bottom w:val="single" w:sz="4" w:space="0" w:color="AF60D2" w:themeColor="accent4" w:themeTint="99"/>
      </w:tblBorders>
    </w:tblPr>
    <w:tblStylePr w:type="firstRow">
      <w:pPr>
        <w:jc w:val="left"/>
      </w:pPr>
      <w:rPr>
        <w:b/>
        <w:bCs/>
        <w:color w:val="FFFFFF" w:themeColor="background1"/>
      </w:rPr>
      <w:tblPr/>
      <w:trPr>
        <w:tblHeader/>
      </w:tr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customStyle="1" w:styleId="ListTable4-Accent51">
    <w:name w:val="List Table 4 - Accent 51"/>
    <w:aliases w:val="LXRA T6"/>
    <w:basedOn w:val="ListTable4-Accent11"/>
    <w:uiPriority w:val="49"/>
    <w:rsid w:val="005B4EE1"/>
    <w:tblPr>
      <w:tblBorders>
        <w:top w:val="single" w:sz="4" w:space="0" w:color="63E18C" w:themeColor="accent5" w:themeTint="99"/>
        <w:bottom w:val="single" w:sz="4" w:space="0" w:color="63E18C" w:themeColor="accent5" w:themeTint="99"/>
      </w:tblBorders>
    </w:tblPr>
    <w:tblStylePr w:type="firstRow">
      <w:pPr>
        <w:jc w:val="left"/>
      </w:pPr>
      <w:rPr>
        <w:b/>
        <w:bCs/>
        <w:color w:val="FFFFFF" w:themeColor="background1"/>
      </w:rPr>
      <w:tblPr/>
      <w:trPr>
        <w:tblHeader/>
      </w:tr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customStyle="1" w:styleId="ListTable4-Accent61">
    <w:name w:val="List Table 4 - Accent 61"/>
    <w:aliases w:val="LXRA T7"/>
    <w:basedOn w:val="ListTable4-Accent11"/>
    <w:uiPriority w:val="49"/>
    <w:rsid w:val="005B4EE1"/>
    <w:tblPr>
      <w:tblBorders>
        <w:top w:val="single" w:sz="4" w:space="0" w:color="3AC1FF" w:themeColor="accent6" w:themeTint="99"/>
        <w:bottom w:val="single" w:sz="4" w:space="0" w:color="3AC1FF" w:themeColor="accent6" w:themeTint="99"/>
      </w:tblBorders>
    </w:tblPr>
    <w:tblStylePr w:type="firstRow">
      <w:pPr>
        <w:jc w:val="left"/>
      </w:pPr>
      <w:rPr>
        <w:b/>
        <w:bCs/>
        <w:color w:val="FFFFFF" w:themeColor="background1"/>
      </w:rPr>
      <w:tblPr/>
      <w:trPr>
        <w:tblHeader/>
      </w:tr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paragraph" w:styleId="TOC1">
    <w:name w:val="toc 1"/>
    <w:basedOn w:val="TOC2"/>
    <w:next w:val="Normal"/>
    <w:uiPriority w:val="39"/>
    <w:unhideWhenUsed/>
    <w:rsid w:val="00E03232"/>
    <w:pPr>
      <w:spacing w:line="276" w:lineRule="auto"/>
    </w:pPr>
  </w:style>
  <w:style w:type="paragraph" w:styleId="TOC2">
    <w:name w:val="toc 2"/>
    <w:basedOn w:val="Normal"/>
    <w:next w:val="Normal"/>
    <w:uiPriority w:val="39"/>
    <w:unhideWhenUsed/>
    <w:rsid w:val="00714CAC"/>
    <w:pPr>
      <w:tabs>
        <w:tab w:val="left" w:pos="851"/>
        <w:tab w:val="right" w:pos="6776"/>
      </w:tabs>
      <w:spacing w:before="200" w:line="264" w:lineRule="auto"/>
      <w:ind w:left="851" w:right="851" w:hanging="851"/>
    </w:pPr>
    <w:rPr>
      <w:rFonts w:eastAsia="Times New Roman" w:cs="Times New Roman"/>
      <w:noProof/>
      <w:sz w:val="23"/>
      <w:szCs w:val="24"/>
      <w:lang w:eastAsia="fr-CA"/>
    </w:rPr>
  </w:style>
  <w:style w:type="paragraph" w:styleId="TOC3">
    <w:name w:val="toc 3"/>
    <w:basedOn w:val="Normal"/>
    <w:next w:val="Normal"/>
    <w:uiPriority w:val="39"/>
    <w:unhideWhenUsed/>
    <w:rsid w:val="006659D0"/>
    <w:pPr>
      <w:tabs>
        <w:tab w:val="left" w:pos="851"/>
        <w:tab w:val="right" w:pos="6776"/>
      </w:tabs>
      <w:spacing w:before="60" w:after="0"/>
      <w:ind w:left="851" w:right="851" w:hanging="851"/>
    </w:pPr>
    <w:rPr>
      <w:rFonts w:eastAsiaTheme="majorEastAsia" w:cs="Arial"/>
      <w:noProof/>
      <w:szCs w:val="20"/>
      <w:lang w:eastAsia="fr-CA"/>
    </w:rPr>
  </w:style>
  <w:style w:type="character" w:styleId="Hyperlink">
    <w:name w:val="Hyperlink"/>
    <w:basedOn w:val="DefaultParagraphFont"/>
    <w:uiPriority w:val="99"/>
    <w:unhideWhenUsed/>
    <w:rsid w:val="003F2F68"/>
    <w:rPr>
      <w:color w:val="005C97" w:themeColor="hyperlink"/>
      <w:u w:val="single"/>
    </w:rPr>
  </w:style>
  <w:style w:type="paragraph" w:styleId="Header">
    <w:name w:val="header"/>
    <w:basedOn w:val="Normal"/>
    <w:link w:val="HeaderChar"/>
    <w:uiPriority w:val="99"/>
    <w:unhideWhenUsed/>
    <w:rsid w:val="00DC10B3"/>
    <w:pPr>
      <w:tabs>
        <w:tab w:val="center" w:pos="4513"/>
        <w:tab w:val="right" w:pos="9026"/>
      </w:tabs>
      <w:spacing w:after="0"/>
    </w:pPr>
  </w:style>
  <w:style w:type="character" w:customStyle="1" w:styleId="HeaderChar">
    <w:name w:val="Header Char"/>
    <w:basedOn w:val="DefaultParagraphFont"/>
    <w:link w:val="Header"/>
    <w:uiPriority w:val="99"/>
    <w:rsid w:val="00DC10B3"/>
    <w:rPr>
      <w:sz w:val="19"/>
    </w:rPr>
  </w:style>
  <w:style w:type="paragraph" w:styleId="Footer">
    <w:name w:val="footer"/>
    <w:basedOn w:val="Normal"/>
    <w:link w:val="FooterChar"/>
    <w:uiPriority w:val="99"/>
    <w:unhideWhenUsed/>
    <w:rsid w:val="00632BD3"/>
    <w:pPr>
      <w:tabs>
        <w:tab w:val="center" w:pos="4513"/>
        <w:tab w:val="right" w:pos="9026"/>
      </w:tabs>
      <w:spacing w:before="0" w:after="0"/>
    </w:pPr>
    <w:rPr>
      <w:color w:val="004F9E"/>
      <w:sz w:val="16"/>
    </w:rPr>
  </w:style>
  <w:style w:type="character" w:customStyle="1" w:styleId="FooterChar">
    <w:name w:val="Footer Char"/>
    <w:basedOn w:val="DefaultParagraphFont"/>
    <w:link w:val="Footer"/>
    <w:uiPriority w:val="99"/>
    <w:rsid w:val="00632BD3"/>
    <w:rPr>
      <w:rFonts w:ascii="Arial" w:hAnsi="Arial"/>
      <w:color w:val="004F9E"/>
      <w:sz w:val="16"/>
    </w:rPr>
  </w:style>
  <w:style w:type="character" w:customStyle="1" w:styleId="Heading6Char">
    <w:name w:val="Heading 6 Char"/>
    <w:basedOn w:val="DefaultParagraphFont"/>
    <w:link w:val="Heading6"/>
    <w:rsid w:val="009E745E"/>
    <w:rPr>
      <w:rFonts w:asciiTheme="majorHAnsi" w:eastAsiaTheme="majorEastAsia" w:hAnsiTheme="majorHAnsi" w:cstheme="majorBidi"/>
      <w:color w:val="6A6D68" w:themeColor="accent1" w:themeShade="7F"/>
      <w:sz w:val="19"/>
    </w:rPr>
  </w:style>
  <w:style w:type="numbering" w:customStyle="1" w:styleId="LXRABullets">
    <w:name w:val="LXRA Bullets"/>
    <w:uiPriority w:val="99"/>
    <w:rsid w:val="007F3425"/>
    <w:pPr>
      <w:numPr>
        <w:numId w:val="3"/>
      </w:numPr>
    </w:pPr>
  </w:style>
  <w:style w:type="numbering" w:customStyle="1" w:styleId="LXRANumberedList">
    <w:name w:val="LXRA Numbered List"/>
    <w:uiPriority w:val="99"/>
    <w:rsid w:val="00014147"/>
    <w:pPr>
      <w:numPr>
        <w:numId w:val="4"/>
      </w:numPr>
    </w:pPr>
  </w:style>
  <w:style w:type="table" w:customStyle="1" w:styleId="LXRATable1">
    <w:name w:val="LXRA Table 1"/>
    <w:basedOn w:val="TableNormal"/>
    <w:uiPriority w:val="99"/>
    <w:rsid w:val="001029CF"/>
    <w:pPr>
      <w:spacing w:after="0" w:line="240" w:lineRule="auto"/>
    </w:pPr>
    <w:tblPr/>
  </w:style>
  <w:style w:type="paragraph" w:styleId="DocumentMap">
    <w:name w:val="Document Map"/>
    <w:basedOn w:val="Normal"/>
    <w:link w:val="DocumentMapChar"/>
    <w:uiPriority w:val="39"/>
    <w:semiHidden/>
    <w:rsid w:val="00EF0FDF"/>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39"/>
    <w:semiHidden/>
    <w:rsid w:val="00EF0FDF"/>
    <w:rPr>
      <w:rFonts w:ascii="Times New Roman" w:hAnsi="Times New Roman" w:cs="Times New Roman"/>
      <w:sz w:val="24"/>
      <w:szCs w:val="24"/>
    </w:rPr>
  </w:style>
  <w:style w:type="table" w:customStyle="1" w:styleId="ListTable3-Accent51">
    <w:name w:val="List Table 3 - Accent 51"/>
    <w:basedOn w:val="TableNormal"/>
    <w:uiPriority w:val="48"/>
    <w:rsid w:val="00D86DF0"/>
    <w:pPr>
      <w:spacing w:after="0" w:line="240" w:lineRule="auto"/>
    </w:p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paragraph" w:styleId="TOCHeading">
    <w:name w:val="TOC Heading"/>
    <w:basedOn w:val="Heading1"/>
    <w:next w:val="Normal"/>
    <w:uiPriority w:val="39"/>
    <w:unhideWhenUsed/>
    <w:qFormat/>
    <w:rsid w:val="00DF6614"/>
    <w:pPr>
      <w:numPr>
        <w:numId w:val="0"/>
      </w:numPr>
    </w:pPr>
    <w:rPr>
      <w:rFonts w:ascii="Arial Bold" w:hAnsi="Arial Bold"/>
    </w:rPr>
  </w:style>
  <w:style w:type="paragraph" w:styleId="TOC4">
    <w:name w:val="toc 4"/>
    <w:basedOn w:val="TableofFigures"/>
    <w:next w:val="Normal"/>
    <w:unhideWhenUsed/>
    <w:rsid w:val="00E13EA9"/>
  </w:style>
  <w:style w:type="paragraph" w:styleId="TOC5">
    <w:name w:val="toc 5"/>
    <w:basedOn w:val="Normal"/>
    <w:next w:val="Normal"/>
    <w:rsid w:val="00E13EA9"/>
    <w:pPr>
      <w:spacing w:after="100" w:line="288" w:lineRule="auto"/>
      <w:ind w:left="800"/>
    </w:pPr>
    <w:rPr>
      <w:rFonts w:eastAsia="Times New Roman" w:cs="Times New Roman"/>
      <w:szCs w:val="24"/>
      <w:lang w:eastAsia="fr-CA"/>
    </w:rPr>
  </w:style>
  <w:style w:type="paragraph" w:styleId="TOC6">
    <w:name w:val="toc 6"/>
    <w:basedOn w:val="Normal"/>
    <w:next w:val="Normal"/>
    <w:autoRedefine/>
    <w:unhideWhenUsed/>
    <w:rsid w:val="00E13EA9"/>
    <w:pPr>
      <w:spacing w:after="0"/>
    </w:pPr>
    <w:rPr>
      <w:sz w:val="22"/>
    </w:rPr>
  </w:style>
  <w:style w:type="paragraph" w:styleId="TOC7">
    <w:name w:val="toc 7"/>
    <w:basedOn w:val="Normal"/>
    <w:next w:val="Normal"/>
    <w:autoRedefine/>
    <w:unhideWhenUsed/>
    <w:rsid w:val="00E13EA9"/>
    <w:pPr>
      <w:spacing w:after="0"/>
    </w:pPr>
    <w:rPr>
      <w:sz w:val="22"/>
    </w:rPr>
  </w:style>
  <w:style w:type="paragraph" w:styleId="TOC8">
    <w:name w:val="toc 8"/>
    <w:basedOn w:val="Normal"/>
    <w:next w:val="Normal"/>
    <w:autoRedefine/>
    <w:unhideWhenUsed/>
    <w:rsid w:val="000D74C6"/>
    <w:pPr>
      <w:spacing w:after="0"/>
    </w:pPr>
    <w:rPr>
      <w:sz w:val="22"/>
    </w:rPr>
  </w:style>
  <w:style w:type="paragraph" w:styleId="TOC9">
    <w:name w:val="toc 9"/>
    <w:basedOn w:val="Normal"/>
    <w:next w:val="Normal"/>
    <w:autoRedefine/>
    <w:unhideWhenUsed/>
    <w:rsid w:val="000D74C6"/>
    <w:pPr>
      <w:spacing w:after="0"/>
    </w:pPr>
    <w:rPr>
      <w:sz w:val="22"/>
    </w:rPr>
  </w:style>
  <w:style w:type="table" w:customStyle="1" w:styleId="GridTable4-Accent21">
    <w:name w:val="Grid Table 4 - Accent 21"/>
    <w:basedOn w:val="TableNormal"/>
    <w:uiPriority w:val="49"/>
    <w:rsid w:val="00DB4FED"/>
    <w:pPr>
      <w:spacing w:after="0" w:line="240" w:lineRule="auto"/>
    </w:p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customStyle="1" w:styleId="GridTable5Dark-Accent21">
    <w:name w:val="Grid Table 5 Dark - Accent 21"/>
    <w:basedOn w:val="TableNormal"/>
    <w:uiPriority w:val="50"/>
    <w:rsid w:val="00DB4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numbering" w:customStyle="1" w:styleId="JASANZNumberedList">
    <w:name w:val="JASANZ Numbered List"/>
    <w:uiPriority w:val="99"/>
    <w:rsid w:val="008031B4"/>
  </w:style>
  <w:style w:type="paragraph" w:styleId="BalloonText">
    <w:name w:val="Balloon Text"/>
    <w:basedOn w:val="Normal"/>
    <w:link w:val="BalloonTextChar"/>
    <w:semiHidden/>
    <w:unhideWhenUsed/>
    <w:rsid w:val="0044142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4142D"/>
    <w:rPr>
      <w:rFonts w:ascii="Tahoma" w:hAnsi="Tahoma" w:cs="Tahoma"/>
      <w:sz w:val="16"/>
      <w:szCs w:val="16"/>
    </w:rPr>
  </w:style>
  <w:style w:type="table" w:customStyle="1" w:styleId="LXRAT11">
    <w:name w:val="LXRA T11"/>
    <w:basedOn w:val="TableNormal"/>
    <w:uiPriority w:val="49"/>
    <w:rsid w:val="00C33FCA"/>
    <w:pPr>
      <w:spacing w:after="0" w:line="240" w:lineRule="auto"/>
    </w:pPr>
    <w:rPr>
      <w:color w:val="000000" w:themeColor="text1"/>
    </w:rPr>
    <w:tblPr>
      <w:tblStyleRowBandSize w:val="1"/>
      <w:tblStyleColBandSize w:val="1"/>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jc w:val="left"/>
      </w:pPr>
      <w:rPr>
        <w:rFonts w:ascii="Calibri" w:hAnsi="Calibri"/>
        <w:b/>
        <w:bCs/>
        <w:color w:val="auto"/>
        <w:sz w:val="19"/>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FFC709"/>
      </w:tcPr>
    </w:tblStylePr>
    <w:tblStylePr w:type="lastRow">
      <w:rPr>
        <w:b/>
        <w:bCs/>
        <w:color w:val="auto"/>
      </w:rPr>
      <w:tblPr/>
      <w:tcPr>
        <w:tcBorders>
          <w:top w:val="single" w:sz="8" w:space="0" w:color="auto"/>
          <w:bottom w:val="single" w:sz="8" w:space="0" w:color="auto"/>
        </w:tcBorders>
        <w:shd w:val="clear" w:color="auto" w:fill="FFF3CD"/>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FF3CD"/>
      </w:tcPr>
    </w:tblStylePr>
    <w:tblStylePr w:type="band2Horz">
      <w:tblPr/>
      <w:tcPr>
        <w:shd w:val="clear" w:color="auto" w:fill="FFFFFF"/>
      </w:tcPr>
    </w:tblStylePr>
  </w:style>
  <w:style w:type="table" w:customStyle="1" w:styleId="Table2">
    <w:name w:val="Table 2"/>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dotted" w:sz="4" w:space="0" w:color="000000" w:themeColor="text1"/>
        <w:bottom w:val="dotted" w:sz="4" w:space="0" w:color="000000" w:themeColor="text1"/>
        <w:insideH w:val="dotted" w:sz="4" w:space="0" w:color="000000" w:themeColor="text1"/>
        <w:insideV w:val="dotted" w:sz="4" w:space="0" w:color="000000" w:themeColor="text1"/>
      </w:tblBorders>
      <w:tblCellMar>
        <w:left w:w="45" w:type="dxa"/>
        <w:right w:w="45" w:type="dxa"/>
      </w:tblCellMar>
    </w:tblPr>
    <w:tblStylePr w:type="firstRow">
      <w:rPr>
        <w:rFonts w:asciiTheme="majorHAnsi" w:hAnsiTheme="majorHAnsi"/>
        <w:caps/>
        <w:smallCaps w:val="0"/>
      </w:rPr>
      <w:tblPr/>
      <w:tcPr>
        <w:tcBorders>
          <w:top w:val="single" w:sz="4" w:space="0" w:color="000000" w:themeColor="text1"/>
          <w:left w:val="nil"/>
          <w:bottom w:val="single" w:sz="4" w:space="0" w:color="000000" w:themeColor="text1"/>
          <w:right w:val="nil"/>
          <w:insideH w:val="dotted" w:sz="4" w:space="0" w:color="000000" w:themeColor="text1"/>
          <w:insideV w:val="dotted" w:sz="4" w:space="0" w:color="000000" w:themeColor="text1"/>
          <w:tl2br w:val="nil"/>
          <w:tr2bl w:val="nil"/>
        </w:tcBorders>
        <w:shd w:val="clear" w:color="auto" w:fill="FFFFFF"/>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styleId="Caption">
    <w:name w:val="caption"/>
    <w:basedOn w:val="Normal"/>
    <w:next w:val="BodyText"/>
    <w:rsid w:val="00E137E5"/>
    <w:pPr>
      <w:keepNext/>
      <w:keepLines/>
      <w:tabs>
        <w:tab w:val="left" w:pos="1418"/>
      </w:tabs>
      <w:ind w:left="1418" w:hanging="1418"/>
    </w:pPr>
    <w:rPr>
      <w:b/>
      <w:bCs/>
      <w:sz w:val="18"/>
      <w:szCs w:val="20"/>
      <w:lang w:eastAsia="fr-CA"/>
    </w:rPr>
  </w:style>
  <w:style w:type="paragraph" w:customStyle="1" w:styleId="Heading1NoNumber">
    <w:name w:val="Heading 1 No Number"/>
    <w:basedOn w:val="Heading1"/>
    <w:next w:val="BodyText"/>
    <w:qFormat/>
    <w:rsid w:val="00E03232"/>
    <w:pPr>
      <w:numPr>
        <w:numId w:val="0"/>
      </w:numPr>
      <w:spacing w:after="240"/>
    </w:pPr>
    <w:rPr>
      <w:kern w:val="0"/>
      <w:sz w:val="48"/>
    </w:rPr>
  </w:style>
  <w:style w:type="paragraph" w:customStyle="1" w:styleId="Image">
    <w:name w:val="Image"/>
    <w:basedOn w:val="Normal"/>
    <w:next w:val="BodyText"/>
    <w:rsid w:val="004C6C22"/>
    <w:pPr>
      <w:keepNext/>
      <w:spacing w:before="240" w:after="0" w:line="288" w:lineRule="auto"/>
    </w:pPr>
    <w:rPr>
      <w:rFonts w:eastAsia="Times New Roman" w:cs="Times New Roman"/>
      <w:szCs w:val="20"/>
    </w:rPr>
  </w:style>
  <w:style w:type="paragraph" w:customStyle="1" w:styleId="Source">
    <w:name w:val="Source"/>
    <w:basedOn w:val="Normal"/>
    <w:next w:val="BodyText"/>
    <w:rsid w:val="00E137E5"/>
    <w:pPr>
      <w:tabs>
        <w:tab w:val="left" w:pos="851"/>
      </w:tabs>
      <w:spacing w:before="60" w:after="60" w:line="240" w:lineRule="auto"/>
      <w:ind w:left="851" w:hanging="851"/>
    </w:pPr>
    <w:rPr>
      <w:rFonts w:eastAsia="Times New Roman" w:cs="Arial"/>
      <w:i/>
      <w:sz w:val="18"/>
      <w:szCs w:val="20"/>
      <w:lang w:eastAsia="fr-CA"/>
    </w:rPr>
  </w:style>
  <w:style w:type="paragraph" w:customStyle="1" w:styleId="TableText">
    <w:name w:val="Table Text"/>
    <w:aliases w:val="xtt,tabletext,tt"/>
    <w:basedOn w:val="Normal"/>
    <w:link w:val="TableTextChar"/>
    <w:uiPriority w:val="8"/>
    <w:qFormat/>
    <w:rsid w:val="00E137E5"/>
    <w:pPr>
      <w:spacing w:before="80" w:after="80" w:line="240" w:lineRule="auto"/>
    </w:pPr>
    <w:rPr>
      <w:rFonts w:eastAsia="Times New Roman" w:cs="Arial"/>
      <w:color w:val="000000" w:themeColor="text1"/>
      <w:sz w:val="18"/>
    </w:rPr>
  </w:style>
  <w:style w:type="paragraph" w:customStyle="1" w:styleId="TableBullet1">
    <w:name w:val="Table Bullet 1"/>
    <w:basedOn w:val="ListBullet"/>
    <w:qFormat/>
    <w:rsid w:val="00E137E5"/>
    <w:pPr>
      <w:spacing w:before="80" w:after="80" w:line="240" w:lineRule="auto"/>
    </w:pPr>
    <w:rPr>
      <w:bCs/>
      <w:sz w:val="18"/>
      <w:lang w:eastAsia="fr-CA"/>
    </w:rPr>
  </w:style>
  <w:style w:type="paragraph" w:customStyle="1" w:styleId="TableBullet2">
    <w:name w:val="Table Bullet 2"/>
    <w:basedOn w:val="ListBullet2"/>
    <w:rsid w:val="00E137E5"/>
    <w:pPr>
      <w:spacing w:before="80" w:after="80" w:line="240" w:lineRule="auto"/>
    </w:pPr>
    <w:rPr>
      <w:bCs/>
      <w:color w:val="000000" w:themeColor="text1"/>
      <w:sz w:val="18"/>
    </w:rPr>
  </w:style>
  <w:style w:type="paragraph" w:customStyle="1" w:styleId="TableBullet3">
    <w:name w:val="Table Bullet 3"/>
    <w:basedOn w:val="ListBullet3"/>
    <w:rsid w:val="00E137E5"/>
    <w:pPr>
      <w:spacing w:before="80" w:after="80" w:line="240" w:lineRule="auto"/>
    </w:pPr>
    <w:rPr>
      <w:bCs/>
      <w:color w:val="000000" w:themeColor="text1"/>
      <w:sz w:val="18"/>
    </w:rPr>
  </w:style>
  <w:style w:type="paragraph" w:customStyle="1" w:styleId="TableHeading">
    <w:name w:val="Table Heading"/>
    <w:basedOn w:val="Normal"/>
    <w:uiPriority w:val="2"/>
    <w:rsid w:val="00E137E5"/>
    <w:pPr>
      <w:suppressAutoHyphens/>
      <w:spacing w:before="80" w:after="80" w:line="240" w:lineRule="auto"/>
    </w:pPr>
    <w:rPr>
      <w:rFonts w:eastAsia="Times New Roman" w:cs="Arial"/>
      <w:b/>
      <w:bCs/>
      <w:sz w:val="18"/>
      <w:szCs w:val="20"/>
    </w:rPr>
  </w:style>
  <w:style w:type="table" w:styleId="TableList1">
    <w:name w:val="Table List 1"/>
    <w:basedOn w:val="TableNormal"/>
    <w:semiHidden/>
    <w:unhideWhenUsed/>
    <w:rsid w:val="004C6C22"/>
    <w:pPr>
      <w:spacing w:after="0" w:line="288" w:lineRule="auto"/>
    </w:pPr>
    <w:rPr>
      <w:rFonts w:eastAsia="Times New Roman" w:cs="Times New Roman"/>
      <w:sz w:val="20"/>
      <w:szCs w:val="20"/>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C6C22"/>
    <w:pPr>
      <w:spacing w:after="0" w:line="288" w:lineRule="auto"/>
    </w:pPr>
    <w:rPr>
      <w:rFonts w:eastAsia="Times New Roman" w:cs="Times New Roman"/>
      <w:sz w:val="20"/>
      <w:szCs w:val="20"/>
      <w:lang w:val="fr-C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C6C22"/>
    <w:pPr>
      <w:spacing w:after="0" w:line="288" w:lineRule="auto"/>
    </w:pPr>
    <w:rPr>
      <w:rFonts w:eastAsia="Times New Roman" w:cs="Times New Roman"/>
      <w:sz w:val="20"/>
      <w:szCs w:val="20"/>
      <w:lang w:val="fr-C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unhideWhenUsed/>
    <w:rsid w:val="0006151E"/>
    <w:rPr>
      <w:rFonts w:eastAsiaTheme="majorEastAsia" w:cstheme="majorBidi"/>
      <w:bCs/>
      <w:color w:val="004F9E"/>
      <w:sz w:val="36"/>
      <w:szCs w:val="24"/>
    </w:rPr>
  </w:style>
  <w:style w:type="table" w:customStyle="1" w:styleId="Table3">
    <w:name w:val="Table 3"/>
    <w:basedOn w:val="TableNormal"/>
    <w:uiPriority w:val="99"/>
    <w:rsid w:val="003443B9"/>
    <w:pPr>
      <w:spacing w:before="90" w:after="40" w:line="288" w:lineRule="auto"/>
    </w:pPr>
    <w:rPr>
      <w:rFonts w:eastAsia="Times New Roman" w:cs="Times New Roman"/>
      <w:sz w:val="20"/>
      <w:szCs w:val="20"/>
      <w:lang w:eastAsia="en-AU"/>
    </w:rPr>
    <w:tblPr>
      <w:tblStyleColBandSize w:val="1"/>
      <w:tblBorders>
        <w:top w:val="single" w:sz="2" w:space="0" w:color="1C2B39" w:themeColor="text2"/>
        <w:left w:val="single" w:sz="2" w:space="0" w:color="1C2B39" w:themeColor="text2"/>
        <w:bottom w:val="single" w:sz="2" w:space="0" w:color="1C2B39" w:themeColor="text2"/>
        <w:right w:val="single" w:sz="2" w:space="0" w:color="1C2B39" w:themeColor="text2"/>
        <w:insideH w:val="single" w:sz="2" w:space="0" w:color="1C2B39" w:themeColor="text2"/>
        <w:insideV w:val="single" w:sz="2" w:space="0" w:color="1C2B39" w:themeColor="text2"/>
      </w:tblBorders>
      <w:tblCellMar>
        <w:left w:w="45" w:type="dxa"/>
        <w:right w:w="45" w:type="dxa"/>
      </w:tblCellMar>
    </w:tblPr>
    <w:tblStylePr w:type="firstRow">
      <w:rPr>
        <w:rFonts w:asciiTheme="majorHAnsi" w:hAnsiTheme="majorHAnsi"/>
        <w:caps/>
        <w:smallCaps w:val="0"/>
      </w:rPr>
      <w:tblPr/>
      <w:tcPr>
        <w:tcBorders>
          <w:top w:val="single" w:sz="2" w:space="0" w:color="692686" w:themeColor="accent4"/>
          <w:left w:val="single" w:sz="2" w:space="0" w:color="692686" w:themeColor="accent4"/>
          <w:bottom w:val="single" w:sz="2" w:space="0" w:color="692686" w:themeColor="accent4"/>
          <w:right w:val="single" w:sz="2" w:space="0" w:color="692686" w:themeColor="accent4"/>
          <w:insideH w:val="single" w:sz="2" w:space="0" w:color="692686" w:themeColor="accent4"/>
          <w:insideV w:val="single" w:sz="2" w:space="0" w:color="692686" w:themeColor="accent4"/>
          <w:tl2br w:val="nil"/>
          <w:tr2bl w:val="nil"/>
        </w:tcBorders>
        <w:shd w:val="clear" w:color="auto" w:fill="E4CAF0" w:themeFill="accent4" w:themeFillTint="33"/>
      </w:tcPr>
    </w:tblStylePr>
    <w:tblStylePr w:type="firstCol">
      <w:tblPr/>
      <w:tcPr>
        <w:shd w:val="clear" w:color="auto" w:fill="EEB600" w:themeFill="accent2" w:themeFillShade="E6"/>
      </w:tcPr>
    </w:tblStylePr>
    <w:tblStylePr w:type="band2Vert">
      <w:tblPr/>
      <w:tcPr>
        <w:shd w:val="clear" w:color="auto" w:fill="FCE4E9" w:themeFill="accent3" w:themeFillTint="1A"/>
      </w:tcPr>
    </w:tblStylePr>
  </w:style>
  <w:style w:type="paragraph" w:customStyle="1" w:styleId="Notes">
    <w:name w:val="Notes"/>
    <w:basedOn w:val="BodyText"/>
    <w:qFormat/>
    <w:rsid w:val="00E137E5"/>
    <w:pPr>
      <w:tabs>
        <w:tab w:val="left" w:pos="2268"/>
        <w:tab w:val="left" w:pos="4536"/>
        <w:tab w:val="left" w:pos="6804"/>
        <w:tab w:val="right" w:pos="9638"/>
      </w:tabs>
      <w:spacing w:before="60" w:after="60" w:line="240" w:lineRule="auto"/>
    </w:pPr>
    <w:rPr>
      <w:rFonts w:eastAsia="Times New Roman" w:cs="Arial"/>
      <w:sz w:val="18"/>
      <w:szCs w:val="20"/>
      <w:lang w:eastAsia="en-AU"/>
    </w:rPr>
  </w:style>
  <w:style w:type="paragraph" w:customStyle="1" w:styleId="Footnotes">
    <w:name w:val="Footnotes"/>
    <w:basedOn w:val="Normal"/>
    <w:rsid w:val="00E137E5"/>
    <w:pPr>
      <w:numPr>
        <w:ilvl w:val="1"/>
        <w:numId w:val="8"/>
      </w:numPr>
      <w:spacing w:before="60" w:after="60" w:line="240" w:lineRule="auto"/>
    </w:pPr>
    <w:rPr>
      <w:rFonts w:eastAsia="Times New Roman" w:cs="Arial"/>
      <w:sz w:val="18"/>
      <w:szCs w:val="20"/>
      <w:lang w:eastAsia="en-AU"/>
    </w:rPr>
  </w:style>
  <w:style w:type="paragraph" w:customStyle="1" w:styleId="TableHeadingAllCaps">
    <w:name w:val="Table Heading All Caps"/>
    <w:basedOn w:val="TableHeading"/>
    <w:qFormat/>
    <w:rsid w:val="003443B9"/>
    <w:rPr>
      <w:caps/>
      <w:lang w:eastAsia="en-AU"/>
    </w:rPr>
  </w:style>
  <w:style w:type="paragraph" w:styleId="TableofFigures">
    <w:name w:val="table of figures"/>
    <w:basedOn w:val="TOC3"/>
    <w:next w:val="Normal"/>
    <w:uiPriority w:val="99"/>
    <w:rsid w:val="00B76487"/>
    <w:pPr>
      <w:tabs>
        <w:tab w:val="clear" w:pos="851"/>
        <w:tab w:val="left" w:pos="1134"/>
      </w:tabs>
      <w:ind w:left="1134" w:hanging="1134"/>
    </w:pPr>
  </w:style>
  <w:style w:type="paragraph" w:customStyle="1" w:styleId="TableListNumber">
    <w:name w:val="Table List Number"/>
    <w:basedOn w:val="ListNumber"/>
    <w:qFormat/>
    <w:rsid w:val="00E137E5"/>
    <w:pPr>
      <w:spacing w:before="80" w:after="80" w:line="240" w:lineRule="auto"/>
    </w:pPr>
    <w:rPr>
      <w:bCs/>
      <w:color w:val="000000" w:themeColor="text1"/>
      <w:sz w:val="18"/>
    </w:rPr>
  </w:style>
  <w:style w:type="paragraph" w:customStyle="1" w:styleId="TableListNumber2">
    <w:name w:val="Table List Number 2"/>
    <w:basedOn w:val="ListNumber2"/>
    <w:qFormat/>
    <w:rsid w:val="00E137E5"/>
    <w:pPr>
      <w:spacing w:before="80" w:after="80" w:line="240" w:lineRule="auto"/>
    </w:pPr>
    <w:rPr>
      <w:bCs/>
      <w:color w:val="000000" w:themeColor="text1"/>
      <w:sz w:val="18"/>
    </w:rPr>
  </w:style>
  <w:style w:type="paragraph" w:customStyle="1" w:styleId="TableListNumber3">
    <w:name w:val="Table List Number 3"/>
    <w:basedOn w:val="ListNumber3"/>
    <w:qFormat/>
    <w:rsid w:val="00E137E5"/>
    <w:pPr>
      <w:spacing w:before="80" w:after="80" w:line="240" w:lineRule="auto"/>
    </w:pPr>
    <w:rPr>
      <w:bCs/>
      <w:color w:val="000000" w:themeColor="text1"/>
      <w:sz w:val="18"/>
    </w:rPr>
  </w:style>
  <w:style w:type="character" w:styleId="CommentReference">
    <w:name w:val="annotation reference"/>
    <w:basedOn w:val="DefaultParagraphFont"/>
    <w:uiPriority w:val="39"/>
    <w:semiHidden/>
    <w:unhideWhenUsed/>
    <w:rsid w:val="00D03A49"/>
    <w:rPr>
      <w:sz w:val="16"/>
      <w:szCs w:val="16"/>
    </w:rPr>
  </w:style>
  <w:style w:type="paragraph" w:styleId="CommentText">
    <w:name w:val="annotation text"/>
    <w:basedOn w:val="Normal"/>
    <w:link w:val="CommentTextChar"/>
    <w:uiPriority w:val="39"/>
    <w:unhideWhenUsed/>
    <w:rsid w:val="00D03A49"/>
    <w:rPr>
      <w:szCs w:val="20"/>
    </w:rPr>
  </w:style>
  <w:style w:type="character" w:customStyle="1" w:styleId="CommentTextChar">
    <w:name w:val="Comment Text Char"/>
    <w:basedOn w:val="DefaultParagraphFont"/>
    <w:link w:val="CommentText"/>
    <w:uiPriority w:val="39"/>
    <w:rsid w:val="00D03A49"/>
    <w:rPr>
      <w:sz w:val="20"/>
      <w:szCs w:val="20"/>
    </w:rPr>
  </w:style>
  <w:style w:type="paragraph" w:styleId="CommentSubject">
    <w:name w:val="annotation subject"/>
    <w:basedOn w:val="CommentText"/>
    <w:next w:val="CommentText"/>
    <w:link w:val="CommentSubjectChar"/>
    <w:uiPriority w:val="39"/>
    <w:semiHidden/>
    <w:unhideWhenUsed/>
    <w:rsid w:val="00D03A49"/>
    <w:rPr>
      <w:b/>
      <w:bCs/>
    </w:rPr>
  </w:style>
  <w:style w:type="character" w:customStyle="1" w:styleId="CommentSubjectChar">
    <w:name w:val="Comment Subject Char"/>
    <w:basedOn w:val="CommentTextChar"/>
    <w:link w:val="CommentSubject"/>
    <w:uiPriority w:val="39"/>
    <w:semiHidden/>
    <w:rsid w:val="00D03A49"/>
    <w:rPr>
      <w:b/>
      <w:bCs/>
      <w:sz w:val="20"/>
      <w:szCs w:val="20"/>
    </w:rPr>
  </w:style>
  <w:style w:type="paragraph" w:styleId="Revision">
    <w:name w:val="Revision"/>
    <w:hidden/>
    <w:uiPriority w:val="99"/>
    <w:semiHidden/>
    <w:rsid w:val="007940EC"/>
    <w:pPr>
      <w:spacing w:after="0" w:line="240" w:lineRule="auto"/>
    </w:pPr>
    <w:rPr>
      <w:sz w:val="19"/>
    </w:rPr>
  </w:style>
  <w:style w:type="paragraph" w:styleId="Bibliography">
    <w:name w:val="Bibliography"/>
    <w:basedOn w:val="Normal"/>
    <w:next w:val="Normal"/>
    <w:semiHidden/>
    <w:unhideWhenUsed/>
    <w:rsid w:val="0072670F"/>
  </w:style>
  <w:style w:type="paragraph" w:styleId="BlockText">
    <w:name w:val="Block Text"/>
    <w:basedOn w:val="Normal"/>
    <w:semiHidden/>
    <w:unhideWhenUsed/>
    <w:rsid w:val="0072670F"/>
    <w:pPr>
      <w:pBdr>
        <w:top w:val="single" w:sz="2" w:space="10" w:color="D7D8D6" w:themeColor="accent1"/>
        <w:left w:val="single" w:sz="2" w:space="10" w:color="D7D8D6" w:themeColor="accent1"/>
        <w:bottom w:val="single" w:sz="2" w:space="10" w:color="D7D8D6" w:themeColor="accent1"/>
        <w:right w:val="single" w:sz="2" w:space="10" w:color="D7D8D6" w:themeColor="accent1"/>
      </w:pBdr>
      <w:ind w:left="1152" w:right="1152"/>
    </w:pPr>
    <w:rPr>
      <w:rFonts w:eastAsiaTheme="minorEastAsia"/>
      <w:i/>
      <w:iCs/>
      <w:color w:val="D7D8D6" w:themeColor="accent1"/>
    </w:rPr>
  </w:style>
  <w:style w:type="paragraph" w:styleId="BodyTextIndent">
    <w:name w:val="Body Text Indent"/>
    <w:basedOn w:val="Normal"/>
    <w:link w:val="BodyTextIndentChar"/>
    <w:semiHidden/>
    <w:unhideWhenUsed/>
    <w:rsid w:val="0072670F"/>
    <w:pPr>
      <w:ind w:left="283"/>
    </w:pPr>
  </w:style>
  <w:style w:type="character" w:customStyle="1" w:styleId="BodyTextIndentChar">
    <w:name w:val="Body Text Indent Char"/>
    <w:basedOn w:val="DefaultParagraphFont"/>
    <w:link w:val="BodyTextIndent"/>
    <w:semiHidden/>
    <w:rsid w:val="0072670F"/>
    <w:rPr>
      <w:sz w:val="19"/>
    </w:rPr>
  </w:style>
  <w:style w:type="paragraph" w:styleId="BodyTextFirstIndent2">
    <w:name w:val="Body Text First Indent 2"/>
    <w:basedOn w:val="BodyTextIndent"/>
    <w:link w:val="BodyTextFirstIndent2Char"/>
    <w:semiHidden/>
    <w:unhideWhenUsed/>
    <w:rsid w:val="0072670F"/>
    <w:pPr>
      <w:spacing w:after="200"/>
      <w:ind w:left="360" w:firstLine="360"/>
    </w:pPr>
  </w:style>
  <w:style w:type="character" w:customStyle="1" w:styleId="BodyTextFirstIndent2Char">
    <w:name w:val="Body Text First Indent 2 Char"/>
    <w:basedOn w:val="BodyTextIndentChar"/>
    <w:link w:val="BodyTextFirstIndent2"/>
    <w:semiHidden/>
    <w:rsid w:val="0072670F"/>
    <w:rPr>
      <w:sz w:val="19"/>
    </w:rPr>
  </w:style>
  <w:style w:type="paragraph" w:styleId="BodyTextIndent2">
    <w:name w:val="Body Text Indent 2"/>
    <w:basedOn w:val="Normal"/>
    <w:link w:val="BodyTextIndent2Char"/>
    <w:semiHidden/>
    <w:unhideWhenUsed/>
    <w:rsid w:val="0072670F"/>
    <w:pPr>
      <w:spacing w:line="480" w:lineRule="auto"/>
      <w:ind w:left="283"/>
    </w:pPr>
  </w:style>
  <w:style w:type="character" w:customStyle="1" w:styleId="BodyTextIndent2Char">
    <w:name w:val="Body Text Indent 2 Char"/>
    <w:basedOn w:val="DefaultParagraphFont"/>
    <w:link w:val="BodyTextIndent2"/>
    <w:semiHidden/>
    <w:rsid w:val="0072670F"/>
    <w:rPr>
      <w:sz w:val="19"/>
    </w:rPr>
  </w:style>
  <w:style w:type="paragraph" w:styleId="BodyTextIndent3">
    <w:name w:val="Body Text Indent 3"/>
    <w:basedOn w:val="Normal"/>
    <w:link w:val="BodyTextIndent3Char"/>
    <w:semiHidden/>
    <w:unhideWhenUsed/>
    <w:rsid w:val="0072670F"/>
    <w:pPr>
      <w:ind w:left="283"/>
    </w:pPr>
    <w:rPr>
      <w:sz w:val="16"/>
      <w:szCs w:val="16"/>
    </w:rPr>
  </w:style>
  <w:style w:type="character" w:customStyle="1" w:styleId="BodyTextIndent3Char">
    <w:name w:val="Body Text Indent 3 Char"/>
    <w:basedOn w:val="DefaultParagraphFont"/>
    <w:link w:val="BodyTextIndent3"/>
    <w:semiHidden/>
    <w:rsid w:val="0072670F"/>
    <w:rPr>
      <w:sz w:val="16"/>
      <w:szCs w:val="16"/>
    </w:rPr>
  </w:style>
  <w:style w:type="paragraph" w:styleId="Closing">
    <w:name w:val="Closing"/>
    <w:basedOn w:val="Normal"/>
    <w:link w:val="ClosingChar"/>
    <w:semiHidden/>
    <w:unhideWhenUsed/>
    <w:rsid w:val="0072670F"/>
    <w:pPr>
      <w:spacing w:after="0"/>
      <w:ind w:left="4252"/>
    </w:pPr>
  </w:style>
  <w:style w:type="character" w:customStyle="1" w:styleId="ClosingChar">
    <w:name w:val="Closing Char"/>
    <w:basedOn w:val="DefaultParagraphFont"/>
    <w:link w:val="Closing"/>
    <w:semiHidden/>
    <w:rsid w:val="0072670F"/>
    <w:rPr>
      <w:sz w:val="19"/>
    </w:rPr>
  </w:style>
  <w:style w:type="paragraph" w:styleId="Date">
    <w:name w:val="Date"/>
    <w:basedOn w:val="Normal"/>
    <w:next w:val="Normal"/>
    <w:link w:val="DateChar"/>
    <w:unhideWhenUsed/>
    <w:rsid w:val="0072670F"/>
  </w:style>
  <w:style w:type="character" w:customStyle="1" w:styleId="DateChar">
    <w:name w:val="Date Char"/>
    <w:basedOn w:val="DefaultParagraphFont"/>
    <w:link w:val="Date"/>
    <w:rsid w:val="0072670F"/>
    <w:rPr>
      <w:sz w:val="19"/>
    </w:rPr>
  </w:style>
  <w:style w:type="paragraph" w:styleId="E-mailSignature">
    <w:name w:val="E-mail Signature"/>
    <w:basedOn w:val="Normal"/>
    <w:link w:val="E-mailSignatureChar"/>
    <w:semiHidden/>
    <w:unhideWhenUsed/>
    <w:rsid w:val="0072670F"/>
    <w:pPr>
      <w:spacing w:after="0"/>
    </w:pPr>
  </w:style>
  <w:style w:type="character" w:customStyle="1" w:styleId="E-mailSignatureChar">
    <w:name w:val="E-mail Signature Char"/>
    <w:basedOn w:val="DefaultParagraphFont"/>
    <w:link w:val="E-mailSignature"/>
    <w:semiHidden/>
    <w:rsid w:val="0072670F"/>
    <w:rPr>
      <w:sz w:val="19"/>
    </w:rPr>
  </w:style>
  <w:style w:type="paragraph" w:styleId="EndnoteText">
    <w:name w:val="endnote text"/>
    <w:basedOn w:val="Normal"/>
    <w:link w:val="EndnoteTextChar"/>
    <w:semiHidden/>
    <w:unhideWhenUsed/>
    <w:rsid w:val="0072670F"/>
    <w:pPr>
      <w:spacing w:after="0"/>
    </w:pPr>
    <w:rPr>
      <w:szCs w:val="20"/>
    </w:rPr>
  </w:style>
  <w:style w:type="character" w:customStyle="1" w:styleId="EndnoteTextChar">
    <w:name w:val="Endnote Text Char"/>
    <w:basedOn w:val="DefaultParagraphFont"/>
    <w:link w:val="EndnoteText"/>
    <w:semiHidden/>
    <w:rsid w:val="0072670F"/>
    <w:rPr>
      <w:sz w:val="20"/>
      <w:szCs w:val="20"/>
    </w:rPr>
  </w:style>
  <w:style w:type="paragraph" w:styleId="EnvelopeAddress">
    <w:name w:val="envelope address"/>
    <w:basedOn w:val="Normal"/>
    <w:semiHidden/>
    <w:unhideWhenUsed/>
    <w:rsid w:val="00726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2670F"/>
    <w:pPr>
      <w:spacing w:after="0"/>
    </w:pPr>
    <w:rPr>
      <w:rFonts w:asciiTheme="majorHAnsi" w:eastAsiaTheme="majorEastAsia" w:hAnsiTheme="majorHAnsi" w:cstheme="majorBidi"/>
      <w:szCs w:val="20"/>
    </w:rPr>
  </w:style>
  <w:style w:type="paragraph" w:styleId="FootnoteText">
    <w:name w:val="footnote text"/>
    <w:basedOn w:val="Normal"/>
    <w:link w:val="FootnoteTextChar"/>
    <w:unhideWhenUsed/>
    <w:rsid w:val="0072670F"/>
    <w:pPr>
      <w:spacing w:after="0"/>
    </w:pPr>
    <w:rPr>
      <w:szCs w:val="20"/>
    </w:rPr>
  </w:style>
  <w:style w:type="character" w:customStyle="1" w:styleId="FootnoteTextChar">
    <w:name w:val="Footnote Text Char"/>
    <w:basedOn w:val="DefaultParagraphFont"/>
    <w:link w:val="FootnoteText"/>
    <w:rsid w:val="0072670F"/>
    <w:rPr>
      <w:sz w:val="20"/>
      <w:szCs w:val="20"/>
    </w:rPr>
  </w:style>
  <w:style w:type="character" w:customStyle="1" w:styleId="Heading7Char">
    <w:name w:val="Heading 7 Char"/>
    <w:basedOn w:val="DefaultParagraphFont"/>
    <w:link w:val="Heading7"/>
    <w:rsid w:val="0072670F"/>
    <w:rPr>
      <w:rFonts w:asciiTheme="majorHAnsi" w:eastAsiaTheme="majorEastAsia" w:hAnsiTheme="majorHAnsi" w:cstheme="majorBidi"/>
      <w:i/>
      <w:iCs/>
      <w:color w:val="6A6D68" w:themeColor="accent1" w:themeShade="7F"/>
      <w:sz w:val="19"/>
    </w:rPr>
  </w:style>
  <w:style w:type="character" w:customStyle="1" w:styleId="Heading8Char">
    <w:name w:val="Heading 8 Char"/>
    <w:aliases w:val="Appendix Title Char"/>
    <w:basedOn w:val="DefaultParagraphFont"/>
    <w:link w:val="Heading8"/>
    <w:rsid w:val="0072670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Appendix Heading 1 Char"/>
    <w:basedOn w:val="DefaultParagraphFont"/>
    <w:link w:val="Heading9"/>
    <w:rsid w:val="0072670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72670F"/>
    <w:pPr>
      <w:spacing w:after="0"/>
    </w:pPr>
    <w:rPr>
      <w:i/>
      <w:iCs/>
    </w:rPr>
  </w:style>
  <w:style w:type="character" w:customStyle="1" w:styleId="HTMLAddressChar">
    <w:name w:val="HTML Address Char"/>
    <w:basedOn w:val="DefaultParagraphFont"/>
    <w:link w:val="HTMLAddress"/>
    <w:semiHidden/>
    <w:rsid w:val="0072670F"/>
    <w:rPr>
      <w:i/>
      <w:iCs/>
      <w:sz w:val="19"/>
    </w:rPr>
  </w:style>
  <w:style w:type="paragraph" w:styleId="HTMLPreformatted">
    <w:name w:val="HTML Preformatted"/>
    <w:basedOn w:val="Normal"/>
    <w:link w:val="HTMLPreformattedChar"/>
    <w:semiHidden/>
    <w:unhideWhenUsed/>
    <w:rsid w:val="0072670F"/>
    <w:pPr>
      <w:spacing w:after="0"/>
    </w:pPr>
    <w:rPr>
      <w:rFonts w:ascii="Consolas" w:hAnsi="Consolas" w:cs="Consolas"/>
      <w:szCs w:val="20"/>
    </w:rPr>
  </w:style>
  <w:style w:type="character" w:customStyle="1" w:styleId="HTMLPreformattedChar">
    <w:name w:val="HTML Preformatted Char"/>
    <w:basedOn w:val="DefaultParagraphFont"/>
    <w:link w:val="HTMLPreformatted"/>
    <w:semiHidden/>
    <w:rsid w:val="0072670F"/>
    <w:rPr>
      <w:rFonts w:ascii="Consolas" w:hAnsi="Consolas" w:cs="Consolas"/>
      <w:sz w:val="20"/>
      <w:szCs w:val="20"/>
    </w:rPr>
  </w:style>
  <w:style w:type="paragraph" w:styleId="Index1">
    <w:name w:val="index 1"/>
    <w:basedOn w:val="Normal"/>
    <w:next w:val="Normal"/>
    <w:autoRedefine/>
    <w:semiHidden/>
    <w:unhideWhenUsed/>
    <w:rsid w:val="0072670F"/>
    <w:pPr>
      <w:spacing w:after="0"/>
      <w:ind w:left="190" w:hanging="190"/>
    </w:pPr>
  </w:style>
  <w:style w:type="paragraph" w:styleId="Index2">
    <w:name w:val="index 2"/>
    <w:basedOn w:val="Normal"/>
    <w:next w:val="Normal"/>
    <w:autoRedefine/>
    <w:semiHidden/>
    <w:unhideWhenUsed/>
    <w:rsid w:val="0072670F"/>
    <w:pPr>
      <w:spacing w:after="0"/>
      <w:ind w:left="380" w:hanging="190"/>
    </w:pPr>
  </w:style>
  <w:style w:type="paragraph" w:styleId="Index3">
    <w:name w:val="index 3"/>
    <w:basedOn w:val="Normal"/>
    <w:next w:val="Normal"/>
    <w:autoRedefine/>
    <w:semiHidden/>
    <w:unhideWhenUsed/>
    <w:rsid w:val="0072670F"/>
    <w:pPr>
      <w:spacing w:after="0"/>
      <w:ind w:left="570" w:hanging="190"/>
    </w:pPr>
  </w:style>
  <w:style w:type="paragraph" w:styleId="Index4">
    <w:name w:val="index 4"/>
    <w:basedOn w:val="Normal"/>
    <w:next w:val="Normal"/>
    <w:autoRedefine/>
    <w:semiHidden/>
    <w:unhideWhenUsed/>
    <w:rsid w:val="0072670F"/>
    <w:pPr>
      <w:spacing w:after="0"/>
      <w:ind w:left="760" w:hanging="190"/>
    </w:pPr>
  </w:style>
  <w:style w:type="paragraph" w:styleId="Index5">
    <w:name w:val="index 5"/>
    <w:basedOn w:val="Normal"/>
    <w:next w:val="Normal"/>
    <w:autoRedefine/>
    <w:semiHidden/>
    <w:unhideWhenUsed/>
    <w:rsid w:val="0072670F"/>
    <w:pPr>
      <w:spacing w:after="0"/>
      <w:ind w:left="950" w:hanging="190"/>
    </w:pPr>
  </w:style>
  <w:style w:type="paragraph" w:styleId="Index6">
    <w:name w:val="index 6"/>
    <w:basedOn w:val="Normal"/>
    <w:next w:val="Normal"/>
    <w:autoRedefine/>
    <w:semiHidden/>
    <w:unhideWhenUsed/>
    <w:rsid w:val="0072670F"/>
    <w:pPr>
      <w:spacing w:after="0"/>
      <w:ind w:left="1140" w:hanging="190"/>
    </w:pPr>
  </w:style>
  <w:style w:type="paragraph" w:styleId="Index7">
    <w:name w:val="index 7"/>
    <w:basedOn w:val="Normal"/>
    <w:next w:val="Normal"/>
    <w:autoRedefine/>
    <w:semiHidden/>
    <w:unhideWhenUsed/>
    <w:rsid w:val="0072670F"/>
    <w:pPr>
      <w:spacing w:after="0"/>
      <w:ind w:left="1330" w:hanging="190"/>
    </w:pPr>
  </w:style>
  <w:style w:type="paragraph" w:styleId="Index8">
    <w:name w:val="index 8"/>
    <w:basedOn w:val="Normal"/>
    <w:next w:val="Normal"/>
    <w:autoRedefine/>
    <w:semiHidden/>
    <w:unhideWhenUsed/>
    <w:rsid w:val="0072670F"/>
    <w:pPr>
      <w:spacing w:after="0"/>
      <w:ind w:left="1520" w:hanging="190"/>
    </w:pPr>
  </w:style>
  <w:style w:type="paragraph" w:styleId="Index9">
    <w:name w:val="index 9"/>
    <w:basedOn w:val="Normal"/>
    <w:next w:val="Normal"/>
    <w:autoRedefine/>
    <w:semiHidden/>
    <w:unhideWhenUsed/>
    <w:rsid w:val="0072670F"/>
    <w:pPr>
      <w:spacing w:after="0"/>
      <w:ind w:left="1710" w:hanging="190"/>
    </w:pPr>
  </w:style>
  <w:style w:type="paragraph" w:styleId="IndexHeading">
    <w:name w:val="index heading"/>
    <w:basedOn w:val="Normal"/>
    <w:next w:val="Index1"/>
    <w:semiHidden/>
    <w:unhideWhenUsed/>
    <w:rsid w:val="0072670F"/>
    <w:rPr>
      <w:rFonts w:asciiTheme="majorHAnsi" w:eastAsiaTheme="majorEastAsia" w:hAnsiTheme="majorHAnsi" w:cstheme="majorBidi"/>
      <w:b/>
      <w:bCs/>
    </w:rPr>
  </w:style>
  <w:style w:type="paragraph" w:styleId="List">
    <w:name w:val="List"/>
    <w:basedOn w:val="Normal"/>
    <w:semiHidden/>
    <w:unhideWhenUsed/>
    <w:rsid w:val="0072670F"/>
    <w:pPr>
      <w:ind w:left="283" w:hanging="283"/>
      <w:contextualSpacing/>
    </w:pPr>
  </w:style>
  <w:style w:type="paragraph" w:styleId="List2">
    <w:name w:val="List 2"/>
    <w:basedOn w:val="Normal"/>
    <w:semiHidden/>
    <w:unhideWhenUsed/>
    <w:rsid w:val="0072670F"/>
    <w:pPr>
      <w:ind w:left="566" w:hanging="283"/>
      <w:contextualSpacing/>
    </w:pPr>
  </w:style>
  <w:style w:type="paragraph" w:styleId="List3">
    <w:name w:val="List 3"/>
    <w:basedOn w:val="Normal"/>
    <w:semiHidden/>
    <w:unhideWhenUsed/>
    <w:rsid w:val="0072670F"/>
    <w:pPr>
      <w:ind w:left="849" w:hanging="283"/>
      <w:contextualSpacing/>
    </w:pPr>
  </w:style>
  <w:style w:type="paragraph" w:styleId="List4">
    <w:name w:val="List 4"/>
    <w:basedOn w:val="Normal"/>
    <w:unhideWhenUsed/>
    <w:rsid w:val="0072670F"/>
    <w:pPr>
      <w:ind w:left="1132" w:hanging="283"/>
      <w:contextualSpacing/>
    </w:pPr>
  </w:style>
  <w:style w:type="paragraph" w:styleId="List5">
    <w:name w:val="List 5"/>
    <w:basedOn w:val="Normal"/>
    <w:unhideWhenUsed/>
    <w:rsid w:val="0072670F"/>
    <w:pPr>
      <w:ind w:left="1415" w:hanging="283"/>
      <w:contextualSpacing/>
    </w:pPr>
  </w:style>
  <w:style w:type="paragraph" w:styleId="ListContinue3">
    <w:name w:val="List Continue 3"/>
    <w:basedOn w:val="Normal"/>
    <w:rsid w:val="0072670F"/>
    <w:pPr>
      <w:ind w:left="849"/>
      <w:contextualSpacing/>
    </w:pPr>
  </w:style>
  <w:style w:type="paragraph" w:styleId="ListContinue4">
    <w:name w:val="List Continue 4"/>
    <w:basedOn w:val="Normal"/>
    <w:rsid w:val="0072670F"/>
    <w:pPr>
      <w:ind w:left="1132"/>
      <w:contextualSpacing/>
    </w:pPr>
  </w:style>
  <w:style w:type="paragraph" w:styleId="ListContinue5">
    <w:name w:val="List Continue 5"/>
    <w:basedOn w:val="Normal"/>
    <w:rsid w:val="0072670F"/>
    <w:pPr>
      <w:ind w:left="1415"/>
      <w:contextualSpacing/>
    </w:pPr>
  </w:style>
  <w:style w:type="paragraph" w:styleId="ListNumber4">
    <w:name w:val="List Number 4"/>
    <w:basedOn w:val="Normal"/>
    <w:unhideWhenUsed/>
    <w:rsid w:val="0072670F"/>
    <w:pPr>
      <w:numPr>
        <w:numId w:val="1"/>
      </w:numPr>
      <w:contextualSpacing/>
    </w:pPr>
  </w:style>
  <w:style w:type="paragraph" w:styleId="ListNumber5">
    <w:name w:val="List Number 5"/>
    <w:basedOn w:val="Normal"/>
    <w:unhideWhenUsed/>
    <w:rsid w:val="0072670F"/>
    <w:pPr>
      <w:numPr>
        <w:numId w:val="2"/>
      </w:numPr>
      <w:contextualSpacing/>
    </w:pPr>
  </w:style>
  <w:style w:type="paragraph" w:styleId="MacroText">
    <w:name w:val="macro"/>
    <w:link w:val="MacroTextChar"/>
    <w:semiHidden/>
    <w:rsid w:val="0072670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semiHidden/>
    <w:rsid w:val="0072670F"/>
    <w:rPr>
      <w:rFonts w:ascii="Consolas" w:hAnsi="Consolas" w:cs="Consolas"/>
      <w:sz w:val="20"/>
      <w:szCs w:val="20"/>
    </w:rPr>
  </w:style>
  <w:style w:type="paragraph" w:styleId="MessageHeader">
    <w:name w:val="Message Header"/>
    <w:basedOn w:val="Normal"/>
    <w:link w:val="MessageHeaderChar"/>
    <w:semiHidden/>
    <w:rsid w:val="00726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2670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2670F"/>
    <w:rPr>
      <w:rFonts w:ascii="Times New Roman" w:hAnsi="Times New Roman" w:cs="Times New Roman"/>
      <w:sz w:val="24"/>
      <w:szCs w:val="24"/>
    </w:rPr>
  </w:style>
  <w:style w:type="paragraph" w:styleId="NoteHeading">
    <w:name w:val="Note Heading"/>
    <w:basedOn w:val="Normal"/>
    <w:next w:val="Normal"/>
    <w:link w:val="NoteHeadingChar"/>
    <w:unhideWhenUsed/>
    <w:rsid w:val="0072670F"/>
    <w:pPr>
      <w:spacing w:after="0"/>
    </w:pPr>
  </w:style>
  <w:style w:type="character" w:customStyle="1" w:styleId="NoteHeadingChar">
    <w:name w:val="Note Heading Char"/>
    <w:basedOn w:val="DefaultParagraphFont"/>
    <w:link w:val="NoteHeading"/>
    <w:rsid w:val="0072670F"/>
    <w:rPr>
      <w:sz w:val="19"/>
    </w:rPr>
  </w:style>
  <w:style w:type="paragraph" w:styleId="PlainText">
    <w:name w:val="Plain Text"/>
    <w:basedOn w:val="Normal"/>
    <w:link w:val="PlainTextChar"/>
    <w:uiPriority w:val="39"/>
    <w:semiHidden/>
    <w:unhideWhenUsed/>
    <w:rsid w:val="0072670F"/>
    <w:pPr>
      <w:spacing w:after="0"/>
    </w:pPr>
    <w:rPr>
      <w:rFonts w:ascii="Consolas" w:hAnsi="Consolas" w:cs="Consolas"/>
      <w:sz w:val="21"/>
      <w:szCs w:val="21"/>
    </w:rPr>
  </w:style>
  <w:style w:type="character" w:customStyle="1" w:styleId="PlainTextChar">
    <w:name w:val="Plain Text Char"/>
    <w:basedOn w:val="DefaultParagraphFont"/>
    <w:link w:val="PlainText"/>
    <w:uiPriority w:val="39"/>
    <w:semiHidden/>
    <w:rsid w:val="0072670F"/>
    <w:rPr>
      <w:rFonts w:ascii="Consolas" w:hAnsi="Consolas" w:cs="Consolas"/>
      <w:sz w:val="21"/>
      <w:szCs w:val="21"/>
    </w:rPr>
  </w:style>
  <w:style w:type="paragraph" w:styleId="Salutation">
    <w:name w:val="Salutation"/>
    <w:basedOn w:val="Normal"/>
    <w:next w:val="Normal"/>
    <w:link w:val="SalutationChar"/>
    <w:unhideWhenUsed/>
    <w:rsid w:val="0072670F"/>
  </w:style>
  <w:style w:type="character" w:customStyle="1" w:styleId="SalutationChar">
    <w:name w:val="Salutation Char"/>
    <w:basedOn w:val="DefaultParagraphFont"/>
    <w:link w:val="Salutation"/>
    <w:rsid w:val="0072670F"/>
    <w:rPr>
      <w:sz w:val="19"/>
    </w:rPr>
  </w:style>
  <w:style w:type="paragraph" w:styleId="Signature">
    <w:name w:val="Signature"/>
    <w:basedOn w:val="Normal"/>
    <w:link w:val="SignatureChar"/>
    <w:semiHidden/>
    <w:unhideWhenUsed/>
    <w:rsid w:val="0072670F"/>
    <w:pPr>
      <w:spacing w:after="0"/>
      <w:ind w:left="4252"/>
    </w:pPr>
  </w:style>
  <w:style w:type="character" w:customStyle="1" w:styleId="SignatureChar">
    <w:name w:val="Signature Char"/>
    <w:basedOn w:val="DefaultParagraphFont"/>
    <w:link w:val="Signature"/>
    <w:semiHidden/>
    <w:rsid w:val="0072670F"/>
    <w:rPr>
      <w:sz w:val="19"/>
    </w:rPr>
  </w:style>
  <w:style w:type="paragraph" w:styleId="TableofAuthorities">
    <w:name w:val="table of authorities"/>
    <w:basedOn w:val="Normal"/>
    <w:next w:val="Normal"/>
    <w:semiHidden/>
    <w:unhideWhenUsed/>
    <w:rsid w:val="0072670F"/>
    <w:pPr>
      <w:spacing w:after="0"/>
      <w:ind w:left="190" w:hanging="190"/>
    </w:pPr>
  </w:style>
  <w:style w:type="character" w:customStyle="1" w:styleId="TableTextChar">
    <w:name w:val="Table Text Char"/>
    <w:basedOn w:val="DefaultParagraphFont"/>
    <w:link w:val="TableText"/>
    <w:uiPriority w:val="8"/>
    <w:rsid w:val="00E137E5"/>
    <w:rPr>
      <w:rFonts w:ascii="Arial" w:eastAsia="Times New Roman" w:hAnsi="Arial" w:cs="Arial"/>
      <w:color w:val="000000" w:themeColor="text1"/>
      <w:sz w:val="18"/>
    </w:rPr>
  </w:style>
  <w:style w:type="table" w:customStyle="1" w:styleId="Table1">
    <w:name w:val="Table 1"/>
    <w:basedOn w:val="TableNormal"/>
    <w:uiPriority w:val="59"/>
    <w:rsid w:val="000F5FB5"/>
    <w:pPr>
      <w:spacing w:after="0" w:line="240" w:lineRule="auto"/>
    </w:pPr>
    <w:rPr>
      <w:rFonts w:ascii="Arial" w:hAnsi="Arial"/>
      <w:sz w:val="18"/>
    </w:rPr>
    <w:tblPr>
      <w:tblBorders>
        <w:bottom w:val="single" w:sz="4" w:space="0" w:color="A7CC96"/>
        <w:insideH w:val="single" w:sz="4" w:space="0" w:color="A7CC96"/>
      </w:tblBorders>
    </w:tblPr>
    <w:tblStylePr w:type="firstRow">
      <w:pPr>
        <w:wordWrap/>
      </w:pPr>
      <w:rPr>
        <w:rFonts w:ascii="Arial" w:hAnsi="Arial"/>
        <w:color w:val="auto"/>
        <w:sz w:val="18"/>
      </w:rPr>
      <w:tblPr/>
      <w:tcPr>
        <w:shd w:val="clear" w:color="auto" w:fill="A7CC96"/>
      </w:tcPr>
    </w:tblStylePr>
    <w:tblStylePr w:type="firstCol">
      <w:tblPr/>
      <w:tcPr>
        <w:shd w:val="clear" w:color="auto" w:fill="E6EFE1"/>
      </w:tcPr>
    </w:tblStylePr>
  </w:style>
  <w:style w:type="paragraph" w:customStyle="1" w:styleId="PullOutBoxText">
    <w:name w:val="Pull Out Box Text"/>
    <w:basedOn w:val="Normal"/>
    <w:qFormat/>
    <w:rsid w:val="00632BD3"/>
    <w:rPr>
      <w:color w:val="004F9E"/>
    </w:rPr>
  </w:style>
  <w:style w:type="paragraph" w:customStyle="1" w:styleId="PullOutBoxHeading">
    <w:name w:val="Pull Out Box Heading"/>
    <w:basedOn w:val="PullOutBoxText"/>
    <w:qFormat/>
    <w:rsid w:val="00632BD3"/>
    <w:pPr>
      <w:spacing w:before="0"/>
    </w:pPr>
    <w:rPr>
      <w:b/>
      <w:bCs/>
      <w:sz w:val="22"/>
    </w:rPr>
  </w:style>
  <w:style w:type="paragraph" w:customStyle="1" w:styleId="BodyTextBold">
    <w:name w:val="Body Text Bold"/>
    <w:basedOn w:val="BodyText"/>
    <w:rsid w:val="00397857"/>
    <w:pPr>
      <w:tabs>
        <w:tab w:val="left" w:pos="2268"/>
        <w:tab w:val="left" w:pos="4536"/>
        <w:tab w:val="left" w:pos="6804"/>
        <w:tab w:val="right" w:pos="9638"/>
      </w:tabs>
      <w:spacing w:line="288" w:lineRule="auto"/>
    </w:pPr>
    <w:rPr>
      <w:rFonts w:asciiTheme="minorHAnsi" w:eastAsia="Times New Roman" w:hAnsiTheme="minorHAnsi" w:cs="Times New Roman"/>
      <w:b/>
      <w:sz w:val="20"/>
      <w:szCs w:val="20"/>
    </w:rPr>
  </w:style>
  <w:style w:type="numbering" w:customStyle="1" w:styleId="HangingList">
    <w:name w:val="HangingList"/>
    <w:uiPriority w:val="99"/>
    <w:rsid w:val="00397857"/>
    <w:pPr>
      <w:numPr>
        <w:numId w:val="10"/>
      </w:numPr>
    </w:pPr>
  </w:style>
  <w:style w:type="paragraph" w:customStyle="1" w:styleId="AppendixHeading2">
    <w:name w:val="Appendix Heading 2"/>
    <w:basedOn w:val="Normal"/>
    <w:next w:val="BodyText"/>
    <w:uiPriority w:val="4"/>
    <w:rsid w:val="00397857"/>
    <w:pPr>
      <w:keepNext/>
      <w:tabs>
        <w:tab w:val="left" w:pos="1559"/>
        <w:tab w:val="left" w:pos="1843"/>
        <w:tab w:val="left" w:pos="2126"/>
        <w:tab w:val="left" w:pos="2410"/>
        <w:tab w:val="right" w:pos="9639"/>
      </w:tabs>
      <w:spacing w:before="200" w:line="288" w:lineRule="auto"/>
      <w:ind w:left="1134" w:hanging="1134"/>
    </w:pPr>
    <w:rPr>
      <w:rFonts w:asciiTheme="majorHAnsi" w:eastAsia="Times New Roman" w:hAnsiTheme="majorHAnsi" w:cs="Times New Roman"/>
      <w:color w:val="000000" w:themeColor="text1"/>
      <w:sz w:val="24"/>
      <w:szCs w:val="20"/>
    </w:rPr>
  </w:style>
  <w:style w:type="paragraph" w:customStyle="1" w:styleId="AppendixHeading3">
    <w:name w:val="Appendix Heading 3"/>
    <w:basedOn w:val="Normal"/>
    <w:next w:val="BodyText"/>
    <w:uiPriority w:val="4"/>
    <w:rsid w:val="00397857"/>
    <w:pPr>
      <w:keepNext/>
      <w:tabs>
        <w:tab w:val="left" w:pos="1559"/>
        <w:tab w:val="left" w:pos="1843"/>
        <w:tab w:val="left" w:pos="2126"/>
        <w:tab w:val="left" w:pos="2410"/>
        <w:tab w:val="left" w:pos="6804"/>
        <w:tab w:val="right" w:pos="9639"/>
      </w:tabs>
      <w:spacing w:before="200" w:line="288" w:lineRule="auto"/>
      <w:ind w:left="1134" w:hanging="1134"/>
    </w:pPr>
    <w:rPr>
      <w:rFonts w:asciiTheme="majorHAnsi" w:eastAsia="Times New Roman" w:hAnsiTheme="majorHAnsi" w:cs="Times New Roman"/>
      <w:b/>
      <w:color w:val="000000" w:themeColor="text1"/>
      <w:sz w:val="20"/>
      <w:szCs w:val="20"/>
    </w:rPr>
  </w:style>
  <w:style w:type="character" w:styleId="FollowedHyperlink">
    <w:name w:val="FollowedHyperlink"/>
    <w:basedOn w:val="DefaultParagraphFont"/>
    <w:rsid w:val="00397857"/>
    <w:rPr>
      <w:color w:val="000000" w:themeColor="text1"/>
      <w:u w:val="single"/>
    </w:rPr>
  </w:style>
  <w:style w:type="numbering" w:customStyle="1" w:styleId="MyListNumbering">
    <w:name w:val="MyListNumbering"/>
    <w:uiPriority w:val="99"/>
    <w:rsid w:val="00397857"/>
    <w:pPr>
      <w:numPr>
        <w:numId w:val="11"/>
      </w:numPr>
    </w:pPr>
  </w:style>
  <w:style w:type="character" w:styleId="PlaceholderText">
    <w:name w:val="Placeholder Text"/>
    <w:basedOn w:val="DefaultParagraphFont"/>
    <w:uiPriority w:val="99"/>
    <w:semiHidden/>
    <w:rsid w:val="00397857"/>
    <w:rPr>
      <w:color w:val="808080"/>
    </w:rPr>
  </w:style>
  <w:style w:type="numbering" w:customStyle="1" w:styleId="TableBullets">
    <w:name w:val="TableBullets"/>
    <w:uiPriority w:val="99"/>
    <w:rsid w:val="00397857"/>
    <w:pPr>
      <w:numPr>
        <w:numId w:val="13"/>
      </w:numPr>
    </w:pPr>
  </w:style>
  <w:style w:type="numbering" w:customStyle="1" w:styleId="TableFootnotes0">
    <w:name w:val="TableFootnotes"/>
    <w:uiPriority w:val="99"/>
    <w:rsid w:val="00397857"/>
    <w:pPr>
      <w:numPr>
        <w:numId w:val="14"/>
      </w:numPr>
    </w:pPr>
  </w:style>
  <w:style w:type="numbering" w:customStyle="1" w:styleId="TableNumbering">
    <w:name w:val="TableNumbering"/>
    <w:uiPriority w:val="99"/>
    <w:rsid w:val="00397857"/>
    <w:pPr>
      <w:numPr>
        <w:numId w:val="15"/>
      </w:numPr>
    </w:pPr>
  </w:style>
  <w:style w:type="paragraph" w:customStyle="1" w:styleId="TableofFiguresHeading">
    <w:name w:val="Table of Figures Heading"/>
    <w:basedOn w:val="Normal"/>
    <w:rsid w:val="00397857"/>
    <w:pPr>
      <w:spacing w:before="240" w:after="60" w:line="288" w:lineRule="auto"/>
    </w:pPr>
    <w:rPr>
      <w:rFonts w:asciiTheme="majorHAnsi" w:eastAsia="Times New Roman" w:hAnsiTheme="majorHAnsi" w:cs="Times New Roman"/>
      <w:bCs/>
      <w:color w:val="1C2B39" w:themeColor="text2"/>
      <w:sz w:val="24"/>
    </w:rPr>
  </w:style>
  <w:style w:type="paragraph" w:customStyle="1" w:styleId="Address">
    <w:name w:val="Address"/>
    <w:basedOn w:val="Normal"/>
    <w:rsid w:val="00397857"/>
    <w:pPr>
      <w:tabs>
        <w:tab w:val="left" w:pos="227"/>
      </w:tabs>
      <w:spacing w:line="288" w:lineRule="auto"/>
      <w:contextualSpacing/>
    </w:pPr>
    <w:rPr>
      <w:rFonts w:asciiTheme="majorHAnsi" w:eastAsia="Times New Roman" w:hAnsiTheme="majorHAnsi" w:cs="Times New Roman"/>
      <w:noProof/>
      <w:color w:val="1C2B39" w:themeColor="text2"/>
      <w:sz w:val="14"/>
      <w:szCs w:val="20"/>
    </w:rPr>
  </w:style>
  <w:style w:type="paragraph" w:customStyle="1" w:styleId="BoldHeading">
    <w:name w:val="Bold Heading"/>
    <w:basedOn w:val="Normal"/>
    <w:next w:val="BodyText"/>
    <w:rsid w:val="00397857"/>
    <w:pPr>
      <w:spacing w:before="240" w:after="40" w:line="288" w:lineRule="auto"/>
    </w:pPr>
    <w:rPr>
      <w:rFonts w:asciiTheme="minorHAnsi" w:eastAsia="Times New Roman" w:hAnsiTheme="minorHAnsi" w:cs="Times New Roman"/>
      <w:b/>
      <w:sz w:val="20"/>
    </w:rPr>
  </w:style>
  <w:style w:type="table" w:customStyle="1" w:styleId="TablePlaceholder">
    <w:name w:val="Table Placeholder"/>
    <w:basedOn w:val="TableNormal"/>
    <w:uiPriority w:val="99"/>
    <w:rsid w:val="00397857"/>
    <w:pPr>
      <w:spacing w:after="0" w:line="288" w:lineRule="auto"/>
    </w:pPr>
    <w:rPr>
      <w:rFonts w:eastAsia="Times New Roman" w:cs="Times New Roman"/>
      <w:sz w:val="20"/>
      <w:szCs w:val="20"/>
      <w:lang w:eastAsia="en-AU"/>
    </w:rPr>
    <w:tblPr>
      <w:tblCellMar>
        <w:left w:w="45" w:type="dxa"/>
        <w:right w:w="45" w:type="dxa"/>
      </w:tblCellMar>
    </w:tblPr>
  </w:style>
  <w:style w:type="paragraph" w:customStyle="1" w:styleId="PullOutBoxBodyText">
    <w:name w:val="Pull Out Box Body Text"/>
    <w:basedOn w:val="BodyText"/>
    <w:rsid w:val="00397857"/>
    <w:pPr>
      <w:tabs>
        <w:tab w:val="left" w:pos="2268"/>
        <w:tab w:val="left" w:pos="4536"/>
        <w:tab w:val="left" w:pos="6804"/>
        <w:tab w:val="right" w:pos="9638"/>
      </w:tabs>
      <w:spacing w:line="288" w:lineRule="auto"/>
    </w:pPr>
    <w:rPr>
      <w:rFonts w:asciiTheme="minorHAnsi" w:eastAsiaTheme="minorEastAsia" w:hAnsiTheme="minorHAnsi"/>
      <w:sz w:val="20"/>
      <w:szCs w:val="20"/>
      <w:lang w:eastAsia="fr-CA"/>
    </w:rPr>
  </w:style>
  <w:style w:type="table" w:customStyle="1" w:styleId="PullOutBoxTable">
    <w:name w:val="Pull Out Box Table"/>
    <w:basedOn w:val="TableNormal"/>
    <w:uiPriority w:val="99"/>
    <w:rsid w:val="00397857"/>
    <w:pPr>
      <w:spacing w:after="0" w:line="288" w:lineRule="auto"/>
    </w:pPr>
    <w:rPr>
      <w:rFonts w:eastAsia="Times New Roman" w:cs="Times New Roman"/>
      <w:sz w:val="20"/>
      <w:szCs w:val="20"/>
      <w:lang w:eastAsia="en-AU"/>
    </w:rPr>
    <w:tblPr>
      <w:tblInd w:w="284" w:type="dxa"/>
      <w:tblBorders>
        <w:top w:val="single" w:sz="4" w:space="0" w:color="FDEBD1" w:themeColor="background2" w:themeTint="33"/>
        <w:left w:val="single" w:sz="4" w:space="0" w:color="FDEBD1" w:themeColor="background2" w:themeTint="33"/>
        <w:bottom w:val="single" w:sz="4" w:space="0" w:color="FDEBD1" w:themeColor="background2" w:themeTint="33"/>
        <w:right w:val="single" w:sz="4" w:space="0" w:color="FDEBD1" w:themeColor="background2" w:themeTint="33"/>
      </w:tblBorders>
      <w:tblCellMar>
        <w:top w:w="198" w:type="dxa"/>
        <w:left w:w="284" w:type="dxa"/>
        <w:bottom w:w="198" w:type="dxa"/>
        <w:right w:w="284" w:type="dxa"/>
      </w:tblCellMar>
    </w:tblPr>
    <w:tcPr>
      <w:shd w:val="clear" w:color="auto" w:fill="F2F2F2" w:themeFill="background1" w:themeFillShade="F2"/>
    </w:tcPr>
  </w:style>
  <w:style w:type="paragraph" w:customStyle="1" w:styleId="CaptionDescriptive">
    <w:name w:val="Caption Descriptive"/>
    <w:basedOn w:val="Normal"/>
    <w:rsid w:val="00397857"/>
    <w:pPr>
      <w:keepNext/>
      <w:spacing w:before="0" w:after="60" w:line="200" w:lineRule="atLeast"/>
    </w:pPr>
    <w:rPr>
      <w:rFonts w:asciiTheme="minorHAnsi" w:eastAsia="Times New Roman" w:hAnsiTheme="minorHAnsi" w:cs="Times New Roman"/>
      <w:i/>
      <w:sz w:val="16"/>
      <w:szCs w:val="20"/>
    </w:rPr>
  </w:style>
  <w:style w:type="paragraph" w:customStyle="1" w:styleId="AppendixHeading4">
    <w:name w:val="Appendix Heading 4"/>
    <w:basedOn w:val="Normal"/>
    <w:next w:val="BodyText"/>
    <w:uiPriority w:val="4"/>
    <w:rsid w:val="00397857"/>
    <w:pPr>
      <w:keepNext/>
      <w:spacing w:before="240" w:line="288" w:lineRule="auto"/>
      <w:ind w:left="1134" w:hanging="1134"/>
    </w:pPr>
    <w:rPr>
      <w:rFonts w:asciiTheme="majorHAnsi" w:eastAsiaTheme="minorEastAsia" w:hAnsiTheme="majorHAnsi" w:cs="Times New Roman"/>
      <w:color w:val="1C2B39" w:themeColor="text2"/>
      <w:sz w:val="20"/>
      <w:szCs w:val="20"/>
    </w:rPr>
  </w:style>
  <w:style w:type="paragraph" w:customStyle="1" w:styleId="MinorHeadingAllCapsNon-TOC">
    <w:name w:val="Minor Heading All Caps Non-TOC"/>
    <w:basedOn w:val="BodyText"/>
    <w:next w:val="BodyText"/>
    <w:rsid w:val="00397857"/>
    <w:pPr>
      <w:tabs>
        <w:tab w:val="left" w:pos="2268"/>
        <w:tab w:val="left" w:pos="4536"/>
        <w:tab w:val="left" w:pos="6804"/>
        <w:tab w:val="right" w:pos="9638"/>
      </w:tabs>
      <w:spacing w:after="40" w:line="240" w:lineRule="exact"/>
    </w:pPr>
    <w:rPr>
      <w:rFonts w:asciiTheme="majorHAnsi" w:eastAsia="Times New Roman" w:hAnsiTheme="majorHAnsi" w:cs="Times New Roman"/>
      <w:caps/>
      <w:color w:val="1C2B39" w:themeColor="text2"/>
      <w:sz w:val="24"/>
      <w:szCs w:val="20"/>
    </w:rPr>
  </w:style>
  <w:style w:type="character" w:styleId="Emphasis">
    <w:name w:val="Emphasis"/>
    <w:basedOn w:val="DefaultParagraphFont"/>
    <w:uiPriority w:val="20"/>
    <w:rsid w:val="00397857"/>
    <w:rPr>
      <w:b/>
      <w:i w:val="0"/>
      <w:iCs/>
      <w:color w:val="000000" w:themeColor="text1"/>
    </w:rPr>
  </w:style>
  <w:style w:type="paragraph" w:customStyle="1" w:styleId="TOCContinued">
    <w:name w:val="TOC Continued"/>
    <w:basedOn w:val="BodyText"/>
    <w:semiHidden/>
    <w:qFormat/>
    <w:rsid w:val="00397857"/>
    <w:pPr>
      <w:pageBreakBefore/>
      <w:tabs>
        <w:tab w:val="left" w:pos="2268"/>
        <w:tab w:val="left" w:pos="4536"/>
        <w:tab w:val="left" w:pos="6804"/>
        <w:tab w:val="right" w:pos="9638"/>
      </w:tabs>
      <w:spacing w:before="0" w:line="288" w:lineRule="auto"/>
    </w:pPr>
    <w:rPr>
      <w:rFonts w:ascii="Montserrat" w:eastAsia="Times New Roman" w:hAnsi="Montserrat" w:cs="Times New Roman"/>
      <w:color w:val="1C2B39" w:themeColor="text2"/>
      <w:sz w:val="28"/>
      <w:szCs w:val="28"/>
    </w:rPr>
  </w:style>
  <w:style w:type="paragraph" w:customStyle="1" w:styleId="CC1">
    <w:name w:val="CC1"/>
    <w:basedOn w:val="Normal"/>
    <w:next w:val="Normal"/>
    <w:semiHidden/>
    <w:rsid w:val="00397857"/>
    <w:pPr>
      <w:tabs>
        <w:tab w:val="left" w:pos="510"/>
        <w:tab w:val="right" w:pos="9639"/>
      </w:tabs>
      <w:spacing w:before="0" w:after="0" w:line="210" w:lineRule="atLeast"/>
      <w:ind w:left="510" w:hanging="510"/>
    </w:pPr>
    <w:rPr>
      <w:rFonts w:asciiTheme="minorHAnsi" w:eastAsia="Times New Roman" w:hAnsiTheme="minorHAnsi" w:cs="Times New Roman"/>
      <w:sz w:val="18"/>
      <w:szCs w:val="20"/>
    </w:rPr>
  </w:style>
  <w:style w:type="table" w:styleId="ColorfulGrid">
    <w:name w:val="Colorful Grid"/>
    <w:basedOn w:val="TableNormal"/>
    <w:uiPriority w:val="73"/>
    <w:rsid w:val="00397857"/>
    <w:pPr>
      <w:spacing w:after="0" w:line="288" w:lineRule="auto"/>
    </w:pPr>
    <w:rPr>
      <w:rFonts w:ascii="Arial" w:eastAsia="Times New Roman" w:hAnsi="Arial" w:cs="Times New Roman"/>
      <w:sz w:val="18"/>
      <w:szCs w:val="20"/>
      <w:lang w:val="fr-CA"/>
    </w:rPr>
    <w:tblPr>
      <w:tblStyleRowBandSize w:val="1"/>
      <w:tblStyleColBandSize w:val="1"/>
      <w:tblBorders>
        <w:left w:val="dotted" w:sz="6" w:space="0" w:color="15202A" w:themeColor="text2" w:themeShade="BF"/>
        <w:bottom w:val="single" w:sz="6" w:space="0" w:color="F99D1C" w:themeColor="background2"/>
        <w:right w:val="dotted" w:sz="6" w:space="0" w:color="15202A" w:themeColor="text2" w:themeShade="BF"/>
        <w:insideH w:val="single" w:sz="6" w:space="0" w:color="F99D1C" w:themeColor="background2"/>
        <w:insideV w:val="dotted" w:sz="6" w:space="0" w:color="15202A" w:themeColor="text2" w:themeShade="BF"/>
      </w:tblBorders>
    </w:tblPr>
    <w:tcPr>
      <w:shd w:val="clear" w:color="auto" w:fill="auto"/>
    </w:tcPr>
    <w:tblStylePr w:type="firstRow">
      <w:rPr>
        <w:b/>
        <w:bCs/>
        <w:caps w:val="0"/>
        <w:smallCaps/>
      </w:rPr>
      <w:tblPr/>
      <w:tcPr>
        <w:tcBorders>
          <w:top w:val="nil"/>
          <w:left w:val="nil"/>
          <w:bottom w:val="single" w:sz="18" w:space="0" w:color="000000" w:themeColor="text1"/>
          <w:right w:val="nil"/>
          <w:insideH w:val="single" w:sz="18" w:space="0" w:color="000000" w:themeColor="text1"/>
          <w:insideV w:val="nil"/>
          <w:tl2br w:val="nil"/>
          <w:tr2bl w:val="nil"/>
        </w:tcBorders>
        <w:shd w:val="clear" w:color="auto" w:fill="auto"/>
      </w:tcPr>
    </w:tblStylePr>
    <w:tblStylePr w:type="lastRow">
      <w:rPr>
        <w:b w:val="0"/>
        <w:bCs/>
        <w:color w:val="auto"/>
      </w:rPr>
    </w:tblStylePr>
    <w:tblStylePr w:type="firstCol">
      <w:rPr>
        <w:color w:val="auto"/>
      </w:rPr>
      <w:tblPr/>
      <w:tcPr>
        <w:shd w:val="clear" w:color="auto" w:fill="5480AB" w:themeFill="text2" w:themeFillTint="99"/>
      </w:tcPr>
    </w:tblStylePr>
    <w:tblStylePr w:type="lastCol">
      <w:rPr>
        <w:color w:val="auto"/>
      </w:rPr>
    </w:tblStylePr>
    <w:tblStylePr w:type="band1Vert">
      <w:tblPr/>
      <w:tcPr>
        <w:tcBorders>
          <w:left w:val="nil"/>
          <w:right w:val="nil"/>
          <w:insideV w:val="nil"/>
        </w:tcBorders>
        <w:shd w:val="clear" w:color="auto" w:fill="auto"/>
      </w:tcPr>
    </w:tblStylePr>
    <w:tblStylePr w:type="band2Vert">
      <w:tblPr/>
      <w:tcPr>
        <w:shd w:val="clear" w:color="auto" w:fill="C6D4E3" w:themeFill="text2" w:themeFillTint="33"/>
      </w:tcPr>
    </w:tblStylePr>
  </w:style>
  <w:style w:type="character" w:styleId="EndnoteReference">
    <w:name w:val="endnote reference"/>
    <w:basedOn w:val="DefaultParagraphFont"/>
    <w:semiHidden/>
    <w:rsid w:val="00397857"/>
    <w:rPr>
      <w:vertAlign w:val="superscript"/>
    </w:rPr>
  </w:style>
  <w:style w:type="paragraph" w:customStyle="1" w:styleId="ExecSumHeading2">
    <w:name w:val="Exec Sum Heading 2"/>
    <w:basedOn w:val="Normal"/>
    <w:next w:val="BodyText"/>
    <w:rsid w:val="00397857"/>
    <w:pPr>
      <w:keepNext/>
      <w:pBdr>
        <w:top w:val="single" w:sz="4" w:space="9" w:color="1C2B39" w:themeColor="text2"/>
      </w:pBdr>
      <w:tabs>
        <w:tab w:val="right" w:pos="9639"/>
      </w:tabs>
      <w:spacing w:before="200" w:line="288" w:lineRule="auto"/>
      <w:outlineLvl w:val="7"/>
    </w:pPr>
    <w:rPr>
      <w:rFonts w:asciiTheme="majorHAnsi" w:eastAsia="Times New Roman" w:hAnsiTheme="majorHAnsi" w:cs="Arial"/>
      <w:color w:val="1C2B39" w:themeColor="text2"/>
      <w:sz w:val="32"/>
      <w:szCs w:val="20"/>
    </w:rPr>
  </w:style>
  <w:style w:type="paragraph" w:customStyle="1" w:styleId="ExecSumHeading3">
    <w:name w:val="Exec Sum Heading 3"/>
    <w:basedOn w:val="ExecSumHeading2"/>
    <w:next w:val="BodyText"/>
    <w:rsid w:val="00397857"/>
    <w:pPr>
      <w:outlineLvl w:val="8"/>
    </w:pPr>
    <w:rPr>
      <w:i/>
      <w:sz w:val="24"/>
    </w:rPr>
  </w:style>
  <w:style w:type="character" w:styleId="FootnoteReference">
    <w:name w:val="footnote reference"/>
    <w:basedOn w:val="DefaultParagraphFont"/>
    <w:semiHidden/>
    <w:unhideWhenUsed/>
    <w:rsid w:val="00397857"/>
    <w:rPr>
      <w:vertAlign w:val="superscript"/>
    </w:rPr>
  </w:style>
  <w:style w:type="table" w:styleId="GridTable7Colorful-Accent2">
    <w:name w:val="Grid Table 7 Colorful Accent 2"/>
    <w:basedOn w:val="TableNormal"/>
    <w:uiPriority w:val="52"/>
    <w:rsid w:val="00397857"/>
    <w:pPr>
      <w:spacing w:after="0" w:line="240" w:lineRule="auto"/>
    </w:pPr>
    <w:rPr>
      <w:rFonts w:eastAsia="Times New Roman" w:cs="Times New Roman"/>
      <w:color w:val="C59700" w:themeColor="accent2" w:themeShade="BF"/>
      <w:sz w:val="20"/>
      <w:szCs w:val="20"/>
      <w:lang w:val="fr-CA"/>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bottom w:val="single" w:sz="4" w:space="0" w:color="FFDC6B" w:themeColor="accent2" w:themeTint="99"/>
        </w:tcBorders>
      </w:tcPr>
    </w:tblStylePr>
    <w:tblStylePr w:type="nwCell">
      <w:tblPr/>
      <w:tcPr>
        <w:tcBorders>
          <w:bottom w:val="single" w:sz="4" w:space="0" w:color="FFDC6B" w:themeColor="accent2" w:themeTint="99"/>
        </w:tcBorders>
      </w:tcPr>
    </w:tblStylePr>
    <w:tblStylePr w:type="seCell">
      <w:tblPr/>
      <w:tcPr>
        <w:tcBorders>
          <w:top w:val="single" w:sz="4" w:space="0" w:color="FFDC6B" w:themeColor="accent2" w:themeTint="99"/>
        </w:tcBorders>
      </w:tcPr>
    </w:tblStylePr>
    <w:tblStylePr w:type="swCell">
      <w:tblPr/>
      <w:tcPr>
        <w:tcBorders>
          <w:top w:val="single" w:sz="4" w:space="0" w:color="FFDC6B" w:themeColor="accent2" w:themeTint="99"/>
        </w:tcBorders>
      </w:tcPr>
    </w:tblStylePr>
  </w:style>
  <w:style w:type="paragraph" w:customStyle="1" w:styleId="Heading1NoNumberNoTOC">
    <w:name w:val="Heading 1 No Number No TOC"/>
    <w:basedOn w:val="Heading1NoNumber"/>
    <w:semiHidden/>
    <w:qFormat/>
    <w:rsid w:val="00397857"/>
    <w:pPr>
      <w:spacing w:before="0" w:line="288" w:lineRule="auto"/>
      <w:outlineLvl w:val="9"/>
    </w:pPr>
    <w:rPr>
      <w:rFonts w:asciiTheme="majorHAnsi" w:hAnsiTheme="majorHAnsi"/>
      <w:bCs/>
      <w:color w:val="1C2B39" w:themeColor="text2"/>
      <w:sz w:val="28"/>
    </w:rPr>
  </w:style>
  <w:style w:type="table" w:styleId="LightGrid">
    <w:name w:val="Light Grid"/>
    <w:basedOn w:val="TableNormal"/>
    <w:uiPriority w:val="62"/>
    <w:rsid w:val="00397857"/>
    <w:pPr>
      <w:spacing w:after="0" w:line="288" w:lineRule="auto"/>
    </w:pPr>
    <w:rPr>
      <w:rFonts w:eastAsia="Times New Roman" w:cs="Times New Roman"/>
      <w:sz w:val="20"/>
      <w:szCs w:val="20"/>
      <w:lang w:val="fr-CA"/>
    </w:rPr>
    <w:tblPr>
      <w:tblStyleRowBandSize w:val="1"/>
      <w:tblStyleColBandSize w:val="1"/>
      <w:tblBorders>
        <w:bottom w:val="single" w:sz="6" w:space="0" w:color="F99D1C" w:themeColor="background2"/>
        <w:insideH w:val="single" w:sz="6" w:space="0" w:color="F99D1C" w:themeColor="background2"/>
      </w:tblBorders>
    </w:tblPr>
    <w:tblStylePr w:type="firstRow">
      <w:pPr>
        <w:spacing w:before="0" w:after="0" w:line="240" w:lineRule="auto"/>
      </w:pPr>
      <w:rPr>
        <w:rFonts w:asciiTheme="majorHAnsi" w:eastAsiaTheme="majorEastAsia" w:hAnsiTheme="majorHAnsi" w:cstheme="majorBidi"/>
        <w:b/>
        <w:bCs/>
      </w:rPr>
      <w:tblPr/>
      <w:tcPr>
        <w:tcBorders>
          <w:top w:val="nil"/>
          <w:left w:val="nil"/>
          <w:bottom w:val="single" w:sz="24" w:space="0" w:color="000000" w:themeColor="text1"/>
          <w:right w:val="nil"/>
          <w:insideH w:val="nil"/>
          <w:insideV w:val="nil"/>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F99D1C" w:themeColor="background2"/>
          <w:bottom w:val="single" w:sz="6" w:space="0" w:color="F99D1C" w:themeColor="background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6" w:space="0" w:color="F99D1C" w:themeColor="background2"/>
          <w:left w:val="nil"/>
          <w:bottom w:val="single" w:sz="6" w:space="0" w:color="F99D1C" w:themeColor="background2"/>
          <w:right w:val="nil"/>
          <w:insideH w:val="single" w:sz="6" w:space="0" w:color="F99D1C" w:themeColor="background2"/>
          <w:insideV w:val="nil"/>
          <w:tl2br w:val="nil"/>
          <w:tr2bl w:val="nil"/>
        </w:tcBorders>
      </w:tcPr>
    </w:tblStylePr>
    <w:tblStylePr w:type="band1Vert">
      <w:tblPr/>
      <w:tcPr>
        <w:shd w:val="clear" w:color="auto" w:fill="C6D4E3" w:themeFill="text2" w:themeFillTint="33"/>
      </w:tcPr>
    </w:tblStylePr>
    <w:tblStylePr w:type="band1Horz">
      <w:tblPr/>
      <w:tcPr>
        <w:tcBorders>
          <w:top w:val="single" w:sz="6" w:space="0" w:color="F99D1C" w:themeColor="background2"/>
          <w:bottom w:val="nil"/>
          <w:insideH w:val="nil"/>
        </w:tcBorders>
      </w:tcPr>
    </w:tblStylePr>
    <w:tblStylePr w:type="band2Horz">
      <w:tblPr/>
      <w:tcPr>
        <w:tcBorders>
          <w:top w:val="single" w:sz="6" w:space="0" w:color="F99D1C" w:themeColor="background2"/>
          <w:left w:val="nil"/>
          <w:bottom w:val="single" w:sz="6" w:space="0" w:color="F99D1C" w:themeColor="background2"/>
          <w:right w:val="nil"/>
          <w:insideV w:val="nil"/>
        </w:tcBorders>
      </w:tcPr>
    </w:tblStylePr>
  </w:style>
  <w:style w:type="table" w:styleId="LightShading-Accent1">
    <w:name w:val="Light Shading Accent 1"/>
    <w:basedOn w:val="TableNormal"/>
    <w:uiPriority w:val="60"/>
    <w:rsid w:val="00397857"/>
    <w:pPr>
      <w:spacing w:after="0" w:line="288" w:lineRule="auto"/>
    </w:pPr>
    <w:rPr>
      <w:rFonts w:eastAsia="Times New Roman" w:cs="Times New Roman"/>
      <w:color w:val="A0A39E" w:themeColor="accent1" w:themeShade="BF"/>
      <w:sz w:val="20"/>
      <w:szCs w:val="20"/>
      <w:lang w:val="fr-CA"/>
    </w:rPr>
    <w:tblPr>
      <w:tblStyleRowBandSize w:val="1"/>
      <w:tblStyleColBandSize w:val="1"/>
      <w:tblBorders>
        <w:top w:val="single" w:sz="8" w:space="0" w:color="D7D8D6" w:themeColor="accent1"/>
        <w:bottom w:val="single" w:sz="8" w:space="0" w:color="D7D8D6" w:themeColor="accent1"/>
      </w:tblBorders>
    </w:tblPr>
    <w:tblStylePr w:type="firstRow">
      <w:pPr>
        <w:spacing w:before="0" w:after="0" w:line="240" w:lineRule="auto"/>
      </w:pPr>
      <w:rPr>
        <w:b/>
        <w:bCs/>
      </w:rPr>
      <w:tblPr/>
      <w:tcPr>
        <w:tcBorders>
          <w:top w:val="single" w:sz="8" w:space="0" w:color="D7D8D6" w:themeColor="accent1"/>
          <w:left w:val="nil"/>
          <w:bottom w:val="single" w:sz="8" w:space="0" w:color="D7D8D6" w:themeColor="accent1"/>
          <w:right w:val="nil"/>
          <w:insideH w:val="nil"/>
          <w:insideV w:val="nil"/>
        </w:tcBorders>
      </w:tcPr>
    </w:tblStylePr>
    <w:tblStylePr w:type="lastRow">
      <w:pPr>
        <w:spacing w:before="0" w:after="0" w:line="240" w:lineRule="auto"/>
      </w:pPr>
      <w:rPr>
        <w:b/>
        <w:bCs/>
      </w:rPr>
      <w:tblPr/>
      <w:tcPr>
        <w:tcBorders>
          <w:top w:val="single" w:sz="8" w:space="0" w:color="D7D8D6" w:themeColor="accent1"/>
          <w:left w:val="nil"/>
          <w:bottom w:val="single" w:sz="8" w:space="0" w:color="D7D8D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4" w:themeFill="accent1" w:themeFillTint="3F"/>
      </w:tcPr>
    </w:tblStylePr>
    <w:tblStylePr w:type="band1Horz">
      <w:tblPr/>
      <w:tcPr>
        <w:tcBorders>
          <w:left w:val="nil"/>
          <w:right w:val="nil"/>
          <w:insideH w:val="nil"/>
          <w:insideV w:val="nil"/>
        </w:tcBorders>
        <w:shd w:val="clear" w:color="auto" w:fill="F4F5F4" w:themeFill="accent1" w:themeFillTint="3F"/>
      </w:tcPr>
    </w:tblStylePr>
  </w:style>
  <w:style w:type="table" w:styleId="MediumShading2">
    <w:name w:val="Medium Shading 2"/>
    <w:basedOn w:val="TableNormal"/>
    <w:uiPriority w:val="64"/>
    <w:rsid w:val="00397857"/>
    <w:pPr>
      <w:spacing w:after="0" w:line="288" w:lineRule="auto"/>
    </w:pPr>
    <w:rPr>
      <w:rFonts w:eastAsia="Times New Roman" w:cs="Times New Roman"/>
      <w:sz w:val="20"/>
      <w:szCs w:val="20"/>
      <w:lang w:val="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inorSubheadingAllCapsNon-TOC">
    <w:name w:val="Minor Subheading All Caps Non-TOC"/>
    <w:basedOn w:val="MinorHeadingAllCapsNon-TOC"/>
    <w:rsid w:val="00397857"/>
    <w:pPr>
      <w:spacing w:line="200" w:lineRule="exact"/>
    </w:pPr>
    <w:rPr>
      <w:sz w:val="18"/>
      <w:lang w:eastAsia="en-AU"/>
    </w:rPr>
  </w:style>
  <w:style w:type="paragraph" w:customStyle="1" w:styleId="MinorSubheadingNon-TOC">
    <w:name w:val="Minor Subheading Non-TOC"/>
    <w:basedOn w:val="MinorSubheadingAllCapsNon-TOC"/>
    <w:uiPriority w:val="99"/>
    <w:rsid w:val="00397857"/>
    <w:rPr>
      <w:caps w:val="0"/>
    </w:rPr>
  </w:style>
  <w:style w:type="character" w:customStyle="1" w:styleId="SoftEmphasis">
    <w:name w:val="Soft Emphasis"/>
    <w:qFormat/>
    <w:rsid w:val="00397857"/>
    <w:rPr>
      <w:rFonts w:asciiTheme="majorHAnsi" w:hAnsiTheme="majorHAnsi"/>
      <w:i/>
      <w:caps/>
      <w:smallCaps w:val="0"/>
      <w:color w:val="1C2B39" w:themeColor="text2"/>
      <w:lang w:eastAsia="en-AU"/>
    </w:rPr>
  </w:style>
  <w:style w:type="character" w:styleId="SubtleEmphasis">
    <w:name w:val="Subtle Emphasis"/>
    <w:basedOn w:val="DefaultParagraphFont"/>
    <w:uiPriority w:val="19"/>
    <w:rsid w:val="00397857"/>
    <w:rPr>
      <w:rFonts w:asciiTheme="majorHAnsi" w:hAnsiTheme="majorHAnsi"/>
      <w:i/>
      <w:iCs/>
      <w:caps/>
      <w:smallCaps w:val="0"/>
      <w:color w:val="1C2B39" w:themeColor="text2"/>
    </w:rPr>
  </w:style>
  <w:style w:type="paragraph" w:customStyle="1" w:styleId="TableBullet4">
    <w:name w:val="Table Bullet 4"/>
    <w:basedOn w:val="TableText"/>
    <w:rsid w:val="00397857"/>
    <w:pPr>
      <w:spacing w:before="90" w:after="40" w:line="288" w:lineRule="auto"/>
    </w:pPr>
    <w:rPr>
      <w:rFonts w:asciiTheme="minorHAnsi" w:hAnsiTheme="minorHAnsi"/>
      <w:color w:val="auto"/>
      <w:sz w:val="20"/>
    </w:rPr>
  </w:style>
  <w:style w:type="paragraph" w:customStyle="1" w:styleId="TableBullet5">
    <w:name w:val="Table Bullet 5"/>
    <w:basedOn w:val="TableText"/>
    <w:rsid w:val="00397857"/>
    <w:pPr>
      <w:spacing w:before="90" w:after="40" w:line="288" w:lineRule="auto"/>
    </w:pPr>
    <w:rPr>
      <w:rFonts w:asciiTheme="minorHAnsi" w:hAnsiTheme="minorHAnsi"/>
      <w:color w:val="auto"/>
      <w:sz w:val="20"/>
    </w:rPr>
  </w:style>
  <w:style w:type="paragraph" w:customStyle="1" w:styleId="TableFootnotes">
    <w:name w:val="Table Footnotes"/>
    <w:basedOn w:val="Normal"/>
    <w:rsid w:val="00397857"/>
    <w:pPr>
      <w:keepLines/>
      <w:numPr>
        <w:ilvl w:val="1"/>
        <w:numId w:val="12"/>
      </w:numPr>
      <w:tabs>
        <w:tab w:val="right" w:pos="9639"/>
      </w:tabs>
      <w:spacing w:before="60" w:after="60" w:line="288" w:lineRule="auto"/>
    </w:pPr>
    <w:rPr>
      <w:rFonts w:asciiTheme="minorHAnsi" w:eastAsia="Times New Roman" w:hAnsiTheme="minorHAnsi" w:cs="Times New Roman"/>
      <w:sz w:val="18"/>
      <w:szCs w:val="20"/>
    </w:rPr>
  </w:style>
  <w:style w:type="paragraph" w:customStyle="1" w:styleId="TableListNumber1">
    <w:name w:val="Table List Number 1"/>
    <w:basedOn w:val="TableText"/>
    <w:qFormat/>
    <w:rsid w:val="00397857"/>
    <w:pPr>
      <w:spacing w:before="90" w:after="40" w:line="288" w:lineRule="auto"/>
    </w:pPr>
    <w:rPr>
      <w:rFonts w:asciiTheme="minorHAnsi" w:hAnsiTheme="minorHAnsi"/>
      <w:color w:val="auto"/>
      <w:sz w:val="20"/>
    </w:rPr>
  </w:style>
  <w:style w:type="paragraph" w:customStyle="1" w:styleId="TableListNumber4">
    <w:name w:val="Table List Number 4"/>
    <w:basedOn w:val="TableListNumber3"/>
    <w:qFormat/>
    <w:rsid w:val="00397857"/>
    <w:pPr>
      <w:numPr>
        <w:ilvl w:val="0"/>
        <w:numId w:val="0"/>
      </w:numPr>
      <w:spacing w:before="90" w:after="40" w:line="288" w:lineRule="auto"/>
      <w:ind w:left="1071" w:hanging="357"/>
    </w:pPr>
    <w:rPr>
      <w:rFonts w:asciiTheme="minorHAnsi" w:eastAsia="Times New Roman" w:hAnsiTheme="minorHAnsi" w:cs="Arial"/>
      <w:bCs w:val="0"/>
      <w:color w:val="auto"/>
      <w:sz w:val="20"/>
      <w:lang w:eastAsia="en-AU"/>
    </w:rPr>
  </w:style>
  <w:style w:type="paragraph" w:customStyle="1" w:styleId="TableListNumber5">
    <w:name w:val="Table List Number 5"/>
    <w:basedOn w:val="TableListNumber4"/>
    <w:qFormat/>
    <w:rsid w:val="00397857"/>
  </w:style>
  <w:style w:type="paragraph" w:customStyle="1" w:styleId="TableTextBold">
    <w:name w:val="Table Text Bold"/>
    <w:basedOn w:val="TableText"/>
    <w:rsid w:val="00397857"/>
    <w:pPr>
      <w:spacing w:before="90" w:after="40" w:line="288" w:lineRule="auto"/>
    </w:pPr>
    <w:rPr>
      <w:rFonts w:asciiTheme="minorHAnsi" w:hAnsiTheme="minorHAnsi"/>
      <w:color w:val="auto"/>
      <w:sz w:val="20"/>
    </w:rPr>
  </w:style>
  <w:style w:type="paragraph" w:customStyle="1" w:styleId="TOFHeading">
    <w:name w:val="TOF Heading"/>
    <w:basedOn w:val="Heading9"/>
    <w:rsid w:val="00397857"/>
    <w:pPr>
      <w:spacing w:before="240" w:after="60" w:line="288" w:lineRule="auto"/>
      <w:ind w:right="924"/>
      <w:outlineLvl w:val="3"/>
    </w:pPr>
    <w:rPr>
      <w:rFonts w:eastAsia="Times New Roman" w:cs="Times New Roman"/>
      <w:b/>
      <w:i w:val="0"/>
      <w:iCs w:val="0"/>
      <w:color w:val="000000" w:themeColor="text1"/>
      <w:sz w:val="24"/>
      <w:szCs w:val="40"/>
      <w:lang w:eastAsia="fr-CA"/>
    </w:rPr>
  </w:style>
  <w:style w:type="paragraph" w:customStyle="1" w:styleId="CaptionDescriptiveRight">
    <w:name w:val="Caption Descriptive Right"/>
    <w:basedOn w:val="CaptionDescriptive"/>
    <w:rsid w:val="00397857"/>
    <w:pPr>
      <w:keepNext w:val="0"/>
      <w:jc w:val="right"/>
    </w:pPr>
  </w:style>
  <w:style w:type="numbering" w:styleId="111111">
    <w:name w:val="Outline List 2"/>
    <w:basedOn w:val="NoList"/>
    <w:semiHidden/>
    <w:unhideWhenUsed/>
    <w:rsid w:val="00397857"/>
    <w:pPr>
      <w:numPr>
        <w:numId w:val="16"/>
      </w:numPr>
    </w:pPr>
  </w:style>
  <w:style w:type="numbering" w:styleId="1ai">
    <w:name w:val="Outline List 1"/>
    <w:basedOn w:val="NoList"/>
    <w:semiHidden/>
    <w:unhideWhenUsed/>
    <w:rsid w:val="00397857"/>
    <w:pPr>
      <w:numPr>
        <w:numId w:val="17"/>
      </w:numPr>
    </w:pPr>
  </w:style>
  <w:style w:type="numbering" w:styleId="ArticleSection">
    <w:name w:val="Outline List 3"/>
    <w:basedOn w:val="NoList"/>
    <w:semiHidden/>
    <w:unhideWhenUsed/>
    <w:rsid w:val="00397857"/>
    <w:pPr>
      <w:numPr>
        <w:numId w:val="18"/>
      </w:numPr>
    </w:pPr>
  </w:style>
  <w:style w:type="character" w:styleId="BookTitle">
    <w:name w:val="Book Title"/>
    <w:basedOn w:val="DefaultParagraphFont"/>
    <w:uiPriority w:val="33"/>
    <w:rsid w:val="00397857"/>
    <w:rPr>
      <w:b/>
      <w:bCs/>
      <w:i/>
      <w:iCs/>
      <w:spacing w:val="5"/>
    </w:rPr>
  </w:style>
  <w:style w:type="table" w:styleId="ColorfulGrid-Accent1">
    <w:name w:val="Colorful Grid Accent 1"/>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6F7F6" w:themeFill="accent1" w:themeFillTint="33"/>
    </w:tcPr>
    <w:tblStylePr w:type="firstRow">
      <w:rPr>
        <w:b/>
        <w:bCs/>
      </w:rPr>
      <w:tblPr/>
      <w:tcPr>
        <w:shd w:val="clear" w:color="auto" w:fill="EEEFEE" w:themeFill="accent1" w:themeFillTint="66"/>
      </w:tcPr>
    </w:tblStylePr>
    <w:tblStylePr w:type="lastRow">
      <w:rPr>
        <w:b/>
        <w:bCs/>
        <w:color w:val="000000" w:themeColor="text1"/>
      </w:rPr>
      <w:tblPr/>
      <w:tcPr>
        <w:shd w:val="clear" w:color="auto" w:fill="EEEFEE" w:themeFill="accent1" w:themeFillTint="66"/>
      </w:tcPr>
    </w:tblStylePr>
    <w:tblStylePr w:type="firstCol">
      <w:rPr>
        <w:color w:val="FFFFFF" w:themeColor="background1"/>
      </w:rPr>
      <w:tblPr/>
      <w:tcPr>
        <w:shd w:val="clear" w:color="auto" w:fill="A0A39E" w:themeFill="accent1" w:themeFillShade="BF"/>
      </w:tcPr>
    </w:tblStylePr>
    <w:tblStylePr w:type="lastCol">
      <w:rPr>
        <w:color w:val="FFFFFF" w:themeColor="background1"/>
      </w:rPr>
      <w:tblPr/>
      <w:tcPr>
        <w:shd w:val="clear" w:color="auto" w:fill="A0A39E" w:themeFill="accent1" w:themeFillShade="BF"/>
      </w:tcPr>
    </w:tblStylePr>
    <w:tblStylePr w:type="band1Vert">
      <w:tblPr/>
      <w:tcPr>
        <w:shd w:val="clear" w:color="auto" w:fill="EAEBEA" w:themeFill="accent1" w:themeFillTint="7F"/>
      </w:tcPr>
    </w:tblStylePr>
    <w:tblStylePr w:type="band1Horz">
      <w:tblPr/>
      <w:tcPr>
        <w:shd w:val="clear" w:color="auto" w:fill="EAEBEA" w:themeFill="accent1" w:themeFillTint="7F"/>
      </w:tcPr>
    </w:tblStylePr>
  </w:style>
  <w:style w:type="table" w:styleId="ColorfulGrid-Accent2">
    <w:name w:val="Colorful Grid Accent 2"/>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3CD" w:themeFill="accent2" w:themeFillTint="33"/>
    </w:tcPr>
    <w:tblStylePr w:type="firstRow">
      <w:rPr>
        <w:b/>
        <w:bCs/>
      </w:rPr>
      <w:tblPr/>
      <w:tcPr>
        <w:shd w:val="clear" w:color="auto" w:fill="FFE89C" w:themeFill="accent2" w:themeFillTint="66"/>
      </w:tcPr>
    </w:tblStylePr>
    <w:tblStylePr w:type="lastRow">
      <w:rPr>
        <w:b/>
        <w:bCs/>
        <w:color w:val="000000" w:themeColor="text1"/>
      </w:rPr>
      <w:tblPr/>
      <w:tcPr>
        <w:shd w:val="clear" w:color="auto" w:fill="FFE89C" w:themeFill="accent2" w:themeFillTint="66"/>
      </w:tcPr>
    </w:tblStylePr>
    <w:tblStylePr w:type="firstCol">
      <w:rPr>
        <w:color w:val="FFFFFF" w:themeColor="background1"/>
      </w:rPr>
      <w:tblPr/>
      <w:tcPr>
        <w:shd w:val="clear" w:color="auto" w:fill="C59700" w:themeFill="accent2" w:themeFillShade="BF"/>
      </w:tcPr>
    </w:tblStylePr>
    <w:tblStylePr w:type="lastCol">
      <w:rPr>
        <w:color w:val="FFFFFF" w:themeColor="background1"/>
      </w:rPr>
      <w:tblPr/>
      <w:tcPr>
        <w:shd w:val="clear" w:color="auto" w:fill="C59700" w:themeFill="accent2" w:themeFillShade="BF"/>
      </w:tcPr>
    </w:tblStylePr>
    <w:tblStylePr w:type="band1Vert">
      <w:tblPr/>
      <w:tcPr>
        <w:shd w:val="clear" w:color="auto" w:fill="FFE284" w:themeFill="accent2" w:themeFillTint="7F"/>
      </w:tcPr>
    </w:tblStylePr>
    <w:tblStylePr w:type="band1Horz">
      <w:tblPr/>
      <w:tcPr>
        <w:shd w:val="clear" w:color="auto" w:fill="FFE284" w:themeFill="accent2" w:themeFillTint="7F"/>
      </w:tcPr>
    </w:tblStylePr>
  </w:style>
  <w:style w:type="table" w:styleId="ColorfulGrid-Accent3">
    <w:name w:val="Colorful Grid Accent 3"/>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9CBD6" w:themeFill="accent3" w:themeFillTint="33"/>
    </w:tcPr>
    <w:tblStylePr w:type="firstRow">
      <w:rPr>
        <w:b/>
        <w:bCs/>
      </w:rPr>
      <w:tblPr/>
      <w:tcPr>
        <w:shd w:val="clear" w:color="auto" w:fill="F498AD" w:themeFill="accent3" w:themeFillTint="66"/>
      </w:tcPr>
    </w:tblStylePr>
    <w:tblStylePr w:type="lastRow">
      <w:rPr>
        <w:b/>
        <w:bCs/>
        <w:color w:val="000000" w:themeColor="text1"/>
      </w:rPr>
      <w:tblPr/>
      <w:tcPr>
        <w:shd w:val="clear" w:color="auto" w:fill="F498AD" w:themeFill="accent3" w:themeFillTint="66"/>
      </w:tcPr>
    </w:tblStylePr>
    <w:tblStylePr w:type="firstCol">
      <w:rPr>
        <w:color w:val="FFFFFF" w:themeColor="background1"/>
      </w:rPr>
      <w:tblPr/>
      <w:tcPr>
        <w:shd w:val="clear" w:color="auto" w:fill="99102F" w:themeFill="accent3" w:themeFillShade="BF"/>
      </w:tcPr>
    </w:tblStylePr>
    <w:tblStylePr w:type="lastCol">
      <w:rPr>
        <w:color w:val="FFFFFF" w:themeColor="background1"/>
      </w:rPr>
      <w:tblPr/>
      <w:tcPr>
        <w:shd w:val="clear" w:color="auto" w:fill="99102F" w:themeFill="accent3" w:themeFillShade="BF"/>
      </w:tcPr>
    </w:tblStylePr>
    <w:tblStylePr w:type="band1Vert">
      <w:tblPr/>
      <w:tcPr>
        <w:shd w:val="clear" w:color="auto" w:fill="F17F99" w:themeFill="accent3" w:themeFillTint="7F"/>
      </w:tcPr>
    </w:tblStylePr>
    <w:tblStylePr w:type="band1Horz">
      <w:tblPr/>
      <w:tcPr>
        <w:shd w:val="clear" w:color="auto" w:fill="F17F99" w:themeFill="accent3" w:themeFillTint="7F"/>
      </w:tcPr>
    </w:tblStylePr>
  </w:style>
  <w:style w:type="table" w:styleId="ColorfulGrid-Accent4">
    <w:name w:val="Colorful Grid Accent 4"/>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4CAF0" w:themeFill="accent4" w:themeFillTint="33"/>
    </w:tcPr>
    <w:tblStylePr w:type="firstRow">
      <w:rPr>
        <w:b/>
        <w:bCs/>
      </w:rPr>
      <w:tblPr/>
      <w:tcPr>
        <w:shd w:val="clear" w:color="auto" w:fill="CA95E1" w:themeFill="accent4" w:themeFillTint="66"/>
      </w:tcPr>
    </w:tblStylePr>
    <w:tblStylePr w:type="lastRow">
      <w:rPr>
        <w:b/>
        <w:bCs/>
        <w:color w:val="000000" w:themeColor="text1"/>
      </w:rPr>
      <w:tblPr/>
      <w:tcPr>
        <w:shd w:val="clear" w:color="auto" w:fill="CA95E1" w:themeFill="accent4" w:themeFillTint="66"/>
      </w:tcPr>
    </w:tblStylePr>
    <w:tblStylePr w:type="firstCol">
      <w:rPr>
        <w:color w:val="FFFFFF" w:themeColor="background1"/>
      </w:rPr>
      <w:tblPr/>
      <w:tcPr>
        <w:shd w:val="clear" w:color="auto" w:fill="4E1C64" w:themeFill="accent4" w:themeFillShade="BF"/>
      </w:tcPr>
    </w:tblStylePr>
    <w:tblStylePr w:type="lastCol">
      <w:rPr>
        <w:color w:val="FFFFFF" w:themeColor="background1"/>
      </w:rPr>
      <w:tblPr/>
      <w:tcPr>
        <w:shd w:val="clear" w:color="auto" w:fill="4E1C64" w:themeFill="accent4" w:themeFillShade="BF"/>
      </w:tcPr>
    </w:tblStylePr>
    <w:tblStylePr w:type="band1Vert">
      <w:tblPr/>
      <w:tcPr>
        <w:shd w:val="clear" w:color="auto" w:fill="BC7BD9" w:themeFill="accent4" w:themeFillTint="7F"/>
      </w:tcPr>
    </w:tblStylePr>
    <w:tblStylePr w:type="band1Horz">
      <w:tblPr/>
      <w:tcPr>
        <w:shd w:val="clear" w:color="auto" w:fill="BC7BD9" w:themeFill="accent4" w:themeFillTint="7F"/>
      </w:tcPr>
    </w:tblStylePr>
  </w:style>
  <w:style w:type="table" w:styleId="ColorfulGrid-Accent5">
    <w:name w:val="Colorful Grid Accent 5"/>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BF5D8" w:themeFill="accent5" w:themeFillTint="33"/>
    </w:tcPr>
    <w:tblStylePr w:type="firstRow">
      <w:rPr>
        <w:b/>
        <w:bCs/>
      </w:rPr>
      <w:tblPr/>
      <w:tcPr>
        <w:shd w:val="clear" w:color="auto" w:fill="97EBB2" w:themeFill="accent5" w:themeFillTint="66"/>
      </w:tcPr>
    </w:tblStylePr>
    <w:tblStylePr w:type="lastRow">
      <w:rPr>
        <w:b/>
        <w:bCs/>
        <w:color w:val="000000" w:themeColor="text1"/>
      </w:rPr>
      <w:tblPr/>
      <w:tcPr>
        <w:shd w:val="clear" w:color="auto" w:fill="97EBB2" w:themeFill="accent5" w:themeFillTint="66"/>
      </w:tcPr>
    </w:tblStylePr>
    <w:tblStylePr w:type="firstCol">
      <w:rPr>
        <w:color w:val="FFFFFF" w:themeColor="background1"/>
      </w:rPr>
      <w:tblPr/>
      <w:tcPr>
        <w:shd w:val="clear" w:color="auto" w:fill="187F39" w:themeFill="accent5" w:themeFillShade="BF"/>
      </w:tcPr>
    </w:tblStylePr>
    <w:tblStylePr w:type="lastCol">
      <w:rPr>
        <w:color w:val="FFFFFF" w:themeColor="background1"/>
      </w:rPr>
      <w:tblPr/>
      <w:tcPr>
        <w:shd w:val="clear" w:color="auto" w:fill="187F39" w:themeFill="accent5" w:themeFillShade="BF"/>
      </w:tcPr>
    </w:tblStylePr>
    <w:tblStylePr w:type="band1Vert">
      <w:tblPr/>
      <w:tcPr>
        <w:shd w:val="clear" w:color="auto" w:fill="7DE69F" w:themeFill="accent5" w:themeFillTint="7F"/>
      </w:tcPr>
    </w:tblStylePr>
    <w:tblStylePr w:type="band1Horz">
      <w:tblPr/>
      <w:tcPr>
        <w:shd w:val="clear" w:color="auto" w:fill="7DE69F" w:themeFill="accent5" w:themeFillTint="7F"/>
      </w:tcPr>
    </w:tblStylePr>
  </w:style>
  <w:style w:type="table" w:styleId="ColorfulGrid-Accent6">
    <w:name w:val="Colorful Grid Accent 6"/>
    <w:basedOn w:val="TableNormal"/>
    <w:uiPriority w:val="73"/>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BDEAFF" w:themeFill="accent6" w:themeFillTint="33"/>
    </w:tcPr>
    <w:tblStylePr w:type="firstRow">
      <w:rPr>
        <w:b/>
        <w:bCs/>
      </w:rPr>
      <w:tblPr/>
      <w:tcPr>
        <w:shd w:val="clear" w:color="auto" w:fill="7BD5FF" w:themeFill="accent6" w:themeFillTint="66"/>
      </w:tcPr>
    </w:tblStylePr>
    <w:tblStylePr w:type="lastRow">
      <w:rPr>
        <w:b/>
        <w:bCs/>
        <w:color w:val="000000" w:themeColor="text1"/>
      </w:rPr>
      <w:tblPr/>
      <w:tcPr>
        <w:shd w:val="clear" w:color="auto" w:fill="7BD5FF" w:themeFill="accent6" w:themeFillTint="66"/>
      </w:tcPr>
    </w:tblStylePr>
    <w:tblStylePr w:type="firstCol">
      <w:rPr>
        <w:color w:val="FFFFFF" w:themeColor="background1"/>
      </w:rPr>
      <w:tblPr/>
      <w:tcPr>
        <w:shd w:val="clear" w:color="auto" w:fill="005D88" w:themeFill="accent6" w:themeFillShade="BF"/>
      </w:tcPr>
    </w:tblStylePr>
    <w:tblStylePr w:type="lastCol">
      <w:rPr>
        <w:color w:val="FFFFFF" w:themeColor="background1"/>
      </w:rPr>
      <w:tblPr/>
      <w:tcPr>
        <w:shd w:val="clear" w:color="auto" w:fill="005D88" w:themeFill="accent6" w:themeFillShade="BF"/>
      </w:tcPr>
    </w:tblStylePr>
    <w:tblStylePr w:type="band1Vert">
      <w:tblPr/>
      <w:tcPr>
        <w:shd w:val="clear" w:color="auto" w:fill="5BCBFF" w:themeFill="accent6" w:themeFillTint="7F"/>
      </w:tcPr>
    </w:tblStylePr>
    <w:tblStylePr w:type="band1Horz">
      <w:tblPr/>
      <w:tcPr>
        <w:shd w:val="clear" w:color="auto" w:fill="5BCBFF" w:themeFill="accent6" w:themeFillTint="7F"/>
      </w:tcPr>
    </w:tblStylePr>
  </w:style>
  <w:style w:type="table" w:styleId="ColorfulList">
    <w:name w:val="Colorful List"/>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AFBFA" w:themeFill="accent1"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4" w:themeFill="accent1" w:themeFillTint="3F"/>
      </w:tcPr>
    </w:tblStylePr>
    <w:tblStylePr w:type="band1Horz">
      <w:tblPr/>
      <w:tcPr>
        <w:shd w:val="clear" w:color="auto" w:fill="F6F7F6" w:themeFill="accent1" w:themeFillTint="33"/>
      </w:tcPr>
    </w:tblStylePr>
  </w:style>
  <w:style w:type="table" w:styleId="ColorfulList-Accent2">
    <w:name w:val="Colorful List Accent 2"/>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FF9E6" w:themeFill="accent2" w:themeFillTint="19"/>
    </w:tcPr>
    <w:tblStylePr w:type="firstRow">
      <w:rPr>
        <w:b/>
        <w:bCs/>
        <w:color w:val="FFFFFF" w:themeColor="background1"/>
      </w:rPr>
      <w:tblPr/>
      <w:tcPr>
        <w:tcBorders>
          <w:bottom w:val="single" w:sz="12" w:space="0" w:color="FFFFFF" w:themeColor="background1"/>
        </w:tcBorders>
        <w:shd w:val="clear" w:color="auto" w:fill="D3A200" w:themeFill="accent2" w:themeFillShade="CC"/>
      </w:tcPr>
    </w:tblStylePr>
    <w:tblStylePr w:type="lastRow">
      <w:rPr>
        <w:b/>
        <w:bCs/>
        <w:color w:val="D3A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2" w:themeFill="accent2" w:themeFillTint="3F"/>
      </w:tcPr>
    </w:tblStylePr>
    <w:tblStylePr w:type="band1Horz">
      <w:tblPr/>
      <w:tcPr>
        <w:shd w:val="clear" w:color="auto" w:fill="FFF3CD" w:themeFill="accent2" w:themeFillTint="33"/>
      </w:tcPr>
    </w:tblStylePr>
  </w:style>
  <w:style w:type="table" w:styleId="ColorfulList-Accent3">
    <w:name w:val="Colorful List Accent 3"/>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CE5EA" w:themeFill="accent3" w:themeFillTint="19"/>
    </w:tcPr>
    <w:tblStylePr w:type="firstRow">
      <w:rPr>
        <w:b/>
        <w:bCs/>
        <w:color w:val="FFFFFF" w:themeColor="background1"/>
      </w:rPr>
      <w:tblPr/>
      <w:tcPr>
        <w:tcBorders>
          <w:bottom w:val="single" w:sz="12" w:space="0" w:color="FFFFFF" w:themeColor="background1"/>
        </w:tcBorders>
        <w:shd w:val="clear" w:color="auto" w:fill="531E6A" w:themeFill="accent4" w:themeFillShade="CC"/>
      </w:tcPr>
    </w:tblStylePr>
    <w:tblStylePr w:type="lastRow">
      <w:rPr>
        <w:b/>
        <w:bCs/>
        <w:color w:val="531E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FCC" w:themeFill="accent3" w:themeFillTint="3F"/>
      </w:tcPr>
    </w:tblStylePr>
    <w:tblStylePr w:type="band1Horz">
      <w:tblPr/>
      <w:tcPr>
        <w:shd w:val="clear" w:color="auto" w:fill="F9CBD6" w:themeFill="accent3" w:themeFillTint="33"/>
      </w:tcPr>
    </w:tblStylePr>
  </w:style>
  <w:style w:type="table" w:styleId="ColorfulList-Accent4">
    <w:name w:val="Colorful List Accent 4"/>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F1E5F7" w:themeFill="accent4" w:themeFillTint="19"/>
    </w:tcPr>
    <w:tblStylePr w:type="firstRow">
      <w:rPr>
        <w:b/>
        <w:bCs/>
        <w:color w:val="FFFFFF" w:themeColor="background1"/>
      </w:rPr>
      <w:tblPr/>
      <w:tcPr>
        <w:tcBorders>
          <w:bottom w:val="single" w:sz="12" w:space="0" w:color="FFFFFF" w:themeColor="background1"/>
        </w:tcBorders>
        <w:shd w:val="clear" w:color="auto" w:fill="A31132" w:themeFill="accent3" w:themeFillShade="CC"/>
      </w:tcPr>
    </w:tblStylePr>
    <w:tblStylePr w:type="lastRow">
      <w:rPr>
        <w:b/>
        <w:bCs/>
        <w:color w:val="A311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BDEC" w:themeFill="accent4" w:themeFillTint="3F"/>
      </w:tcPr>
    </w:tblStylePr>
    <w:tblStylePr w:type="band1Horz">
      <w:tblPr/>
      <w:tcPr>
        <w:shd w:val="clear" w:color="auto" w:fill="E4CAF0" w:themeFill="accent4" w:themeFillTint="33"/>
      </w:tcPr>
    </w:tblStylePr>
  </w:style>
  <w:style w:type="table" w:styleId="ColorfulList-Accent5">
    <w:name w:val="Colorful List Accent 5"/>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E5FAEC" w:themeFill="accent5" w:themeFillTint="19"/>
    </w:tcPr>
    <w:tblStylePr w:type="firstRow">
      <w:rPr>
        <w:b/>
        <w:bCs/>
        <w:color w:val="FFFFFF" w:themeColor="background1"/>
      </w:rPr>
      <w:tblPr/>
      <w:tcPr>
        <w:tcBorders>
          <w:bottom w:val="single" w:sz="12" w:space="0" w:color="FFFFFF" w:themeColor="background1"/>
        </w:tcBorders>
        <w:shd w:val="clear" w:color="auto" w:fill="006391" w:themeFill="accent6" w:themeFillShade="CC"/>
      </w:tcPr>
    </w:tblStylePr>
    <w:tblStylePr w:type="lastRow">
      <w:rPr>
        <w:b/>
        <w:bCs/>
        <w:color w:val="0063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3CF" w:themeFill="accent5" w:themeFillTint="3F"/>
      </w:tcPr>
    </w:tblStylePr>
    <w:tblStylePr w:type="band1Horz">
      <w:tblPr/>
      <w:tcPr>
        <w:shd w:val="clear" w:color="auto" w:fill="CBF5D8" w:themeFill="accent5" w:themeFillTint="33"/>
      </w:tcPr>
    </w:tblStylePr>
  </w:style>
  <w:style w:type="table" w:styleId="ColorfulList-Accent6">
    <w:name w:val="Colorful List Accent 6"/>
    <w:basedOn w:val="TableNormal"/>
    <w:uiPriority w:val="72"/>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cPr>
      <w:shd w:val="clear" w:color="auto" w:fill="DEF4FF" w:themeFill="accent6" w:themeFillTint="19"/>
    </w:tcPr>
    <w:tblStylePr w:type="firstRow">
      <w:rPr>
        <w:b/>
        <w:bCs/>
        <w:color w:val="FFFFFF" w:themeColor="background1"/>
      </w:rPr>
      <w:tblPr/>
      <w:tcPr>
        <w:tcBorders>
          <w:bottom w:val="single" w:sz="12" w:space="0" w:color="FFFFFF" w:themeColor="background1"/>
        </w:tcBorders>
        <w:shd w:val="clear" w:color="auto" w:fill="19873D" w:themeFill="accent5" w:themeFillShade="CC"/>
      </w:tcPr>
    </w:tblStylePr>
    <w:tblStylePr w:type="lastRow">
      <w:rPr>
        <w:b/>
        <w:bCs/>
        <w:color w:val="1987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E5FF" w:themeFill="accent6" w:themeFillTint="3F"/>
      </w:tcPr>
    </w:tblStylePr>
    <w:tblStylePr w:type="band1Horz">
      <w:tblPr/>
      <w:tcPr>
        <w:shd w:val="clear" w:color="auto" w:fill="BDEAFF" w:themeFill="accent6" w:themeFillTint="33"/>
      </w:tcPr>
    </w:tblStylePr>
  </w:style>
  <w:style w:type="table" w:styleId="ColorfulShading">
    <w:name w:val="Colorful Shading"/>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D7D8D6" w:themeColor="accent1"/>
        <w:bottom w:val="single" w:sz="4" w:space="0" w:color="D7D8D6" w:themeColor="accent1"/>
        <w:right w:val="single" w:sz="4" w:space="0" w:color="D7D8D6" w:themeColor="accent1"/>
        <w:insideH w:val="single" w:sz="4" w:space="0" w:color="FFFFFF" w:themeColor="background1"/>
        <w:insideV w:val="single" w:sz="4" w:space="0" w:color="FFFFFF" w:themeColor="background1"/>
      </w:tblBorders>
    </w:tblPr>
    <w:tcPr>
      <w:shd w:val="clear" w:color="auto" w:fill="FAFBFA" w:themeFill="accent1"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47D" w:themeFill="accent1" w:themeFillShade="99"/>
      </w:tcPr>
    </w:tblStylePr>
    <w:tblStylePr w:type="firstCol">
      <w:rPr>
        <w:color w:val="FFFFFF" w:themeColor="background1"/>
      </w:rPr>
      <w:tblPr/>
      <w:tcPr>
        <w:tcBorders>
          <w:top w:val="nil"/>
          <w:left w:val="nil"/>
          <w:bottom w:val="nil"/>
          <w:right w:val="nil"/>
          <w:insideH w:val="single" w:sz="4" w:space="0" w:color="80847D" w:themeColor="accent1" w:themeShade="99"/>
          <w:insideV w:val="nil"/>
        </w:tcBorders>
        <w:shd w:val="clear" w:color="auto" w:fill="8084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0847D" w:themeFill="accent1" w:themeFillShade="99"/>
      </w:tcPr>
    </w:tblStylePr>
    <w:tblStylePr w:type="band1Vert">
      <w:tblPr/>
      <w:tcPr>
        <w:shd w:val="clear" w:color="auto" w:fill="EEEFEE" w:themeFill="accent1" w:themeFillTint="66"/>
      </w:tcPr>
    </w:tblStylePr>
    <w:tblStylePr w:type="band1Horz">
      <w:tblPr/>
      <w:tcPr>
        <w:shd w:val="clear" w:color="auto" w:fill="EAEB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FFC709" w:themeColor="accent2"/>
        <w:left w:val="single" w:sz="4" w:space="0" w:color="FFC709" w:themeColor="accent2"/>
        <w:bottom w:val="single" w:sz="4" w:space="0" w:color="FFC709" w:themeColor="accent2"/>
        <w:right w:val="single" w:sz="4" w:space="0" w:color="FFC709" w:themeColor="accent2"/>
        <w:insideH w:val="single" w:sz="4" w:space="0" w:color="FFFFFF" w:themeColor="background1"/>
        <w:insideV w:val="single" w:sz="4" w:space="0" w:color="FFFFFF" w:themeColor="background1"/>
      </w:tblBorders>
    </w:tblPr>
    <w:tcPr>
      <w:shd w:val="clear" w:color="auto" w:fill="FFF9E6" w:themeFill="accent2" w:themeFillTint="19"/>
    </w:tcPr>
    <w:tblStylePr w:type="firstRow">
      <w:rPr>
        <w:b/>
        <w:bCs/>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7900" w:themeFill="accent2" w:themeFillShade="99"/>
      </w:tcPr>
    </w:tblStylePr>
    <w:tblStylePr w:type="firstCol">
      <w:rPr>
        <w:color w:val="FFFFFF" w:themeColor="background1"/>
      </w:rPr>
      <w:tblPr/>
      <w:tcPr>
        <w:tcBorders>
          <w:top w:val="nil"/>
          <w:left w:val="nil"/>
          <w:bottom w:val="nil"/>
          <w:right w:val="nil"/>
          <w:insideH w:val="single" w:sz="4" w:space="0" w:color="9E7900" w:themeColor="accent2" w:themeShade="99"/>
          <w:insideV w:val="nil"/>
        </w:tcBorders>
        <w:shd w:val="clear" w:color="auto" w:fill="9E79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7900" w:themeFill="accent2" w:themeFillShade="99"/>
      </w:tcPr>
    </w:tblStylePr>
    <w:tblStylePr w:type="band1Vert">
      <w:tblPr/>
      <w:tcPr>
        <w:shd w:val="clear" w:color="auto" w:fill="FFE89C" w:themeFill="accent2" w:themeFillTint="66"/>
      </w:tcPr>
    </w:tblStylePr>
    <w:tblStylePr w:type="band1Horz">
      <w:tblPr/>
      <w:tcPr>
        <w:shd w:val="clear" w:color="auto" w:fill="FFE28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692686" w:themeColor="accent4"/>
        <w:left w:val="single" w:sz="4" w:space="0" w:color="CD163F" w:themeColor="accent3"/>
        <w:bottom w:val="single" w:sz="4" w:space="0" w:color="CD163F" w:themeColor="accent3"/>
        <w:right w:val="single" w:sz="4" w:space="0" w:color="CD163F" w:themeColor="accent3"/>
        <w:insideH w:val="single" w:sz="4" w:space="0" w:color="FFFFFF" w:themeColor="background1"/>
        <w:insideV w:val="single" w:sz="4" w:space="0" w:color="FFFFFF" w:themeColor="background1"/>
      </w:tblBorders>
    </w:tblPr>
    <w:tcPr>
      <w:shd w:val="clear" w:color="auto" w:fill="FCE5EA" w:themeFill="accent3" w:themeFillTint="19"/>
    </w:tcPr>
    <w:tblStylePr w:type="firstRow">
      <w:rPr>
        <w:b/>
        <w:bCs/>
      </w:rPr>
      <w:tblPr/>
      <w:tcPr>
        <w:tcBorders>
          <w:top w:val="nil"/>
          <w:left w:val="nil"/>
          <w:bottom w:val="single" w:sz="24" w:space="0" w:color="69268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D25" w:themeFill="accent3" w:themeFillShade="99"/>
      </w:tcPr>
    </w:tblStylePr>
    <w:tblStylePr w:type="firstCol">
      <w:rPr>
        <w:color w:val="FFFFFF" w:themeColor="background1"/>
      </w:rPr>
      <w:tblPr/>
      <w:tcPr>
        <w:tcBorders>
          <w:top w:val="nil"/>
          <w:left w:val="nil"/>
          <w:bottom w:val="nil"/>
          <w:right w:val="nil"/>
          <w:insideH w:val="single" w:sz="4" w:space="0" w:color="7A0D25" w:themeColor="accent3" w:themeShade="99"/>
          <w:insideV w:val="nil"/>
        </w:tcBorders>
        <w:shd w:val="clear" w:color="auto" w:fill="7A0D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0D25" w:themeFill="accent3" w:themeFillShade="99"/>
      </w:tcPr>
    </w:tblStylePr>
    <w:tblStylePr w:type="band1Vert">
      <w:tblPr/>
      <w:tcPr>
        <w:shd w:val="clear" w:color="auto" w:fill="F498AD" w:themeFill="accent3" w:themeFillTint="66"/>
      </w:tcPr>
    </w:tblStylePr>
    <w:tblStylePr w:type="band1Horz">
      <w:tblPr/>
      <w:tcPr>
        <w:shd w:val="clear" w:color="auto" w:fill="F17F99" w:themeFill="accent3" w:themeFillTint="7F"/>
      </w:tcPr>
    </w:tblStylePr>
  </w:style>
  <w:style w:type="table" w:styleId="ColorfulShading-Accent4">
    <w:name w:val="Colorful Shading Accent 4"/>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CD163F" w:themeColor="accent3"/>
        <w:left w:val="single" w:sz="4" w:space="0" w:color="692686" w:themeColor="accent4"/>
        <w:bottom w:val="single" w:sz="4" w:space="0" w:color="692686" w:themeColor="accent4"/>
        <w:right w:val="single" w:sz="4" w:space="0" w:color="692686" w:themeColor="accent4"/>
        <w:insideH w:val="single" w:sz="4" w:space="0" w:color="FFFFFF" w:themeColor="background1"/>
        <w:insideV w:val="single" w:sz="4" w:space="0" w:color="FFFFFF" w:themeColor="background1"/>
      </w:tblBorders>
    </w:tblPr>
    <w:tcPr>
      <w:shd w:val="clear" w:color="auto" w:fill="F1E5F7" w:themeFill="accent4" w:themeFillTint="19"/>
    </w:tcPr>
    <w:tblStylePr w:type="firstRow">
      <w:rPr>
        <w:b/>
        <w:bCs/>
      </w:rPr>
      <w:tblPr/>
      <w:tcPr>
        <w:tcBorders>
          <w:top w:val="nil"/>
          <w:left w:val="nil"/>
          <w:bottom w:val="single" w:sz="24" w:space="0" w:color="CD16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1650" w:themeFill="accent4" w:themeFillShade="99"/>
      </w:tcPr>
    </w:tblStylePr>
    <w:tblStylePr w:type="firstCol">
      <w:rPr>
        <w:color w:val="FFFFFF" w:themeColor="background1"/>
      </w:rPr>
      <w:tblPr/>
      <w:tcPr>
        <w:tcBorders>
          <w:top w:val="nil"/>
          <w:left w:val="nil"/>
          <w:bottom w:val="nil"/>
          <w:right w:val="nil"/>
          <w:insideH w:val="single" w:sz="4" w:space="0" w:color="3E1650" w:themeColor="accent4" w:themeShade="99"/>
          <w:insideV w:val="nil"/>
        </w:tcBorders>
        <w:shd w:val="clear" w:color="auto" w:fill="3E16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1650" w:themeFill="accent4" w:themeFillShade="99"/>
      </w:tcPr>
    </w:tblStylePr>
    <w:tblStylePr w:type="band1Vert">
      <w:tblPr/>
      <w:tcPr>
        <w:shd w:val="clear" w:color="auto" w:fill="CA95E1" w:themeFill="accent4" w:themeFillTint="66"/>
      </w:tcPr>
    </w:tblStylePr>
    <w:tblStylePr w:type="band1Horz">
      <w:tblPr/>
      <w:tcPr>
        <w:shd w:val="clear" w:color="auto" w:fill="BC7B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007DB6" w:themeColor="accent6"/>
        <w:left w:val="single" w:sz="4" w:space="0" w:color="20AA4D" w:themeColor="accent5"/>
        <w:bottom w:val="single" w:sz="4" w:space="0" w:color="20AA4D" w:themeColor="accent5"/>
        <w:right w:val="single" w:sz="4" w:space="0" w:color="20AA4D" w:themeColor="accent5"/>
        <w:insideH w:val="single" w:sz="4" w:space="0" w:color="FFFFFF" w:themeColor="background1"/>
        <w:insideV w:val="single" w:sz="4" w:space="0" w:color="FFFFFF" w:themeColor="background1"/>
      </w:tblBorders>
    </w:tblPr>
    <w:tcPr>
      <w:shd w:val="clear" w:color="auto" w:fill="E5FAEC" w:themeFill="accent5" w:themeFillTint="19"/>
    </w:tcPr>
    <w:tblStylePr w:type="firstRow">
      <w:rPr>
        <w:b/>
        <w:bCs/>
      </w:rPr>
      <w:tblPr/>
      <w:tcPr>
        <w:tcBorders>
          <w:top w:val="nil"/>
          <w:left w:val="nil"/>
          <w:bottom w:val="single" w:sz="24" w:space="0" w:color="007D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52E" w:themeFill="accent5" w:themeFillShade="99"/>
      </w:tcPr>
    </w:tblStylePr>
    <w:tblStylePr w:type="firstCol">
      <w:rPr>
        <w:color w:val="FFFFFF" w:themeColor="background1"/>
      </w:rPr>
      <w:tblPr/>
      <w:tcPr>
        <w:tcBorders>
          <w:top w:val="nil"/>
          <w:left w:val="nil"/>
          <w:bottom w:val="nil"/>
          <w:right w:val="nil"/>
          <w:insideH w:val="single" w:sz="4" w:space="0" w:color="13652E" w:themeColor="accent5" w:themeShade="99"/>
          <w:insideV w:val="nil"/>
        </w:tcBorders>
        <w:shd w:val="clear" w:color="auto" w:fill="1365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3652E" w:themeFill="accent5" w:themeFillShade="99"/>
      </w:tcPr>
    </w:tblStylePr>
    <w:tblStylePr w:type="band1Vert">
      <w:tblPr/>
      <w:tcPr>
        <w:shd w:val="clear" w:color="auto" w:fill="97EBB2" w:themeFill="accent5" w:themeFillTint="66"/>
      </w:tcPr>
    </w:tblStylePr>
    <w:tblStylePr w:type="band1Horz">
      <w:tblPr/>
      <w:tcPr>
        <w:shd w:val="clear" w:color="auto" w:fill="7DE69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24" w:space="0" w:color="20AA4D" w:themeColor="accent5"/>
        <w:left w:val="single" w:sz="4" w:space="0" w:color="007DB6" w:themeColor="accent6"/>
        <w:bottom w:val="single" w:sz="4" w:space="0" w:color="007DB6" w:themeColor="accent6"/>
        <w:right w:val="single" w:sz="4" w:space="0" w:color="007DB6" w:themeColor="accent6"/>
        <w:insideH w:val="single" w:sz="4" w:space="0" w:color="FFFFFF" w:themeColor="background1"/>
        <w:insideV w:val="single" w:sz="4" w:space="0" w:color="FFFFFF" w:themeColor="background1"/>
      </w:tblBorders>
    </w:tblPr>
    <w:tcPr>
      <w:shd w:val="clear" w:color="auto" w:fill="DEF4FF" w:themeFill="accent6" w:themeFillTint="19"/>
    </w:tcPr>
    <w:tblStylePr w:type="firstRow">
      <w:rPr>
        <w:b/>
        <w:bCs/>
      </w:rPr>
      <w:tblPr/>
      <w:tcPr>
        <w:tcBorders>
          <w:top w:val="nil"/>
          <w:left w:val="nil"/>
          <w:bottom w:val="single" w:sz="24" w:space="0" w:color="20AA4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6D" w:themeFill="accent6" w:themeFillShade="99"/>
      </w:tcPr>
    </w:tblStylePr>
    <w:tblStylePr w:type="firstCol">
      <w:rPr>
        <w:color w:val="FFFFFF" w:themeColor="background1"/>
      </w:rPr>
      <w:tblPr/>
      <w:tcPr>
        <w:tcBorders>
          <w:top w:val="nil"/>
          <w:left w:val="nil"/>
          <w:bottom w:val="nil"/>
          <w:right w:val="nil"/>
          <w:insideH w:val="single" w:sz="4" w:space="0" w:color="004A6D" w:themeColor="accent6" w:themeShade="99"/>
          <w:insideV w:val="nil"/>
        </w:tcBorders>
        <w:shd w:val="clear" w:color="auto" w:fill="004A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A6D" w:themeFill="accent6" w:themeFillShade="99"/>
      </w:tcPr>
    </w:tblStylePr>
    <w:tblStylePr w:type="band1Vert">
      <w:tblPr/>
      <w:tcPr>
        <w:shd w:val="clear" w:color="auto" w:fill="7BD5FF" w:themeFill="accent6" w:themeFillTint="66"/>
      </w:tcPr>
    </w:tblStylePr>
    <w:tblStylePr w:type="band1Horz">
      <w:tblPr/>
      <w:tcPr>
        <w:shd w:val="clear" w:color="auto" w:fill="5BCB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D7D8D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D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0A3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0A39E" w:themeFill="accent1" w:themeFillShade="BF"/>
      </w:tcPr>
    </w:tblStylePr>
    <w:tblStylePr w:type="band1Vert">
      <w:tblPr/>
      <w:tcPr>
        <w:tcBorders>
          <w:top w:val="nil"/>
          <w:left w:val="nil"/>
          <w:bottom w:val="nil"/>
          <w:right w:val="nil"/>
          <w:insideH w:val="nil"/>
          <w:insideV w:val="nil"/>
        </w:tcBorders>
        <w:shd w:val="clear" w:color="auto" w:fill="A0A39E" w:themeFill="accent1" w:themeFillShade="BF"/>
      </w:tcPr>
    </w:tblStylePr>
    <w:tblStylePr w:type="band1Horz">
      <w:tblPr/>
      <w:tcPr>
        <w:tcBorders>
          <w:top w:val="nil"/>
          <w:left w:val="nil"/>
          <w:bottom w:val="nil"/>
          <w:right w:val="nil"/>
          <w:insideH w:val="nil"/>
          <w:insideV w:val="nil"/>
        </w:tcBorders>
        <w:shd w:val="clear" w:color="auto" w:fill="A0A39E" w:themeFill="accent1" w:themeFillShade="BF"/>
      </w:tcPr>
    </w:tblStylePr>
  </w:style>
  <w:style w:type="table" w:styleId="DarkList-Accent2">
    <w:name w:val="Dark List Accent 2"/>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FFC70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6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59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59700" w:themeFill="accent2" w:themeFillShade="BF"/>
      </w:tcPr>
    </w:tblStylePr>
    <w:tblStylePr w:type="band1Vert">
      <w:tblPr/>
      <w:tcPr>
        <w:tcBorders>
          <w:top w:val="nil"/>
          <w:left w:val="nil"/>
          <w:bottom w:val="nil"/>
          <w:right w:val="nil"/>
          <w:insideH w:val="nil"/>
          <w:insideV w:val="nil"/>
        </w:tcBorders>
        <w:shd w:val="clear" w:color="auto" w:fill="C59700" w:themeFill="accent2" w:themeFillShade="BF"/>
      </w:tcPr>
    </w:tblStylePr>
    <w:tblStylePr w:type="band1Horz">
      <w:tblPr/>
      <w:tcPr>
        <w:tcBorders>
          <w:top w:val="nil"/>
          <w:left w:val="nil"/>
          <w:bottom w:val="nil"/>
          <w:right w:val="nil"/>
          <w:insideH w:val="nil"/>
          <w:insideV w:val="nil"/>
        </w:tcBorders>
        <w:shd w:val="clear" w:color="auto" w:fill="C59700" w:themeFill="accent2" w:themeFillShade="BF"/>
      </w:tcPr>
    </w:tblStylePr>
  </w:style>
  <w:style w:type="table" w:styleId="DarkList-Accent3">
    <w:name w:val="Dark List Accent 3"/>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CD16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0B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10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102F" w:themeFill="accent3" w:themeFillShade="BF"/>
      </w:tcPr>
    </w:tblStylePr>
    <w:tblStylePr w:type="band1Vert">
      <w:tblPr/>
      <w:tcPr>
        <w:tcBorders>
          <w:top w:val="nil"/>
          <w:left w:val="nil"/>
          <w:bottom w:val="nil"/>
          <w:right w:val="nil"/>
          <w:insideH w:val="nil"/>
          <w:insideV w:val="nil"/>
        </w:tcBorders>
        <w:shd w:val="clear" w:color="auto" w:fill="99102F" w:themeFill="accent3" w:themeFillShade="BF"/>
      </w:tcPr>
    </w:tblStylePr>
    <w:tblStylePr w:type="band1Horz">
      <w:tblPr/>
      <w:tcPr>
        <w:tcBorders>
          <w:top w:val="nil"/>
          <w:left w:val="nil"/>
          <w:bottom w:val="nil"/>
          <w:right w:val="nil"/>
          <w:insideH w:val="nil"/>
          <w:insideV w:val="nil"/>
        </w:tcBorders>
        <w:shd w:val="clear" w:color="auto" w:fill="99102F" w:themeFill="accent3" w:themeFillShade="BF"/>
      </w:tcPr>
    </w:tblStylePr>
  </w:style>
  <w:style w:type="table" w:styleId="DarkList-Accent4">
    <w:name w:val="Dark List Accent 4"/>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69268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3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1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1C64" w:themeFill="accent4" w:themeFillShade="BF"/>
      </w:tcPr>
    </w:tblStylePr>
    <w:tblStylePr w:type="band1Vert">
      <w:tblPr/>
      <w:tcPr>
        <w:tcBorders>
          <w:top w:val="nil"/>
          <w:left w:val="nil"/>
          <w:bottom w:val="nil"/>
          <w:right w:val="nil"/>
          <w:insideH w:val="nil"/>
          <w:insideV w:val="nil"/>
        </w:tcBorders>
        <w:shd w:val="clear" w:color="auto" w:fill="4E1C64" w:themeFill="accent4" w:themeFillShade="BF"/>
      </w:tcPr>
    </w:tblStylePr>
    <w:tblStylePr w:type="band1Horz">
      <w:tblPr/>
      <w:tcPr>
        <w:tcBorders>
          <w:top w:val="nil"/>
          <w:left w:val="nil"/>
          <w:bottom w:val="nil"/>
          <w:right w:val="nil"/>
          <w:insideH w:val="nil"/>
          <w:insideV w:val="nil"/>
        </w:tcBorders>
        <w:shd w:val="clear" w:color="auto" w:fill="4E1C64" w:themeFill="accent4" w:themeFillShade="BF"/>
      </w:tcPr>
    </w:tblStylePr>
  </w:style>
  <w:style w:type="table" w:styleId="DarkList-Accent5">
    <w:name w:val="Dark List Accent 5"/>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20AA4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87F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87F39" w:themeFill="accent5" w:themeFillShade="BF"/>
      </w:tcPr>
    </w:tblStylePr>
    <w:tblStylePr w:type="band1Vert">
      <w:tblPr/>
      <w:tcPr>
        <w:tcBorders>
          <w:top w:val="nil"/>
          <w:left w:val="nil"/>
          <w:bottom w:val="nil"/>
          <w:right w:val="nil"/>
          <w:insideH w:val="nil"/>
          <w:insideV w:val="nil"/>
        </w:tcBorders>
        <w:shd w:val="clear" w:color="auto" w:fill="187F39" w:themeFill="accent5" w:themeFillShade="BF"/>
      </w:tcPr>
    </w:tblStylePr>
    <w:tblStylePr w:type="band1Horz">
      <w:tblPr/>
      <w:tcPr>
        <w:tcBorders>
          <w:top w:val="nil"/>
          <w:left w:val="nil"/>
          <w:bottom w:val="nil"/>
          <w:right w:val="nil"/>
          <w:insideH w:val="nil"/>
          <w:insideV w:val="nil"/>
        </w:tcBorders>
        <w:shd w:val="clear" w:color="auto" w:fill="187F39" w:themeFill="accent5" w:themeFillShade="BF"/>
      </w:tcPr>
    </w:tblStylePr>
  </w:style>
  <w:style w:type="table" w:styleId="DarkList-Accent6">
    <w:name w:val="Dark List Accent 6"/>
    <w:basedOn w:val="TableNormal"/>
    <w:uiPriority w:val="70"/>
    <w:semiHidden/>
    <w:unhideWhenUsed/>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Pr>
    <w:tcPr>
      <w:shd w:val="clear" w:color="auto" w:fill="007D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D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D88" w:themeFill="accent6" w:themeFillShade="BF"/>
      </w:tcPr>
    </w:tblStylePr>
    <w:tblStylePr w:type="band1Vert">
      <w:tblPr/>
      <w:tcPr>
        <w:tcBorders>
          <w:top w:val="nil"/>
          <w:left w:val="nil"/>
          <w:bottom w:val="nil"/>
          <w:right w:val="nil"/>
          <w:insideH w:val="nil"/>
          <w:insideV w:val="nil"/>
        </w:tcBorders>
        <w:shd w:val="clear" w:color="auto" w:fill="005D88" w:themeFill="accent6" w:themeFillShade="BF"/>
      </w:tcPr>
    </w:tblStylePr>
    <w:tblStylePr w:type="band1Horz">
      <w:tblPr/>
      <w:tcPr>
        <w:tcBorders>
          <w:top w:val="nil"/>
          <w:left w:val="nil"/>
          <w:bottom w:val="nil"/>
          <w:right w:val="nil"/>
          <w:insideH w:val="nil"/>
          <w:insideV w:val="nil"/>
        </w:tcBorders>
        <w:shd w:val="clear" w:color="auto" w:fill="005D88" w:themeFill="accent6" w:themeFillShade="BF"/>
      </w:tcPr>
    </w:tblStylePr>
  </w:style>
  <w:style w:type="table" w:styleId="GridTable1Light">
    <w:name w:val="Grid Table 1 Light"/>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EEFEE" w:themeColor="accent1" w:themeTint="66"/>
        <w:left w:val="single" w:sz="4" w:space="0" w:color="EEEFEE" w:themeColor="accent1" w:themeTint="66"/>
        <w:bottom w:val="single" w:sz="4" w:space="0" w:color="EEEFEE" w:themeColor="accent1" w:themeTint="66"/>
        <w:right w:val="single" w:sz="4" w:space="0" w:color="EEEFEE" w:themeColor="accent1" w:themeTint="66"/>
        <w:insideH w:val="single" w:sz="4" w:space="0" w:color="EEEFEE" w:themeColor="accent1" w:themeTint="66"/>
        <w:insideV w:val="single" w:sz="4" w:space="0" w:color="EEEFEE" w:themeColor="accent1" w:themeTint="66"/>
      </w:tblBorders>
    </w:tblPr>
    <w:tblStylePr w:type="firstRow">
      <w:rPr>
        <w:b/>
        <w:bCs/>
      </w:rPr>
      <w:tblPr/>
      <w:tcPr>
        <w:tcBorders>
          <w:bottom w:val="single" w:sz="12" w:space="0" w:color="E6E7E6" w:themeColor="accent1" w:themeTint="99"/>
        </w:tcBorders>
      </w:tcPr>
    </w:tblStylePr>
    <w:tblStylePr w:type="lastRow">
      <w:rPr>
        <w:b/>
        <w:bCs/>
      </w:rPr>
      <w:tblPr/>
      <w:tcPr>
        <w:tcBorders>
          <w:top w:val="double" w:sz="2" w:space="0" w:color="E6E7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E89C" w:themeColor="accent2" w:themeTint="66"/>
        <w:left w:val="single" w:sz="4" w:space="0" w:color="FFE89C" w:themeColor="accent2" w:themeTint="66"/>
        <w:bottom w:val="single" w:sz="4" w:space="0" w:color="FFE89C" w:themeColor="accent2" w:themeTint="66"/>
        <w:right w:val="single" w:sz="4" w:space="0" w:color="FFE89C" w:themeColor="accent2" w:themeTint="66"/>
        <w:insideH w:val="single" w:sz="4" w:space="0" w:color="FFE89C" w:themeColor="accent2" w:themeTint="66"/>
        <w:insideV w:val="single" w:sz="4" w:space="0" w:color="FFE89C" w:themeColor="accent2" w:themeTint="66"/>
      </w:tblBorders>
    </w:tblPr>
    <w:tblStylePr w:type="firstRow">
      <w:rPr>
        <w:b/>
        <w:bCs/>
      </w:rPr>
      <w:tblPr/>
      <w:tcPr>
        <w:tcBorders>
          <w:bottom w:val="single" w:sz="12" w:space="0" w:color="FFDC6B" w:themeColor="accent2" w:themeTint="99"/>
        </w:tcBorders>
      </w:tcPr>
    </w:tblStylePr>
    <w:tblStylePr w:type="lastRow">
      <w:rPr>
        <w:b/>
        <w:bCs/>
      </w:rPr>
      <w:tblPr/>
      <w:tcPr>
        <w:tcBorders>
          <w:top w:val="double" w:sz="2" w:space="0" w:color="FFDC6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498AD" w:themeColor="accent3" w:themeTint="66"/>
        <w:left w:val="single" w:sz="4" w:space="0" w:color="F498AD" w:themeColor="accent3" w:themeTint="66"/>
        <w:bottom w:val="single" w:sz="4" w:space="0" w:color="F498AD" w:themeColor="accent3" w:themeTint="66"/>
        <w:right w:val="single" w:sz="4" w:space="0" w:color="F498AD" w:themeColor="accent3" w:themeTint="66"/>
        <w:insideH w:val="single" w:sz="4" w:space="0" w:color="F498AD" w:themeColor="accent3" w:themeTint="66"/>
        <w:insideV w:val="single" w:sz="4" w:space="0" w:color="F498AD" w:themeColor="accent3" w:themeTint="66"/>
      </w:tblBorders>
    </w:tblPr>
    <w:tblStylePr w:type="firstRow">
      <w:rPr>
        <w:b/>
        <w:bCs/>
      </w:rPr>
      <w:tblPr/>
      <w:tcPr>
        <w:tcBorders>
          <w:bottom w:val="single" w:sz="12" w:space="0" w:color="EE6584" w:themeColor="accent3" w:themeTint="99"/>
        </w:tcBorders>
      </w:tcPr>
    </w:tblStylePr>
    <w:tblStylePr w:type="lastRow">
      <w:rPr>
        <w:b/>
        <w:bCs/>
      </w:rPr>
      <w:tblPr/>
      <w:tcPr>
        <w:tcBorders>
          <w:top w:val="double" w:sz="2" w:space="0" w:color="EE658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CA95E1" w:themeColor="accent4" w:themeTint="66"/>
        <w:left w:val="single" w:sz="4" w:space="0" w:color="CA95E1" w:themeColor="accent4" w:themeTint="66"/>
        <w:bottom w:val="single" w:sz="4" w:space="0" w:color="CA95E1" w:themeColor="accent4" w:themeTint="66"/>
        <w:right w:val="single" w:sz="4" w:space="0" w:color="CA95E1" w:themeColor="accent4" w:themeTint="66"/>
        <w:insideH w:val="single" w:sz="4" w:space="0" w:color="CA95E1" w:themeColor="accent4" w:themeTint="66"/>
        <w:insideV w:val="single" w:sz="4" w:space="0" w:color="CA95E1" w:themeColor="accent4" w:themeTint="66"/>
      </w:tblBorders>
    </w:tblPr>
    <w:tblStylePr w:type="firstRow">
      <w:rPr>
        <w:b/>
        <w:bCs/>
      </w:rPr>
      <w:tblPr/>
      <w:tcPr>
        <w:tcBorders>
          <w:bottom w:val="single" w:sz="12" w:space="0" w:color="AF60D2" w:themeColor="accent4" w:themeTint="99"/>
        </w:tcBorders>
      </w:tcPr>
    </w:tblStylePr>
    <w:tblStylePr w:type="lastRow">
      <w:rPr>
        <w:b/>
        <w:bCs/>
      </w:rPr>
      <w:tblPr/>
      <w:tcPr>
        <w:tcBorders>
          <w:top w:val="double" w:sz="2" w:space="0" w:color="AF60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97EBB2" w:themeColor="accent5" w:themeTint="66"/>
        <w:left w:val="single" w:sz="4" w:space="0" w:color="97EBB2" w:themeColor="accent5" w:themeTint="66"/>
        <w:bottom w:val="single" w:sz="4" w:space="0" w:color="97EBB2" w:themeColor="accent5" w:themeTint="66"/>
        <w:right w:val="single" w:sz="4" w:space="0" w:color="97EBB2" w:themeColor="accent5" w:themeTint="66"/>
        <w:insideH w:val="single" w:sz="4" w:space="0" w:color="97EBB2" w:themeColor="accent5" w:themeTint="66"/>
        <w:insideV w:val="single" w:sz="4" w:space="0" w:color="97EBB2" w:themeColor="accent5" w:themeTint="66"/>
      </w:tblBorders>
    </w:tblPr>
    <w:tblStylePr w:type="firstRow">
      <w:rPr>
        <w:b/>
        <w:bCs/>
      </w:rPr>
      <w:tblPr/>
      <w:tcPr>
        <w:tcBorders>
          <w:bottom w:val="single" w:sz="12" w:space="0" w:color="63E18C" w:themeColor="accent5" w:themeTint="99"/>
        </w:tcBorders>
      </w:tcPr>
    </w:tblStylePr>
    <w:tblStylePr w:type="lastRow">
      <w:rPr>
        <w:b/>
        <w:bCs/>
      </w:rPr>
      <w:tblPr/>
      <w:tcPr>
        <w:tcBorders>
          <w:top w:val="double" w:sz="2" w:space="0" w:color="63E1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7BD5FF" w:themeColor="accent6" w:themeTint="66"/>
        <w:left w:val="single" w:sz="4" w:space="0" w:color="7BD5FF" w:themeColor="accent6" w:themeTint="66"/>
        <w:bottom w:val="single" w:sz="4" w:space="0" w:color="7BD5FF" w:themeColor="accent6" w:themeTint="66"/>
        <w:right w:val="single" w:sz="4" w:space="0" w:color="7BD5FF" w:themeColor="accent6" w:themeTint="66"/>
        <w:insideH w:val="single" w:sz="4" w:space="0" w:color="7BD5FF" w:themeColor="accent6" w:themeTint="66"/>
        <w:insideV w:val="single" w:sz="4" w:space="0" w:color="7BD5FF" w:themeColor="accent6" w:themeTint="66"/>
      </w:tblBorders>
    </w:tblPr>
    <w:tblStylePr w:type="firstRow">
      <w:rPr>
        <w:b/>
        <w:bCs/>
      </w:rPr>
      <w:tblPr/>
      <w:tcPr>
        <w:tcBorders>
          <w:bottom w:val="single" w:sz="12" w:space="0" w:color="3AC1FF" w:themeColor="accent6" w:themeTint="99"/>
        </w:tcBorders>
      </w:tcPr>
    </w:tblStylePr>
    <w:tblStylePr w:type="lastRow">
      <w:rPr>
        <w:b/>
        <w:bCs/>
      </w:rPr>
      <w:tblPr/>
      <w:tcPr>
        <w:tcBorders>
          <w:top w:val="double" w:sz="2" w:space="0" w:color="3AC1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E6E7E6" w:themeColor="accent1" w:themeTint="99"/>
        <w:bottom w:val="single" w:sz="2" w:space="0" w:color="E6E7E6" w:themeColor="accent1" w:themeTint="99"/>
        <w:insideH w:val="single" w:sz="2" w:space="0" w:color="E6E7E6" w:themeColor="accent1" w:themeTint="99"/>
        <w:insideV w:val="single" w:sz="2" w:space="0" w:color="E6E7E6" w:themeColor="accent1" w:themeTint="99"/>
      </w:tblBorders>
    </w:tblPr>
    <w:tblStylePr w:type="firstRow">
      <w:rPr>
        <w:b/>
        <w:bCs/>
      </w:rPr>
      <w:tblPr/>
      <w:tcPr>
        <w:tcBorders>
          <w:top w:val="nil"/>
          <w:bottom w:val="single" w:sz="12" w:space="0" w:color="E6E7E6" w:themeColor="accent1" w:themeTint="99"/>
          <w:insideH w:val="nil"/>
          <w:insideV w:val="nil"/>
        </w:tcBorders>
        <w:shd w:val="clear" w:color="auto" w:fill="FFFFFF" w:themeFill="background1"/>
      </w:tcPr>
    </w:tblStylePr>
    <w:tblStylePr w:type="lastRow">
      <w:rPr>
        <w:b/>
        <w:bCs/>
      </w:rPr>
      <w:tblPr/>
      <w:tcPr>
        <w:tcBorders>
          <w:top w:val="double" w:sz="2" w:space="0" w:color="E6E7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2-Accent2">
    <w:name w:val="Grid Table 2 Accent 2"/>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FFDC6B" w:themeColor="accent2" w:themeTint="99"/>
        <w:bottom w:val="single" w:sz="2" w:space="0" w:color="FFDC6B" w:themeColor="accent2" w:themeTint="99"/>
        <w:insideH w:val="single" w:sz="2" w:space="0" w:color="FFDC6B" w:themeColor="accent2" w:themeTint="99"/>
        <w:insideV w:val="single" w:sz="2" w:space="0" w:color="FFDC6B" w:themeColor="accent2" w:themeTint="99"/>
      </w:tblBorders>
    </w:tblPr>
    <w:tblStylePr w:type="firstRow">
      <w:rPr>
        <w:b/>
        <w:bCs/>
      </w:rPr>
      <w:tblPr/>
      <w:tcPr>
        <w:tcBorders>
          <w:top w:val="nil"/>
          <w:bottom w:val="single" w:sz="12" w:space="0" w:color="FFDC6B" w:themeColor="accent2" w:themeTint="99"/>
          <w:insideH w:val="nil"/>
          <w:insideV w:val="nil"/>
        </w:tcBorders>
        <w:shd w:val="clear" w:color="auto" w:fill="FFFFFF" w:themeFill="background1"/>
      </w:tcPr>
    </w:tblStylePr>
    <w:tblStylePr w:type="lastRow">
      <w:rPr>
        <w:b/>
        <w:bCs/>
      </w:rPr>
      <w:tblPr/>
      <w:tcPr>
        <w:tcBorders>
          <w:top w:val="double" w:sz="2" w:space="0" w:color="FFDC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2-Accent3">
    <w:name w:val="Grid Table 2 Accent 3"/>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EE6584" w:themeColor="accent3" w:themeTint="99"/>
        <w:bottom w:val="single" w:sz="2" w:space="0" w:color="EE6584" w:themeColor="accent3" w:themeTint="99"/>
        <w:insideH w:val="single" w:sz="2" w:space="0" w:color="EE6584" w:themeColor="accent3" w:themeTint="99"/>
        <w:insideV w:val="single" w:sz="2" w:space="0" w:color="EE6584" w:themeColor="accent3" w:themeTint="99"/>
      </w:tblBorders>
    </w:tblPr>
    <w:tblStylePr w:type="firstRow">
      <w:rPr>
        <w:b/>
        <w:bCs/>
      </w:rPr>
      <w:tblPr/>
      <w:tcPr>
        <w:tcBorders>
          <w:top w:val="nil"/>
          <w:bottom w:val="single" w:sz="12" w:space="0" w:color="EE6584" w:themeColor="accent3" w:themeTint="99"/>
          <w:insideH w:val="nil"/>
          <w:insideV w:val="nil"/>
        </w:tcBorders>
        <w:shd w:val="clear" w:color="auto" w:fill="FFFFFF" w:themeFill="background1"/>
      </w:tcPr>
    </w:tblStylePr>
    <w:tblStylePr w:type="lastRow">
      <w:rPr>
        <w:b/>
        <w:bCs/>
      </w:rPr>
      <w:tblPr/>
      <w:tcPr>
        <w:tcBorders>
          <w:top w:val="double" w:sz="2" w:space="0" w:color="EE65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2-Accent4">
    <w:name w:val="Grid Table 2 Accent 4"/>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AF60D2" w:themeColor="accent4" w:themeTint="99"/>
        <w:bottom w:val="single" w:sz="2" w:space="0" w:color="AF60D2" w:themeColor="accent4" w:themeTint="99"/>
        <w:insideH w:val="single" w:sz="2" w:space="0" w:color="AF60D2" w:themeColor="accent4" w:themeTint="99"/>
        <w:insideV w:val="single" w:sz="2" w:space="0" w:color="AF60D2" w:themeColor="accent4" w:themeTint="99"/>
      </w:tblBorders>
    </w:tblPr>
    <w:tblStylePr w:type="firstRow">
      <w:rPr>
        <w:b/>
        <w:bCs/>
      </w:rPr>
      <w:tblPr/>
      <w:tcPr>
        <w:tcBorders>
          <w:top w:val="nil"/>
          <w:bottom w:val="single" w:sz="12" w:space="0" w:color="AF60D2" w:themeColor="accent4" w:themeTint="99"/>
          <w:insideH w:val="nil"/>
          <w:insideV w:val="nil"/>
        </w:tcBorders>
        <w:shd w:val="clear" w:color="auto" w:fill="FFFFFF" w:themeFill="background1"/>
      </w:tcPr>
    </w:tblStylePr>
    <w:tblStylePr w:type="lastRow">
      <w:rPr>
        <w:b/>
        <w:bCs/>
      </w:rPr>
      <w:tblPr/>
      <w:tcPr>
        <w:tcBorders>
          <w:top w:val="double" w:sz="2" w:space="0" w:color="AF60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2-Accent5">
    <w:name w:val="Grid Table 2 Accent 5"/>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63E18C" w:themeColor="accent5" w:themeTint="99"/>
        <w:bottom w:val="single" w:sz="2" w:space="0" w:color="63E18C" w:themeColor="accent5" w:themeTint="99"/>
        <w:insideH w:val="single" w:sz="2" w:space="0" w:color="63E18C" w:themeColor="accent5" w:themeTint="99"/>
        <w:insideV w:val="single" w:sz="2" w:space="0" w:color="63E18C" w:themeColor="accent5" w:themeTint="99"/>
      </w:tblBorders>
    </w:tblPr>
    <w:tblStylePr w:type="firstRow">
      <w:rPr>
        <w:b/>
        <w:bCs/>
      </w:rPr>
      <w:tblPr/>
      <w:tcPr>
        <w:tcBorders>
          <w:top w:val="nil"/>
          <w:bottom w:val="single" w:sz="12" w:space="0" w:color="63E18C" w:themeColor="accent5" w:themeTint="99"/>
          <w:insideH w:val="nil"/>
          <w:insideV w:val="nil"/>
        </w:tcBorders>
        <w:shd w:val="clear" w:color="auto" w:fill="FFFFFF" w:themeFill="background1"/>
      </w:tcPr>
    </w:tblStylePr>
    <w:tblStylePr w:type="lastRow">
      <w:rPr>
        <w:b/>
        <w:bCs/>
      </w:rPr>
      <w:tblPr/>
      <w:tcPr>
        <w:tcBorders>
          <w:top w:val="double" w:sz="2" w:space="0" w:color="63E1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2-Accent6">
    <w:name w:val="Grid Table 2 Accent 6"/>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2" w:space="0" w:color="3AC1FF" w:themeColor="accent6" w:themeTint="99"/>
        <w:bottom w:val="single" w:sz="2" w:space="0" w:color="3AC1FF" w:themeColor="accent6" w:themeTint="99"/>
        <w:insideH w:val="single" w:sz="2" w:space="0" w:color="3AC1FF" w:themeColor="accent6" w:themeTint="99"/>
        <w:insideV w:val="single" w:sz="2" w:space="0" w:color="3AC1FF" w:themeColor="accent6" w:themeTint="99"/>
      </w:tblBorders>
    </w:tblPr>
    <w:tblStylePr w:type="firstRow">
      <w:rPr>
        <w:b/>
        <w:bCs/>
      </w:rPr>
      <w:tblPr/>
      <w:tcPr>
        <w:tcBorders>
          <w:top w:val="nil"/>
          <w:bottom w:val="single" w:sz="12" w:space="0" w:color="3AC1FF" w:themeColor="accent6" w:themeTint="99"/>
          <w:insideH w:val="nil"/>
          <w:insideV w:val="nil"/>
        </w:tcBorders>
        <w:shd w:val="clear" w:color="auto" w:fill="FFFFFF" w:themeFill="background1"/>
      </w:tcPr>
    </w:tblStylePr>
    <w:tblStylePr w:type="lastRow">
      <w:rPr>
        <w:b/>
        <w:bCs/>
      </w:rPr>
      <w:tblPr/>
      <w:tcPr>
        <w:tcBorders>
          <w:top w:val="double" w:sz="2" w:space="0" w:color="3AC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3">
    <w:name w:val="Grid Table 3"/>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bottom w:val="single" w:sz="4" w:space="0" w:color="E6E7E6" w:themeColor="accent1" w:themeTint="99"/>
        </w:tcBorders>
      </w:tcPr>
    </w:tblStylePr>
    <w:tblStylePr w:type="nwCell">
      <w:tblPr/>
      <w:tcPr>
        <w:tcBorders>
          <w:bottom w:val="single" w:sz="4" w:space="0" w:color="E6E7E6" w:themeColor="accent1" w:themeTint="99"/>
        </w:tcBorders>
      </w:tcPr>
    </w:tblStylePr>
    <w:tblStylePr w:type="seCell">
      <w:tblPr/>
      <w:tcPr>
        <w:tcBorders>
          <w:top w:val="single" w:sz="4" w:space="0" w:color="E6E7E6" w:themeColor="accent1" w:themeTint="99"/>
        </w:tcBorders>
      </w:tcPr>
    </w:tblStylePr>
    <w:tblStylePr w:type="swCell">
      <w:tblPr/>
      <w:tcPr>
        <w:tcBorders>
          <w:top w:val="single" w:sz="4" w:space="0" w:color="E6E7E6" w:themeColor="accent1" w:themeTint="99"/>
        </w:tcBorders>
      </w:tcPr>
    </w:tblStylePr>
  </w:style>
  <w:style w:type="table" w:styleId="GridTable3-Accent2">
    <w:name w:val="Grid Table 3 Accent 2"/>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bottom w:val="single" w:sz="4" w:space="0" w:color="FFDC6B" w:themeColor="accent2" w:themeTint="99"/>
        </w:tcBorders>
      </w:tcPr>
    </w:tblStylePr>
    <w:tblStylePr w:type="nwCell">
      <w:tblPr/>
      <w:tcPr>
        <w:tcBorders>
          <w:bottom w:val="single" w:sz="4" w:space="0" w:color="FFDC6B" w:themeColor="accent2" w:themeTint="99"/>
        </w:tcBorders>
      </w:tcPr>
    </w:tblStylePr>
    <w:tblStylePr w:type="seCell">
      <w:tblPr/>
      <w:tcPr>
        <w:tcBorders>
          <w:top w:val="single" w:sz="4" w:space="0" w:color="FFDC6B" w:themeColor="accent2" w:themeTint="99"/>
        </w:tcBorders>
      </w:tcPr>
    </w:tblStylePr>
    <w:tblStylePr w:type="swCell">
      <w:tblPr/>
      <w:tcPr>
        <w:tcBorders>
          <w:top w:val="single" w:sz="4" w:space="0" w:color="FFDC6B" w:themeColor="accent2" w:themeTint="99"/>
        </w:tcBorders>
      </w:tcPr>
    </w:tblStylePr>
  </w:style>
  <w:style w:type="table" w:styleId="GridTable3-Accent3">
    <w:name w:val="Grid Table 3 Accent 3"/>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bottom w:val="single" w:sz="4" w:space="0" w:color="EE6584" w:themeColor="accent3" w:themeTint="99"/>
        </w:tcBorders>
      </w:tcPr>
    </w:tblStylePr>
    <w:tblStylePr w:type="nwCell">
      <w:tblPr/>
      <w:tcPr>
        <w:tcBorders>
          <w:bottom w:val="single" w:sz="4" w:space="0" w:color="EE6584" w:themeColor="accent3" w:themeTint="99"/>
        </w:tcBorders>
      </w:tcPr>
    </w:tblStylePr>
    <w:tblStylePr w:type="seCell">
      <w:tblPr/>
      <w:tcPr>
        <w:tcBorders>
          <w:top w:val="single" w:sz="4" w:space="0" w:color="EE6584" w:themeColor="accent3" w:themeTint="99"/>
        </w:tcBorders>
      </w:tcPr>
    </w:tblStylePr>
    <w:tblStylePr w:type="swCell">
      <w:tblPr/>
      <w:tcPr>
        <w:tcBorders>
          <w:top w:val="single" w:sz="4" w:space="0" w:color="EE6584" w:themeColor="accent3" w:themeTint="99"/>
        </w:tcBorders>
      </w:tcPr>
    </w:tblStylePr>
  </w:style>
  <w:style w:type="table" w:styleId="GridTable3-Accent4">
    <w:name w:val="Grid Table 3 Accent 4"/>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bottom w:val="single" w:sz="4" w:space="0" w:color="AF60D2" w:themeColor="accent4" w:themeTint="99"/>
        </w:tcBorders>
      </w:tcPr>
    </w:tblStylePr>
    <w:tblStylePr w:type="nwCell">
      <w:tblPr/>
      <w:tcPr>
        <w:tcBorders>
          <w:bottom w:val="single" w:sz="4" w:space="0" w:color="AF60D2" w:themeColor="accent4" w:themeTint="99"/>
        </w:tcBorders>
      </w:tcPr>
    </w:tblStylePr>
    <w:tblStylePr w:type="seCell">
      <w:tblPr/>
      <w:tcPr>
        <w:tcBorders>
          <w:top w:val="single" w:sz="4" w:space="0" w:color="AF60D2" w:themeColor="accent4" w:themeTint="99"/>
        </w:tcBorders>
      </w:tcPr>
    </w:tblStylePr>
    <w:tblStylePr w:type="swCell">
      <w:tblPr/>
      <w:tcPr>
        <w:tcBorders>
          <w:top w:val="single" w:sz="4" w:space="0" w:color="AF60D2" w:themeColor="accent4" w:themeTint="99"/>
        </w:tcBorders>
      </w:tcPr>
    </w:tblStylePr>
  </w:style>
  <w:style w:type="table" w:styleId="GridTable3-Accent5">
    <w:name w:val="Grid Table 3 Accent 5"/>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bottom w:val="single" w:sz="4" w:space="0" w:color="63E18C" w:themeColor="accent5" w:themeTint="99"/>
        </w:tcBorders>
      </w:tcPr>
    </w:tblStylePr>
    <w:tblStylePr w:type="nwCell">
      <w:tblPr/>
      <w:tcPr>
        <w:tcBorders>
          <w:bottom w:val="single" w:sz="4" w:space="0" w:color="63E18C" w:themeColor="accent5" w:themeTint="99"/>
        </w:tcBorders>
      </w:tcPr>
    </w:tblStylePr>
    <w:tblStylePr w:type="seCell">
      <w:tblPr/>
      <w:tcPr>
        <w:tcBorders>
          <w:top w:val="single" w:sz="4" w:space="0" w:color="63E18C" w:themeColor="accent5" w:themeTint="99"/>
        </w:tcBorders>
      </w:tcPr>
    </w:tblStylePr>
    <w:tblStylePr w:type="swCell">
      <w:tblPr/>
      <w:tcPr>
        <w:tcBorders>
          <w:top w:val="single" w:sz="4" w:space="0" w:color="63E18C" w:themeColor="accent5" w:themeTint="99"/>
        </w:tcBorders>
      </w:tcPr>
    </w:tblStylePr>
  </w:style>
  <w:style w:type="table" w:styleId="GridTable3-Accent6">
    <w:name w:val="Grid Table 3 Accent 6"/>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bottom w:val="single" w:sz="4" w:space="0" w:color="3AC1FF" w:themeColor="accent6" w:themeTint="99"/>
        </w:tcBorders>
      </w:tcPr>
    </w:tblStylePr>
    <w:tblStylePr w:type="nwCell">
      <w:tblPr/>
      <w:tcPr>
        <w:tcBorders>
          <w:bottom w:val="single" w:sz="4" w:space="0" w:color="3AC1FF" w:themeColor="accent6" w:themeTint="99"/>
        </w:tcBorders>
      </w:tcPr>
    </w:tblStylePr>
    <w:tblStylePr w:type="seCell">
      <w:tblPr/>
      <w:tcPr>
        <w:tcBorders>
          <w:top w:val="single" w:sz="4" w:space="0" w:color="3AC1FF" w:themeColor="accent6" w:themeTint="99"/>
        </w:tcBorders>
      </w:tcPr>
    </w:tblStylePr>
    <w:tblStylePr w:type="swCell">
      <w:tblPr/>
      <w:tcPr>
        <w:tcBorders>
          <w:top w:val="single" w:sz="4" w:space="0" w:color="3AC1FF" w:themeColor="accent6" w:themeTint="99"/>
        </w:tcBorders>
      </w:tcPr>
    </w:tblStylePr>
  </w:style>
  <w:style w:type="table" w:styleId="GridTable4">
    <w:name w:val="Grid Table 4"/>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color w:val="FFFFFF" w:themeColor="background1"/>
      </w:rPr>
      <w:tbl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insideV w:val="nil"/>
        </w:tcBorders>
        <w:shd w:val="clear" w:color="auto" w:fill="D7D8D6" w:themeFill="accent1"/>
      </w:tcPr>
    </w:tblStylePr>
    <w:tblStylePr w:type="lastRow">
      <w:rPr>
        <w:b/>
        <w:bCs/>
      </w:rPr>
      <w:tblPr/>
      <w:tcPr>
        <w:tcBorders>
          <w:top w:val="double" w:sz="4" w:space="0" w:color="D7D8D6" w:themeColor="accent1"/>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4-Accent2">
    <w:name w:val="Grid Table 4 Accent 2"/>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insideV w:val="nil"/>
        </w:tcBorders>
        <w:shd w:val="clear" w:color="auto" w:fill="FFC709" w:themeFill="accent2"/>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4-Accent3">
    <w:name w:val="Grid Table 4 Accent 3"/>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color w:val="FFFFFF" w:themeColor="background1"/>
      </w:rPr>
      <w:tblPr/>
      <w:tcPr>
        <w:tcBorders>
          <w:top w:val="single" w:sz="4" w:space="0" w:color="CD163F" w:themeColor="accent3"/>
          <w:left w:val="single" w:sz="4" w:space="0" w:color="CD163F" w:themeColor="accent3"/>
          <w:bottom w:val="single" w:sz="4" w:space="0" w:color="CD163F" w:themeColor="accent3"/>
          <w:right w:val="single" w:sz="4" w:space="0" w:color="CD163F" w:themeColor="accent3"/>
          <w:insideH w:val="nil"/>
          <w:insideV w:val="nil"/>
        </w:tcBorders>
        <w:shd w:val="clear" w:color="auto" w:fill="CD163F" w:themeFill="accent3"/>
      </w:tcPr>
    </w:tblStylePr>
    <w:tblStylePr w:type="lastRow">
      <w:rPr>
        <w:b/>
        <w:bCs/>
      </w:rPr>
      <w:tblPr/>
      <w:tcPr>
        <w:tcBorders>
          <w:top w:val="double" w:sz="4" w:space="0" w:color="CD163F" w:themeColor="accent3"/>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4-Accent4">
    <w:name w:val="Grid Table 4 Accent 4"/>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color w:val="FFFFFF" w:themeColor="background1"/>
      </w:rPr>
      <w:tbl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insideV w:val="nil"/>
        </w:tcBorders>
        <w:shd w:val="clear" w:color="auto" w:fill="692686" w:themeFill="accent4"/>
      </w:tcPr>
    </w:tblStylePr>
    <w:tblStylePr w:type="lastRow">
      <w:rPr>
        <w:b/>
        <w:bCs/>
      </w:rPr>
      <w:tblPr/>
      <w:tcPr>
        <w:tcBorders>
          <w:top w:val="double" w:sz="4" w:space="0" w:color="692686" w:themeColor="accent4"/>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4-Accent5">
    <w:name w:val="Grid Table 4 Accent 5"/>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color w:val="FFFFFF" w:themeColor="background1"/>
      </w:rPr>
      <w:tbl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insideV w:val="nil"/>
        </w:tcBorders>
        <w:shd w:val="clear" w:color="auto" w:fill="20AA4D" w:themeFill="accent5"/>
      </w:tcPr>
    </w:tblStylePr>
    <w:tblStylePr w:type="lastRow">
      <w:rPr>
        <w:b/>
        <w:bCs/>
      </w:rPr>
      <w:tblPr/>
      <w:tcPr>
        <w:tcBorders>
          <w:top w:val="double" w:sz="4" w:space="0" w:color="20AA4D" w:themeColor="accent5"/>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4-Accent6">
    <w:name w:val="Grid Table 4 Accent 6"/>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color w:val="FFFFFF" w:themeColor="background1"/>
      </w:rPr>
      <w:tbl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insideV w:val="nil"/>
        </w:tcBorders>
        <w:shd w:val="clear" w:color="auto" w:fill="007DB6" w:themeFill="accent6"/>
      </w:tcPr>
    </w:tblStylePr>
    <w:tblStylePr w:type="lastRow">
      <w:rPr>
        <w:b/>
        <w:bCs/>
      </w:rPr>
      <w:tblPr/>
      <w:tcPr>
        <w:tcBorders>
          <w:top w:val="double" w:sz="4" w:space="0" w:color="007DB6" w:themeColor="accent6"/>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5Dark">
    <w:name w:val="Grid Table 5 Dark"/>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D8D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D8D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D8D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D8D6" w:themeFill="accent1"/>
      </w:tcPr>
    </w:tblStylePr>
    <w:tblStylePr w:type="band1Vert">
      <w:tblPr/>
      <w:tcPr>
        <w:shd w:val="clear" w:color="auto" w:fill="EEEFEE" w:themeFill="accent1" w:themeFillTint="66"/>
      </w:tcPr>
    </w:tblStylePr>
    <w:tblStylePr w:type="band1Horz">
      <w:tblPr/>
      <w:tcPr>
        <w:shd w:val="clear" w:color="auto" w:fill="EEEFEE" w:themeFill="accent1" w:themeFillTint="66"/>
      </w:tcPr>
    </w:tblStylePr>
  </w:style>
  <w:style w:type="table" w:styleId="GridTable5Dark-Accent2">
    <w:name w:val="Grid Table 5 Dark Accent 2"/>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70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70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70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709" w:themeFill="accent2"/>
      </w:tcPr>
    </w:tblStylePr>
    <w:tblStylePr w:type="band1Vert">
      <w:tblPr/>
      <w:tcPr>
        <w:shd w:val="clear" w:color="auto" w:fill="FFE89C" w:themeFill="accent2" w:themeFillTint="66"/>
      </w:tcPr>
    </w:tblStylePr>
    <w:tblStylePr w:type="band1Horz">
      <w:tblPr/>
      <w:tcPr>
        <w:shd w:val="clear" w:color="auto" w:fill="FFE89C" w:themeFill="accent2" w:themeFillTint="66"/>
      </w:tcPr>
    </w:tblStylePr>
  </w:style>
  <w:style w:type="table" w:styleId="GridTable5Dark-Accent3">
    <w:name w:val="Grid Table 5 Dark Accent 3"/>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B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16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16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16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163F" w:themeFill="accent3"/>
      </w:tcPr>
    </w:tblStylePr>
    <w:tblStylePr w:type="band1Vert">
      <w:tblPr/>
      <w:tcPr>
        <w:shd w:val="clear" w:color="auto" w:fill="F498AD" w:themeFill="accent3" w:themeFillTint="66"/>
      </w:tcPr>
    </w:tblStylePr>
    <w:tblStylePr w:type="band1Horz">
      <w:tblPr/>
      <w:tcPr>
        <w:shd w:val="clear" w:color="auto" w:fill="F498AD" w:themeFill="accent3" w:themeFillTint="66"/>
      </w:tcPr>
    </w:tblStylePr>
  </w:style>
  <w:style w:type="table" w:styleId="GridTable5Dark-Accent4">
    <w:name w:val="Grid Table 5 Dark Accent 4"/>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A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2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2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2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2686" w:themeFill="accent4"/>
      </w:tcPr>
    </w:tblStylePr>
    <w:tblStylePr w:type="band1Vert">
      <w:tblPr/>
      <w:tcPr>
        <w:shd w:val="clear" w:color="auto" w:fill="CA95E1" w:themeFill="accent4" w:themeFillTint="66"/>
      </w:tcPr>
    </w:tblStylePr>
    <w:tblStylePr w:type="band1Horz">
      <w:tblPr/>
      <w:tcPr>
        <w:shd w:val="clear" w:color="auto" w:fill="CA95E1" w:themeFill="accent4" w:themeFillTint="66"/>
      </w:tcPr>
    </w:tblStylePr>
  </w:style>
  <w:style w:type="table" w:styleId="GridTable5Dark-Accent5">
    <w:name w:val="Grid Table 5 Dark Accent 5"/>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5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AA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AA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AA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AA4D" w:themeFill="accent5"/>
      </w:tcPr>
    </w:tblStylePr>
    <w:tblStylePr w:type="band1Vert">
      <w:tblPr/>
      <w:tcPr>
        <w:shd w:val="clear" w:color="auto" w:fill="97EBB2" w:themeFill="accent5" w:themeFillTint="66"/>
      </w:tcPr>
    </w:tblStylePr>
    <w:tblStylePr w:type="band1Horz">
      <w:tblPr/>
      <w:tcPr>
        <w:shd w:val="clear" w:color="auto" w:fill="97EBB2" w:themeFill="accent5" w:themeFillTint="66"/>
      </w:tcPr>
    </w:tblStylePr>
  </w:style>
  <w:style w:type="table" w:styleId="GridTable5Dark-Accent6">
    <w:name w:val="Grid Table 5 Dark Accent 6"/>
    <w:basedOn w:val="TableNormal"/>
    <w:uiPriority w:val="50"/>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B6" w:themeFill="accent6"/>
      </w:tcPr>
    </w:tblStylePr>
    <w:tblStylePr w:type="band1Vert">
      <w:tblPr/>
      <w:tcPr>
        <w:shd w:val="clear" w:color="auto" w:fill="7BD5FF" w:themeFill="accent6" w:themeFillTint="66"/>
      </w:tcPr>
    </w:tblStylePr>
    <w:tblStylePr w:type="band1Horz">
      <w:tblPr/>
      <w:tcPr>
        <w:shd w:val="clear" w:color="auto" w:fill="7BD5FF" w:themeFill="accent6" w:themeFillTint="66"/>
      </w:tcPr>
    </w:tblStylePr>
  </w:style>
  <w:style w:type="table" w:styleId="GridTable6Colorful">
    <w:name w:val="Grid Table 6 Colorful"/>
    <w:basedOn w:val="TableNormal"/>
    <w:uiPriority w:val="51"/>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7857"/>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bottom w:val="single" w:sz="12" w:space="0" w:color="E6E7E6" w:themeColor="accent1" w:themeTint="99"/>
        </w:tcBorders>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GridTable6Colorful-Accent2">
    <w:name w:val="Grid Table 6 Colorful Accent 2"/>
    <w:basedOn w:val="TableNormal"/>
    <w:uiPriority w:val="51"/>
    <w:rsid w:val="00397857"/>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insideV w:val="single" w:sz="4" w:space="0" w:color="FFDC6B" w:themeColor="accent2" w:themeTint="99"/>
      </w:tblBorders>
    </w:tblPr>
    <w:tblStylePr w:type="firstRow">
      <w:rPr>
        <w:b/>
        <w:bCs/>
      </w:rPr>
      <w:tblPr/>
      <w:tcPr>
        <w:tcBorders>
          <w:bottom w:val="single" w:sz="12" w:space="0" w:color="FFDC6B" w:themeColor="accent2" w:themeTint="99"/>
        </w:tcBorders>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GridTable6Colorful-Accent3">
    <w:name w:val="Grid Table 6 Colorful Accent 3"/>
    <w:basedOn w:val="TableNormal"/>
    <w:uiPriority w:val="51"/>
    <w:rsid w:val="00397857"/>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bottom w:val="single" w:sz="12" w:space="0" w:color="EE6584" w:themeColor="accent3" w:themeTint="99"/>
        </w:tcBorders>
      </w:tcPr>
    </w:tblStylePr>
    <w:tblStylePr w:type="lastRow">
      <w:rPr>
        <w:b/>
        <w:bCs/>
      </w:rPr>
      <w:tblPr/>
      <w:tcPr>
        <w:tcBorders>
          <w:top w:val="doub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GridTable6Colorful-Accent4">
    <w:name w:val="Grid Table 6 Colorful Accent 4"/>
    <w:basedOn w:val="TableNormal"/>
    <w:uiPriority w:val="51"/>
    <w:rsid w:val="00397857"/>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bottom w:val="single" w:sz="12" w:space="0" w:color="AF60D2" w:themeColor="accent4" w:themeTint="99"/>
        </w:tcBorders>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GridTable6Colorful-Accent5">
    <w:name w:val="Grid Table 6 Colorful Accent 5"/>
    <w:basedOn w:val="TableNormal"/>
    <w:uiPriority w:val="51"/>
    <w:rsid w:val="00397857"/>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bottom w:val="single" w:sz="12" w:space="0" w:color="63E18C" w:themeColor="accent5" w:themeTint="99"/>
        </w:tcBorders>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GridTable6Colorful-Accent6">
    <w:name w:val="Grid Table 6 Colorful Accent 6"/>
    <w:basedOn w:val="TableNormal"/>
    <w:uiPriority w:val="51"/>
    <w:rsid w:val="00397857"/>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bottom w:val="single" w:sz="12" w:space="0" w:color="3AC1FF" w:themeColor="accent6" w:themeTint="99"/>
        </w:tcBorders>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GridTable7Colorful">
    <w:name w:val="Grid Table 7 Colorful"/>
    <w:basedOn w:val="TableNormal"/>
    <w:uiPriority w:val="52"/>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7857"/>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insideV w:val="single" w:sz="4" w:space="0" w:color="E6E7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bottom w:val="single" w:sz="4" w:space="0" w:color="E6E7E6" w:themeColor="accent1" w:themeTint="99"/>
        </w:tcBorders>
      </w:tcPr>
    </w:tblStylePr>
    <w:tblStylePr w:type="nwCell">
      <w:tblPr/>
      <w:tcPr>
        <w:tcBorders>
          <w:bottom w:val="single" w:sz="4" w:space="0" w:color="E6E7E6" w:themeColor="accent1" w:themeTint="99"/>
        </w:tcBorders>
      </w:tcPr>
    </w:tblStylePr>
    <w:tblStylePr w:type="seCell">
      <w:tblPr/>
      <w:tcPr>
        <w:tcBorders>
          <w:top w:val="single" w:sz="4" w:space="0" w:color="E6E7E6" w:themeColor="accent1" w:themeTint="99"/>
        </w:tcBorders>
      </w:tcPr>
    </w:tblStylePr>
    <w:tblStylePr w:type="swCell">
      <w:tblPr/>
      <w:tcPr>
        <w:tcBorders>
          <w:top w:val="single" w:sz="4" w:space="0" w:color="E6E7E6" w:themeColor="accent1" w:themeTint="99"/>
        </w:tcBorders>
      </w:tcPr>
    </w:tblStylePr>
  </w:style>
  <w:style w:type="table" w:styleId="GridTable7Colorful-Accent3">
    <w:name w:val="Grid Table 7 Colorful Accent 3"/>
    <w:basedOn w:val="TableNormal"/>
    <w:uiPriority w:val="52"/>
    <w:rsid w:val="00397857"/>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insideV w:val="single" w:sz="4" w:space="0" w:color="EE65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bottom w:val="single" w:sz="4" w:space="0" w:color="EE6584" w:themeColor="accent3" w:themeTint="99"/>
        </w:tcBorders>
      </w:tcPr>
    </w:tblStylePr>
    <w:tblStylePr w:type="nwCell">
      <w:tblPr/>
      <w:tcPr>
        <w:tcBorders>
          <w:bottom w:val="single" w:sz="4" w:space="0" w:color="EE6584" w:themeColor="accent3" w:themeTint="99"/>
        </w:tcBorders>
      </w:tcPr>
    </w:tblStylePr>
    <w:tblStylePr w:type="seCell">
      <w:tblPr/>
      <w:tcPr>
        <w:tcBorders>
          <w:top w:val="single" w:sz="4" w:space="0" w:color="EE6584" w:themeColor="accent3" w:themeTint="99"/>
        </w:tcBorders>
      </w:tcPr>
    </w:tblStylePr>
    <w:tblStylePr w:type="swCell">
      <w:tblPr/>
      <w:tcPr>
        <w:tcBorders>
          <w:top w:val="single" w:sz="4" w:space="0" w:color="EE6584" w:themeColor="accent3" w:themeTint="99"/>
        </w:tcBorders>
      </w:tcPr>
    </w:tblStylePr>
  </w:style>
  <w:style w:type="table" w:styleId="GridTable7Colorful-Accent4">
    <w:name w:val="Grid Table 7 Colorful Accent 4"/>
    <w:basedOn w:val="TableNormal"/>
    <w:uiPriority w:val="52"/>
    <w:rsid w:val="00397857"/>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insideV w:val="single" w:sz="4" w:space="0" w:color="AF60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bottom w:val="single" w:sz="4" w:space="0" w:color="AF60D2" w:themeColor="accent4" w:themeTint="99"/>
        </w:tcBorders>
      </w:tcPr>
    </w:tblStylePr>
    <w:tblStylePr w:type="nwCell">
      <w:tblPr/>
      <w:tcPr>
        <w:tcBorders>
          <w:bottom w:val="single" w:sz="4" w:space="0" w:color="AF60D2" w:themeColor="accent4" w:themeTint="99"/>
        </w:tcBorders>
      </w:tcPr>
    </w:tblStylePr>
    <w:tblStylePr w:type="seCell">
      <w:tblPr/>
      <w:tcPr>
        <w:tcBorders>
          <w:top w:val="single" w:sz="4" w:space="0" w:color="AF60D2" w:themeColor="accent4" w:themeTint="99"/>
        </w:tcBorders>
      </w:tcPr>
    </w:tblStylePr>
    <w:tblStylePr w:type="swCell">
      <w:tblPr/>
      <w:tcPr>
        <w:tcBorders>
          <w:top w:val="single" w:sz="4" w:space="0" w:color="AF60D2" w:themeColor="accent4" w:themeTint="99"/>
        </w:tcBorders>
      </w:tcPr>
    </w:tblStylePr>
  </w:style>
  <w:style w:type="table" w:styleId="GridTable7Colorful-Accent5">
    <w:name w:val="Grid Table 7 Colorful Accent 5"/>
    <w:basedOn w:val="TableNormal"/>
    <w:uiPriority w:val="52"/>
    <w:rsid w:val="00397857"/>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insideV w:val="single" w:sz="4" w:space="0" w:color="63E1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bottom w:val="single" w:sz="4" w:space="0" w:color="63E18C" w:themeColor="accent5" w:themeTint="99"/>
        </w:tcBorders>
      </w:tcPr>
    </w:tblStylePr>
    <w:tblStylePr w:type="nwCell">
      <w:tblPr/>
      <w:tcPr>
        <w:tcBorders>
          <w:bottom w:val="single" w:sz="4" w:space="0" w:color="63E18C" w:themeColor="accent5" w:themeTint="99"/>
        </w:tcBorders>
      </w:tcPr>
    </w:tblStylePr>
    <w:tblStylePr w:type="seCell">
      <w:tblPr/>
      <w:tcPr>
        <w:tcBorders>
          <w:top w:val="single" w:sz="4" w:space="0" w:color="63E18C" w:themeColor="accent5" w:themeTint="99"/>
        </w:tcBorders>
      </w:tcPr>
    </w:tblStylePr>
    <w:tblStylePr w:type="swCell">
      <w:tblPr/>
      <w:tcPr>
        <w:tcBorders>
          <w:top w:val="single" w:sz="4" w:space="0" w:color="63E18C" w:themeColor="accent5" w:themeTint="99"/>
        </w:tcBorders>
      </w:tcPr>
    </w:tblStylePr>
  </w:style>
  <w:style w:type="table" w:styleId="GridTable7Colorful-Accent6">
    <w:name w:val="Grid Table 7 Colorful Accent 6"/>
    <w:basedOn w:val="TableNormal"/>
    <w:uiPriority w:val="52"/>
    <w:rsid w:val="00397857"/>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insideV w:val="single" w:sz="4" w:space="0" w:color="3AC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bottom w:val="single" w:sz="4" w:space="0" w:color="3AC1FF" w:themeColor="accent6" w:themeTint="99"/>
        </w:tcBorders>
      </w:tcPr>
    </w:tblStylePr>
    <w:tblStylePr w:type="nwCell">
      <w:tblPr/>
      <w:tcPr>
        <w:tcBorders>
          <w:bottom w:val="single" w:sz="4" w:space="0" w:color="3AC1FF" w:themeColor="accent6" w:themeTint="99"/>
        </w:tcBorders>
      </w:tcPr>
    </w:tblStylePr>
    <w:tblStylePr w:type="seCell">
      <w:tblPr/>
      <w:tcPr>
        <w:tcBorders>
          <w:top w:val="single" w:sz="4" w:space="0" w:color="3AC1FF" w:themeColor="accent6" w:themeTint="99"/>
        </w:tcBorders>
      </w:tcPr>
    </w:tblStylePr>
    <w:tblStylePr w:type="swCell">
      <w:tblPr/>
      <w:tcPr>
        <w:tcBorders>
          <w:top w:val="single" w:sz="4" w:space="0" w:color="3AC1FF" w:themeColor="accent6" w:themeTint="99"/>
        </w:tcBorders>
      </w:tcPr>
    </w:tblStylePr>
  </w:style>
  <w:style w:type="character" w:styleId="HTMLAcronym">
    <w:name w:val="HTML Acronym"/>
    <w:basedOn w:val="DefaultParagraphFont"/>
    <w:semiHidden/>
    <w:unhideWhenUsed/>
    <w:rsid w:val="00397857"/>
  </w:style>
  <w:style w:type="character" w:styleId="HTMLCite">
    <w:name w:val="HTML Cite"/>
    <w:basedOn w:val="DefaultParagraphFont"/>
    <w:semiHidden/>
    <w:unhideWhenUsed/>
    <w:rsid w:val="00397857"/>
    <w:rPr>
      <w:i/>
      <w:iCs/>
    </w:rPr>
  </w:style>
  <w:style w:type="character" w:styleId="HTMLCode">
    <w:name w:val="HTML Code"/>
    <w:basedOn w:val="DefaultParagraphFont"/>
    <w:semiHidden/>
    <w:unhideWhenUsed/>
    <w:rsid w:val="00397857"/>
    <w:rPr>
      <w:rFonts w:ascii="Consolas" w:hAnsi="Consolas" w:cs="Consolas"/>
      <w:sz w:val="20"/>
      <w:szCs w:val="20"/>
    </w:rPr>
  </w:style>
  <w:style w:type="character" w:styleId="HTMLDefinition">
    <w:name w:val="HTML Definition"/>
    <w:basedOn w:val="DefaultParagraphFont"/>
    <w:semiHidden/>
    <w:unhideWhenUsed/>
    <w:rsid w:val="00397857"/>
    <w:rPr>
      <w:i/>
      <w:iCs/>
    </w:rPr>
  </w:style>
  <w:style w:type="character" w:styleId="HTMLKeyboard">
    <w:name w:val="HTML Keyboard"/>
    <w:basedOn w:val="DefaultParagraphFont"/>
    <w:semiHidden/>
    <w:unhideWhenUsed/>
    <w:rsid w:val="00397857"/>
    <w:rPr>
      <w:rFonts w:ascii="Consolas" w:hAnsi="Consolas" w:cs="Consolas"/>
      <w:sz w:val="20"/>
      <w:szCs w:val="20"/>
    </w:rPr>
  </w:style>
  <w:style w:type="character" w:styleId="HTMLSample">
    <w:name w:val="HTML Sample"/>
    <w:basedOn w:val="DefaultParagraphFont"/>
    <w:semiHidden/>
    <w:unhideWhenUsed/>
    <w:rsid w:val="00397857"/>
    <w:rPr>
      <w:rFonts w:ascii="Consolas" w:hAnsi="Consolas" w:cs="Consolas"/>
      <w:sz w:val="24"/>
      <w:szCs w:val="24"/>
    </w:rPr>
  </w:style>
  <w:style w:type="character" w:styleId="HTMLTypewriter">
    <w:name w:val="HTML Typewriter"/>
    <w:basedOn w:val="DefaultParagraphFont"/>
    <w:semiHidden/>
    <w:unhideWhenUsed/>
    <w:rsid w:val="00397857"/>
    <w:rPr>
      <w:rFonts w:ascii="Consolas" w:hAnsi="Consolas" w:cs="Consolas"/>
      <w:sz w:val="20"/>
      <w:szCs w:val="20"/>
    </w:rPr>
  </w:style>
  <w:style w:type="character" w:styleId="HTMLVariable">
    <w:name w:val="HTML Variable"/>
    <w:basedOn w:val="DefaultParagraphFont"/>
    <w:semiHidden/>
    <w:unhideWhenUsed/>
    <w:rsid w:val="00397857"/>
    <w:rPr>
      <w:i/>
      <w:iCs/>
    </w:rPr>
  </w:style>
  <w:style w:type="character" w:styleId="IntenseReference">
    <w:name w:val="Intense Reference"/>
    <w:basedOn w:val="DefaultParagraphFont"/>
    <w:uiPriority w:val="32"/>
    <w:rsid w:val="00397857"/>
    <w:rPr>
      <w:b/>
      <w:bCs/>
      <w:smallCaps/>
      <w:color w:val="D7D8D6" w:themeColor="accent1"/>
      <w:spacing w:val="5"/>
    </w:rPr>
  </w:style>
  <w:style w:type="table" w:styleId="LightGrid-Accent1">
    <w:name w:val="Light Grid Accent 1"/>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insideH w:val="single" w:sz="8" w:space="0" w:color="D7D8D6" w:themeColor="accent1"/>
        <w:insideV w:val="single" w:sz="8" w:space="0" w:color="D7D8D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8D6" w:themeColor="accent1"/>
          <w:left w:val="single" w:sz="8" w:space="0" w:color="D7D8D6" w:themeColor="accent1"/>
          <w:bottom w:val="single" w:sz="18" w:space="0" w:color="D7D8D6" w:themeColor="accent1"/>
          <w:right w:val="single" w:sz="8" w:space="0" w:color="D7D8D6" w:themeColor="accent1"/>
          <w:insideH w:val="nil"/>
          <w:insideV w:val="single" w:sz="8" w:space="0" w:color="D7D8D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8D6" w:themeColor="accent1"/>
          <w:left w:val="single" w:sz="8" w:space="0" w:color="D7D8D6" w:themeColor="accent1"/>
          <w:bottom w:val="single" w:sz="8" w:space="0" w:color="D7D8D6" w:themeColor="accent1"/>
          <w:right w:val="single" w:sz="8" w:space="0" w:color="D7D8D6" w:themeColor="accent1"/>
          <w:insideH w:val="nil"/>
          <w:insideV w:val="single" w:sz="8" w:space="0" w:color="D7D8D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tblStylePr w:type="band1Vert">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shd w:val="clear" w:color="auto" w:fill="F4F5F4" w:themeFill="accent1" w:themeFillTint="3F"/>
      </w:tcPr>
    </w:tblStylePr>
    <w:tblStylePr w:type="band1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insideV w:val="single" w:sz="8" w:space="0" w:color="D7D8D6" w:themeColor="accent1"/>
        </w:tcBorders>
        <w:shd w:val="clear" w:color="auto" w:fill="F4F5F4" w:themeFill="accent1" w:themeFillTint="3F"/>
      </w:tcPr>
    </w:tblStylePr>
    <w:tblStylePr w:type="band2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insideV w:val="single" w:sz="8" w:space="0" w:color="D7D8D6" w:themeColor="accent1"/>
        </w:tcBorders>
      </w:tcPr>
    </w:tblStylePr>
  </w:style>
  <w:style w:type="table" w:styleId="LightGrid-Accent2">
    <w:name w:val="Light Grid Accent 2"/>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insideH w:val="single" w:sz="8" w:space="0" w:color="FFC709" w:themeColor="accent2"/>
        <w:insideV w:val="single" w:sz="8" w:space="0" w:color="FFC70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09" w:themeColor="accent2"/>
          <w:left w:val="single" w:sz="8" w:space="0" w:color="FFC709" w:themeColor="accent2"/>
          <w:bottom w:val="single" w:sz="18" w:space="0" w:color="FFC709" w:themeColor="accent2"/>
          <w:right w:val="single" w:sz="8" w:space="0" w:color="FFC709" w:themeColor="accent2"/>
          <w:insideH w:val="nil"/>
          <w:insideV w:val="single" w:sz="8" w:space="0" w:color="FFC70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09" w:themeColor="accent2"/>
          <w:left w:val="single" w:sz="8" w:space="0" w:color="FFC709" w:themeColor="accent2"/>
          <w:bottom w:val="single" w:sz="8" w:space="0" w:color="FFC709" w:themeColor="accent2"/>
          <w:right w:val="single" w:sz="8" w:space="0" w:color="FFC709" w:themeColor="accent2"/>
          <w:insideH w:val="nil"/>
          <w:insideV w:val="single" w:sz="8" w:space="0" w:color="FFC70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tblStylePr w:type="band1Vert">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shd w:val="clear" w:color="auto" w:fill="FFF0C2" w:themeFill="accent2" w:themeFillTint="3F"/>
      </w:tcPr>
    </w:tblStylePr>
    <w:tblStylePr w:type="band1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insideV w:val="single" w:sz="8" w:space="0" w:color="FFC709" w:themeColor="accent2"/>
        </w:tcBorders>
        <w:shd w:val="clear" w:color="auto" w:fill="FFF0C2" w:themeFill="accent2" w:themeFillTint="3F"/>
      </w:tcPr>
    </w:tblStylePr>
    <w:tblStylePr w:type="band2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insideV w:val="single" w:sz="8" w:space="0" w:color="FFC709" w:themeColor="accent2"/>
        </w:tcBorders>
      </w:tcPr>
    </w:tblStylePr>
  </w:style>
  <w:style w:type="table" w:styleId="LightGrid-Accent3">
    <w:name w:val="Light Grid Accent 3"/>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insideH w:val="single" w:sz="8" w:space="0" w:color="CD163F" w:themeColor="accent3"/>
        <w:insideV w:val="single" w:sz="8" w:space="0" w:color="CD16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163F" w:themeColor="accent3"/>
          <w:left w:val="single" w:sz="8" w:space="0" w:color="CD163F" w:themeColor="accent3"/>
          <w:bottom w:val="single" w:sz="18" w:space="0" w:color="CD163F" w:themeColor="accent3"/>
          <w:right w:val="single" w:sz="8" w:space="0" w:color="CD163F" w:themeColor="accent3"/>
          <w:insideH w:val="nil"/>
          <w:insideV w:val="single" w:sz="8" w:space="0" w:color="CD16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163F" w:themeColor="accent3"/>
          <w:left w:val="single" w:sz="8" w:space="0" w:color="CD163F" w:themeColor="accent3"/>
          <w:bottom w:val="single" w:sz="8" w:space="0" w:color="CD163F" w:themeColor="accent3"/>
          <w:right w:val="single" w:sz="8" w:space="0" w:color="CD163F" w:themeColor="accent3"/>
          <w:insideH w:val="nil"/>
          <w:insideV w:val="single" w:sz="8" w:space="0" w:color="CD16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tblStylePr w:type="band1Vert">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shd w:val="clear" w:color="auto" w:fill="F8BFCC" w:themeFill="accent3" w:themeFillTint="3F"/>
      </w:tcPr>
    </w:tblStylePr>
    <w:tblStylePr w:type="band1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insideV w:val="single" w:sz="8" w:space="0" w:color="CD163F" w:themeColor="accent3"/>
        </w:tcBorders>
        <w:shd w:val="clear" w:color="auto" w:fill="F8BFCC" w:themeFill="accent3" w:themeFillTint="3F"/>
      </w:tcPr>
    </w:tblStylePr>
    <w:tblStylePr w:type="band2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insideV w:val="single" w:sz="8" w:space="0" w:color="CD163F" w:themeColor="accent3"/>
        </w:tcBorders>
      </w:tcPr>
    </w:tblStylePr>
  </w:style>
  <w:style w:type="table" w:styleId="LightGrid-Accent4">
    <w:name w:val="Light Grid Accent 4"/>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insideH w:val="single" w:sz="8" w:space="0" w:color="692686" w:themeColor="accent4"/>
        <w:insideV w:val="single" w:sz="8" w:space="0" w:color="69268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2686" w:themeColor="accent4"/>
          <w:left w:val="single" w:sz="8" w:space="0" w:color="692686" w:themeColor="accent4"/>
          <w:bottom w:val="single" w:sz="18" w:space="0" w:color="692686" w:themeColor="accent4"/>
          <w:right w:val="single" w:sz="8" w:space="0" w:color="692686" w:themeColor="accent4"/>
          <w:insideH w:val="nil"/>
          <w:insideV w:val="single" w:sz="8" w:space="0" w:color="69268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2686" w:themeColor="accent4"/>
          <w:left w:val="single" w:sz="8" w:space="0" w:color="692686" w:themeColor="accent4"/>
          <w:bottom w:val="single" w:sz="8" w:space="0" w:color="692686" w:themeColor="accent4"/>
          <w:right w:val="single" w:sz="8" w:space="0" w:color="692686" w:themeColor="accent4"/>
          <w:insideH w:val="nil"/>
          <w:insideV w:val="single" w:sz="8" w:space="0" w:color="69268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tblStylePr w:type="band1Vert">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shd w:val="clear" w:color="auto" w:fill="DEBDEC" w:themeFill="accent4" w:themeFillTint="3F"/>
      </w:tcPr>
    </w:tblStylePr>
    <w:tblStylePr w:type="band1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insideV w:val="single" w:sz="8" w:space="0" w:color="692686" w:themeColor="accent4"/>
        </w:tcBorders>
        <w:shd w:val="clear" w:color="auto" w:fill="DEBDEC" w:themeFill="accent4" w:themeFillTint="3F"/>
      </w:tcPr>
    </w:tblStylePr>
    <w:tblStylePr w:type="band2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insideV w:val="single" w:sz="8" w:space="0" w:color="692686" w:themeColor="accent4"/>
        </w:tcBorders>
      </w:tcPr>
    </w:tblStylePr>
  </w:style>
  <w:style w:type="table" w:styleId="LightGrid-Accent5">
    <w:name w:val="Light Grid Accent 5"/>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insideH w:val="single" w:sz="8" w:space="0" w:color="20AA4D" w:themeColor="accent5"/>
        <w:insideV w:val="single" w:sz="8" w:space="0" w:color="20AA4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AA4D" w:themeColor="accent5"/>
          <w:left w:val="single" w:sz="8" w:space="0" w:color="20AA4D" w:themeColor="accent5"/>
          <w:bottom w:val="single" w:sz="18" w:space="0" w:color="20AA4D" w:themeColor="accent5"/>
          <w:right w:val="single" w:sz="8" w:space="0" w:color="20AA4D" w:themeColor="accent5"/>
          <w:insideH w:val="nil"/>
          <w:insideV w:val="single" w:sz="8" w:space="0" w:color="20AA4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AA4D" w:themeColor="accent5"/>
          <w:left w:val="single" w:sz="8" w:space="0" w:color="20AA4D" w:themeColor="accent5"/>
          <w:bottom w:val="single" w:sz="8" w:space="0" w:color="20AA4D" w:themeColor="accent5"/>
          <w:right w:val="single" w:sz="8" w:space="0" w:color="20AA4D" w:themeColor="accent5"/>
          <w:insideH w:val="nil"/>
          <w:insideV w:val="single" w:sz="8" w:space="0" w:color="20AA4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tblStylePr w:type="band1Vert">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shd w:val="clear" w:color="auto" w:fill="BEF3CF" w:themeFill="accent5" w:themeFillTint="3F"/>
      </w:tcPr>
    </w:tblStylePr>
    <w:tblStylePr w:type="band1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insideV w:val="single" w:sz="8" w:space="0" w:color="20AA4D" w:themeColor="accent5"/>
        </w:tcBorders>
        <w:shd w:val="clear" w:color="auto" w:fill="BEF3CF" w:themeFill="accent5" w:themeFillTint="3F"/>
      </w:tcPr>
    </w:tblStylePr>
    <w:tblStylePr w:type="band2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insideV w:val="single" w:sz="8" w:space="0" w:color="20AA4D" w:themeColor="accent5"/>
        </w:tcBorders>
      </w:tcPr>
    </w:tblStylePr>
  </w:style>
  <w:style w:type="table" w:styleId="LightGrid-Accent6">
    <w:name w:val="Light Grid Accent 6"/>
    <w:basedOn w:val="TableNormal"/>
    <w:uiPriority w:val="62"/>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insideH w:val="single" w:sz="8" w:space="0" w:color="007DB6" w:themeColor="accent6"/>
        <w:insideV w:val="single" w:sz="8" w:space="0" w:color="007D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B6" w:themeColor="accent6"/>
          <w:left w:val="single" w:sz="8" w:space="0" w:color="007DB6" w:themeColor="accent6"/>
          <w:bottom w:val="single" w:sz="18" w:space="0" w:color="007DB6" w:themeColor="accent6"/>
          <w:right w:val="single" w:sz="8" w:space="0" w:color="007DB6" w:themeColor="accent6"/>
          <w:insideH w:val="nil"/>
          <w:insideV w:val="single" w:sz="8" w:space="0" w:color="007D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B6" w:themeColor="accent6"/>
          <w:left w:val="single" w:sz="8" w:space="0" w:color="007DB6" w:themeColor="accent6"/>
          <w:bottom w:val="single" w:sz="8" w:space="0" w:color="007DB6" w:themeColor="accent6"/>
          <w:right w:val="single" w:sz="8" w:space="0" w:color="007DB6" w:themeColor="accent6"/>
          <w:insideH w:val="nil"/>
          <w:insideV w:val="single" w:sz="8" w:space="0" w:color="007D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tblStylePr w:type="band1Vert">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shd w:val="clear" w:color="auto" w:fill="ADE5FF" w:themeFill="accent6" w:themeFillTint="3F"/>
      </w:tcPr>
    </w:tblStylePr>
    <w:tblStylePr w:type="band1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insideV w:val="single" w:sz="8" w:space="0" w:color="007DB6" w:themeColor="accent6"/>
        </w:tcBorders>
        <w:shd w:val="clear" w:color="auto" w:fill="ADE5FF" w:themeFill="accent6" w:themeFillTint="3F"/>
      </w:tcPr>
    </w:tblStylePr>
    <w:tblStylePr w:type="band2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insideV w:val="single" w:sz="8" w:space="0" w:color="007DB6" w:themeColor="accent6"/>
        </w:tcBorders>
      </w:tcPr>
    </w:tblStylePr>
  </w:style>
  <w:style w:type="table" w:styleId="LightList">
    <w:name w:val="Light List"/>
    <w:basedOn w:val="TableNormal"/>
    <w:uiPriority w:val="61"/>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tblBorders>
    </w:tblPr>
    <w:tblStylePr w:type="firstRow">
      <w:pPr>
        <w:spacing w:before="0" w:after="0" w:line="240" w:lineRule="auto"/>
      </w:pPr>
      <w:rPr>
        <w:b/>
        <w:bCs/>
        <w:color w:val="FFFFFF" w:themeColor="background1"/>
      </w:rPr>
      <w:tblPr/>
      <w:tcPr>
        <w:shd w:val="clear" w:color="auto" w:fill="D7D8D6" w:themeFill="accent1"/>
      </w:tcPr>
    </w:tblStylePr>
    <w:tblStylePr w:type="lastRow">
      <w:pPr>
        <w:spacing w:before="0" w:after="0" w:line="240" w:lineRule="auto"/>
      </w:pPr>
      <w:rPr>
        <w:b/>
        <w:bCs/>
      </w:rPr>
      <w:tblPr/>
      <w:tcPr>
        <w:tcBorders>
          <w:top w:val="double" w:sz="6" w:space="0" w:color="D7D8D6" w:themeColor="accent1"/>
          <w:left w:val="single" w:sz="8" w:space="0" w:color="D7D8D6" w:themeColor="accent1"/>
          <w:bottom w:val="single" w:sz="8" w:space="0" w:color="D7D8D6" w:themeColor="accent1"/>
          <w:right w:val="single" w:sz="8" w:space="0" w:color="D7D8D6" w:themeColor="accent1"/>
        </w:tcBorders>
      </w:tcPr>
    </w:tblStylePr>
    <w:tblStylePr w:type="firstCol">
      <w:rPr>
        <w:b/>
        <w:bCs/>
      </w:rPr>
    </w:tblStylePr>
    <w:tblStylePr w:type="lastCol">
      <w:rPr>
        <w:b/>
        <w:bCs/>
      </w:rPr>
    </w:tblStylePr>
    <w:tblStylePr w:type="band1Vert">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tblStylePr w:type="band1Horz">
      <w:tblPr/>
      <w:tcPr>
        <w:tcBorders>
          <w:top w:val="single" w:sz="8" w:space="0" w:color="D7D8D6" w:themeColor="accent1"/>
          <w:left w:val="single" w:sz="8" w:space="0" w:color="D7D8D6" w:themeColor="accent1"/>
          <w:bottom w:val="single" w:sz="8" w:space="0" w:color="D7D8D6" w:themeColor="accent1"/>
          <w:right w:val="single" w:sz="8" w:space="0" w:color="D7D8D6" w:themeColor="accent1"/>
        </w:tcBorders>
      </w:tcPr>
    </w:tblStylePr>
  </w:style>
  <w:style w:type="table" w:styleId="LightList-Accent2">
    <w:name w:val="Light List Accent 2"/>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tblBorders>
    </w:tblPr>
    <w:tblStylePr w:type="firstRow">
      <w:pPr>
        <w:spacing w:before="0" w:after="0" w:line="240" w:lineRule="auto"/>
      </w:pPr>
      <w:rPr>
        <w:b/>
        <w:bCs/>
        <w:color w:val="FFFFFF" w:themeColor="background1"/>
      </w:rPr>
      <w:tblPr/>
      <w:tcPr>
        <w:shd w:val="clear" w:color="auto" w:fill="FFC709" w:themeFill="accent2"/>
      </w:tcPr>
    </w:tblStylePr>
    <w:tblStylePr w:type="lastRow">
      <w:pPr>
        <w:spacing w:before="0" w:after="0" w:line="240" w:lineRule="auto"/>
      </w:pPr>
      <w:rPr>
        <w:b/>
        <w:bCs/>
      </w:rPr>
      <w:tblPr/>
      <w:tcPr>
        <w:tcBorders>
          <w:top w:val="double" w:sz="6" w:space="0" w:color="FFC709" w:themeColor="accent2"/>
          <w:left w:val="single" w:sz="8" w:space="0" w:color="FFC709" w:themeColor="accent2"/>
          <w:bottom w:val="single" w:sz="8" w:space="0" w:color="FFC709" w:themeColor="accent2"/>
          <w:right w:val="single" w:sz="8" w:space="0" w:color="FFC709" w:themeColor="accent2"/>
        </w:tcBorders>
      </w:tcPr>
    </w:tblStylePr>
    <w:tblStylePr w:type="firstCol">
      <w:rPr>
        <w:b/>
        <w:bCs/>
      </w:rPr>
    </w:tblStylePr>
    <w:tblStylePr w:type="lastCol">
      <w:rPr>
        <w:b/>
        <w:bCs/>
      </w:rPr>
    </w:tblStylePr>
    <w:tblStylePr w:type="band1Vert">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tblStylePr w:type="band1Horz">
      <w:tblPr/>
      <w:tcPr>
        <w:tcBorders>
          <w:top w:val="single" w:sz="8" w:space="0" w:color="FFC709" w:themeColor="accent2"/>
          <w:left w:val="single" w:sz="8" w:space="0" w:color="FFC709" w:themeColor="accent2"/>
          <w:bottom w:val="single" w:sz="8" w:space="0" w:color="FFC709" w:themeColor="accent2"/>
          <w:right w:val="single" w:sz="8" w:space="0" w:color="FFC709" w:themeColor="accent2"/>
        </w:tcBorders>
      </w:tcPr>
    </w:tblStylePr>
  </w:style>
  <w:style w:type="table" w:styleId="LightList-Accent3">
    <w:name w:val="Light List Accent 3"/>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tblBorders>
    </w:tblPr>
    <w:tblStylePr w:type="firstRow">
      <w:pPr>
        <w:spacing w:before="0" w:after="0" w:line="240" w:lineRule="auto"/>
      </w:pPr>
      <w:rPr>
        <w:b/>
        <w:bCs/>
        <w:color w:val="FFFFFF" w:themeColor="background1"/>
      </w:rPr>
      <w:tblPr/>
      <w:tcPr>
        <w:shd w:val="clear" w:color="auto" w:fill="CD163F" w:themeFill="accent3"/>
      </w:tcPr>
    </w:tblStylePr>
    <w:tblStylePr w:type="lastRow">
      <w:pPr>
        <w:spacing w:before="0" w:after="0" w:line="240" w:lineRule="auto"/>
      </w:pPr>
      <w:rPr>
        <w:b/>
        <w:bCs/>
      </w:rPr>
      <w:tblPr/>
      <w:tcPr>
        <w:tcBorders>
          <w:top w:val="double" w:sz="6" w:space="0" w:color="CD163F" w:themeColor="accent3"/>
          <w:left w:val="single" w:sz="8" w:space="0" w:color="CD163F" w:themeColor="accent3"/>
          <w:bottom w:val="single" w:sz="8" w:space="0" w:color="CD163F" w:themeColor="accent3"/>
          <w:right w:val="single" w:sz="8" w:space="0" w:color="CD163F" w:themeColor="accent3"/>
        </w:tcBorders>
      </w:tcPr>
    </w:tblStylePr>
    <w:tblStylePr w:type="firstCol">
      <w:rPr>
        <w:b/>
        <w:bCs/>
      </w:rPr>
    </w:tblStylePr>
    <w:tblStylePr w:type="lastCol">
      <w:rPr>
        <w:b/>
        <w:bCs/>
      </w:rPr>
    </w:tblStylePr>
    <w:tblStylePr w:type="band1Vert">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tblStylePr w:type="band1Horz">
      <w:tblPr/>
      <w:tcPr>
        <w:tcBorders>
          <w:top w:val="single" w:sz="8" w:space="0" w:color="CD163F" w:themeColor="accent3"/>
          <w:left w:val="single" w:sz="8" w:space="0" w:color="CD163F" w:themeColor="accent3"/>
          <w:bottom w:val="single" w:sz="8" w:space="0" w:color="CD163F" w:themeColor="accent3"/>
          <w:right w:val="single" w:sz="8" w:space="0" w:color="CD163F" w:themeColor="accent3"/>
        </w:tcBorders>
      </w:tcPr>
    </w:tblStylePr>
  </w:style>
  <w:style w:type="table" w:styleId="LightList-Accent4">
    <w:name w:val="Light List Accent 4"/>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tblBorders>
    </w:tblPr>
    <w:tblStylePr w:type="firstRow">
      <w:pPr>
        <w:spacing w:before="0" w:after="0" w:line="240" w:lineRule="auto"/>
      </w:pPr>
      <w:rPr>
        <w:b/>
        <w:bCs/>
        <w:color w:val="FFFFFF" w:themeColor="background1"/>
      </w:rPr>
      <w:tblPr/>
      <w:tcPr>
        <w:shd w:val="clear" w:color="auto" w:fill="692686" w:themeFill="accent4"/>
      </w:tcPr>
    </w:tblStylePr>
    <w:tblStylePr w:type="lastRow">
      <w:pPr>
        <w:spacing w:before="0" w:after="0" w:line="240" w:lineRule="auto"/>
      </w:pPr>
      <w:rPr>
        <w:b/>
        <w:bCs/>
      </w:rPr>
      <w:tblPr/>
      <w:tcPr>
        <w:tcBorders>
          <w:top w:val="double" w:sz="6" w:space="0" w:color="692686" w:themeColor="accent4"/>
          <w:left w:val="single" w:sz="8" w:space="0" w:color="692686" w:themeColor="accent4"/>
          <w:bottom w:val="single" w:sz="8" w:space="0" w:color="692686" w:themeColor="accent4"/>
          <w:right w:val="single" w:sz="8" w:space="0" w:color="692686" w:themeColor="accent4"/>
        </w:tcBorders>
      </w:tcPr>
    </w:tblStylePr>
    <w:tblStylePr w:type="firstCol">
      <w:rPr>
        <w:b/>
        <w:bCs/>
      </w:rPr>
    </w:tblStylePr>
    <w:tblStylePr w:type="lastCol">
      <w:rPr>
        <w:b/>
        <w:bCs/>
      </w:rPr>
    </w:tblStylePr>
    <w:tblStylePr w:type="band1Vert">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tblStylePr w:type="band1Horz">
      <w:tblPr/>
      <w:tcPr>
        <w:tcBorders>
          <w:top w:val="single" w:sz="8" w:space="0" w:color="692686" w:themeColor="accent4"/>
          <w:left w:val="single" w:sz="8" w:space="0" w:color="692686" w:themeColor="accent4"/>
          <w:bottom w:val="single" w:sz="8" w:space="0" w:color="692686" w:themeColor="accent4"/>
          <w:right w:val="single" w:sz="8" w:space="0" w:color="692686" w:themeColor="accent4"/>
        </w:tcBorders>
      </w:tcPr>
    </w:tblStylePr>
  </w:style>
  <w:style w:type="table" w:styleId="LightList-Accent5">
    <w:name w:val="Light List Accent 5"/>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tblBorders>
    </w:tblPr>
    <w:tblStylePr w:type="firstRow">
      <w:pPr>
        <w:spacing w:before="0" w:after="0" w:line="240" w:lineRule="auto"/>
      </w:pPr>
      <w:rPr>
        <w:b/>
        <w:bCs/>
        <w:color w:val="FFFFFF" w:themeColor="background1"/>
      </w:rPr>
      <w:tblPr/>
      <w:tcPr>
        <w:shd w:val="clear" w:color="auto" w:fill="20AA4D" w:themeFill="accent5"/>
      </w:tcPr>
    </w:tblStylePr>
    <w:tblStylePr w:type="lastRow">
      <w:pPr>
        <w:spacing w:before="0" w:after="0" w:line="240" w:lineRule="auto"/>
      </w:pPr>
      <w:rPr>
        <w:b/>
        <w:bCs/>
      </w:rPr>
      <w:tblPr/>
      <w:tcPr>
        <w:tcBorders>
          <w:top w:val="double" w:sz="6" w:space="0" w:color="20AA4D" w:themeColor="accent5"/>
          <w:left w:val="single" w:sz="8" w:space="0" w:color="20AA4D" w:themeColor="accent5"/>
          <w:bottom w:val="single" w:sz="8" w:space="0" w:color="20AA4D" w:themeColor="accent5"/>
          <w:right w:val="single" w:sz="8" w:space="0" w:color="20AA4D" w:themeColor="accent5"/>
        </w:tcBorders>
      </w:tcPr>
    </w:tblStylePr>
    <w:tblStylePr w:type="firstCol">
      <w:rPr>
        <w:b/>
        <w:bCs/>
      </w:rPr>
    </w:tblStylePr>
    <w:tblStylePr w:type="lastCol">
      <w:rPr>
        <w:b/>
        <w:bCs/>
      </w:rPr>
    </w:tblStylePr>
    <w:tblStylePr w:type="band1Vert">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tblStylePr w:type="band1Horz">
      <w:tblPr/>
      <w:tcPr>
        <w:tcBorders>
          <w:top w:val="single" w:sz="8" w:space="0" w:color="20AA4D" w:themeColor="accent5"/>
          <w:left w:val="single" w:sz="8" w:space="0" w:color="20AA4D" w:themeColor="accent5"/>
          <w:bottom w:val="single" w:sz="8" w:space="0" w:color="20AA4D" w:themeColor="accent5"/>
          <w:right w:val="single" w:sz="8" w:space="0" w:color="20AA4D" w:themeColor="accent5"/>
        </w:tcBorders>
      </w:tcPr>
    </w:tblStylePr>
  </w:style>
  <w:style w:type="table" w:styleId="LightList-Accent6">
    <w:name w:val="Light List Accent 6"/>
    <w:basedOn w:val="TableNormal"/>
    <w:uiPriority w:val="61"/>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tblBorders>
    </w:tblPr>
    <w:tblStylePr w:type="firstRow">
      <w:pPr>
        <w:spacing w:before="0" w:after="0" w:line="240" w:lineRule="auto"/>
      </w:pPr>
      <w:rPr>
        <w:b/>
        <w:bCs/>
        <w:color w:val="FFFFFF" w:themeColor="background1"/>
      </w:rPr>
      <w:tblPr/>
      <w:tcPr>
        <w:shd w:val="clear" w:color="auto" w:fill="007DB6" w:themeFill="accent6"/>
      </w:tcPr>
    </w:tblStylePr>
    <w:tblStylePr w:type="lastRow">
      <w:pPr>
        <w:spacing w:before="0" w:after="0" w:line="240" w:lineRule="auto"/>
      </w:pPr>
      <w:rPr>
        <w:b/>
        <w:bCs/>
      </w:rPr>
      <w:tblPr/>
      <w:tcPr>
        <w:tcBorders>
          <w:top w:val="double" w:sz="6" w:space="0" w:color="007DB6" w:themeColor="accent6"/>
          <w:left w:val="single" w:sz="8" w:space="0" w:color="007DB6" w:themeColor="accent6"/>
          <w:bottom w:val="single" w:sz="8" w:space="0" w:color="007DB6" w:themeColor="accent6"/>
          <w:right w:val="single" w:sz="8" w:space="0" w:color="007DB6" w:themeColor="accent6"/>
        </w:tcBorders>
      </w:tcPr>
    </w:tblStylePr>
    <w:tblStylePr w:type="firstCol">
      <w:rPr>
        <w:b/>
        <w:bCs/>
      </w:rPr>
    </w:tblStylePr>
    <w:tblStylePr w:type="lastCol">
      <w:rPr>
        <w:b/>
        <w:bCs/>
      </w:rPr>
    </w:tblStylePr>
    <w:tblStylePr w:type="band1Vert">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tblStylePr w:type="band1Horz">
      <w:tblPr/>
      <w:tcPr>
        <w:tcBorders>
          <w:top w:val="single" w:sz="8" w:space="0" w:color="007DB6" w:themeColor="accent6"/>
          <w:left w:val="single" w:sz="8" w:space="0" w:color="007DB6" w:themeColor="accent6"/>
          <w:bottom w:val="single" w:sz="8" w:space="0" w:color="007DB6" w:themeColor="accent6"/>
          <w:right w:val="single" w:sz="8" w:space="0" w:color="007DB6" w:themeColor="accent6"/>
        </w:tcBorders>
      </w:tcPr>
    </w:tblStylePr>
  </w:style>
  <w:style w:type="table" w:styleId="LightShading">
    <w:name w:val="Light Shading"/>
    <w:basedOn w:val="TableNormal"/>
    <w:uiPriority w:val="60"/>
    <w:unhideWhenUsed/>
    <w:rsid w:val="00397857"/>
    <w:pPr>
      <w:spacing w:after="0" w:line="240" w:lineRule="auto"/>
    </w:pPr>
    <w:rPr>
      <w:rFonts w:eastAsia="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397857"/>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8" w:space="0" w:color="FFC709" w:themeColor="accent2"/>
        <w:bottom w:val="single" w:sz="8" w:space="0" w:color="FFC709" w:themeColor="accent2"/>
      </w:tblBorders>
    </w:tblPr>
    <w:tblStylePr w:type="firstRow">
      <w:pPr>
        <w:spacing w:before="0" w:after="0" w:line="240" w:lineRule="auto"/>
      </w:pPr>
      <w:rPr>
        <w:b/>
        <w:bCs/>
      </w:rPr>
      <w:tblPr/>
      <w:tcPr>
        <w:tcBorders>
          <w:top w:val="single" w:sz="8" w:space="0" w:color="FFC709" w:themeColor="accent2"/>
          <w:left w:val="nil"/>
          <w:bottom w:val="single" w:sz="8" w:space="0" w:color="FFC709" w:themeColor="accent2"/>
          <w:right w:val="nil"/>
          <w:insideH w:val="nil"/>
          <w:insideV w:val="nil"/>
        </w:tcBorders>
      </w:tcPr>
    </w:tblStylePr>
    <w:tblStylePr w:type="lastRow">
      <w:pPr>
        <w:spacing w:before="0" w:after="0" w:line="240" w:lineRule="auto"/>
      </w:pPr>
      <w:rPr>
        <w:b/>
        <w:bCs/>
      </w:rPr>
      <w:tblPr/>
      <w:tcPr>
        <w:tcBorders>
          <w:top w:val="single" w:sz="8" w:space="0" w:color="FFC709" w:themeColor="accent2"/>
          <w:left w:val="nil"/>
          <w:bottom w:val="single" w:sz="8" w:space="0" w:color="FFC70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2" w:themeFill="accent2" w:themeFillTint="3F"/>
      </w:tcPr>
    </w:tblStylePr>
    <w:tblStylePr w:type="band1Horz">
      <w:tblPr/>
      <w:tcPr>
        <w:tcBorders>
          <w:left w:val="nil"/>
          <w:right w:val="nil"/>
          <w:insideH w:val="nil"/>
          <w:insideV w:val="nil"/>
        </w:tcBorders>
        <w:shd w:val="clear" w:color="auto" w:fill="FFF0C2" w:themeFill="accent2" w:themeFillTint="3F"/>
      </w:tcPr>
    </w:tblStylePr>
  </w:style>
  <w:style w:type="table" w:styleId="LightShading-Accent3">
    <w:name w:val="Light Shading Accent 3"/>
    <w:basedOn w:val="TableNormal"/>
    <w:uiPriority w:val="60"/>
    <w:semiHidden/>
    <w:unhideWhenUsed/>
    <w:rsid w:val="00397857"/>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8" w:space="0" w:color="CD163F" w:themeColor="accent3"/>
        <w:bottom w:val="single" w:sz="8" w:space="0" w:color="CD163F" w:themeColor="accent3"/>
      </w:tblBorders>
    </w:tblPr>
    <w:tblStylePr w:type="firstRow">
      <w:pPr>
        <w:spacing w:before="0" w:after="0" w:line="240" w:lineRule="auto"/>
      </w:pPr>
      <w:rPr>
        <w:b/>
        <w:bCs/>
      </w:rPr>
      <w:tblPr/>
      <w:tcPr>
        <w:tcBorders>
          <w:top w:val="single" w:sz="8" w:space="0" w:color="CD163F" w:themeColor="accent3"/>
          <w:left w:val="nil"/>
          <w:bottom w:val="single" w:sz="8" w:space="0" w:color="CD163F" w:themeColor="accent3"/>
          <w:right w:val="nil"/>
          <w:insideH w:val="nil"/>
          <w:insideV w:val="nil"/>
        </w:tcBorders>
      </w:tcPr>
    </w:tblStylePr>
    <w:tblStylePr w:type="lastRow">
      <w:pPr>
        <w:spacing w:before="0" w:after="0" w:line="240" w:lineRule="auto"/>
      </w:pPr>
      <w:rPr>
        <w:b/>
        <w:bCs/>
      </w:rPr>
      <w:tblPr/>
      <w:tcPr>
        <w:tcBorders>
          <w:top w:val="single" w:sz="8" w:space="0" w:color="CD163F" w:themeColor="accent3"/>
          <w:left w:val="nil"/>
          <w:bottom w:val="single" w:sz="8" w:space="0" w:color="CD1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FCC" w:themeFill="accent3" w:themeFillTint="3F"/>
      </w:tcPr>
    </w:tblStylePr>
    <w:tblStylePr w:type="band1Horz">
      <w:tblPr/>
      <w:tcPr>
        <w:tcBorders>
          <w:left w:val="nil"/>
          <w:right w:val="nil"/>
          <w:insideH w:val="nil"/>
          <w:insideV w:val="nil"/>
        </w:tcBorders>
        <w:shd w:val="clear" w:color="auto" w:fill="F8BFCC" w:themeFill="accent3" w:themeFillTint="3F"/>
      </w:tcPr>
    </w:tblStylePr>
  </w:style>
  <w:style w:type="table" w:styleId="LightShading-Accent4">
    <w:name w:val="Light Shading Accent 4"/>
    <w:basedOn w:val="TableNormal"/>
    <w:uiPriority w:val="60"/>
    <w:semiHidden/>
    <w:unhideWhenUsed/>
    <w:rsid w:val="00397857"/>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8" w:space="0" w:color="692686" w:themeColor="accent4"/>
        <w:bottom w:val="single" w:sz="8" w:space="0" w:color="692686" w:themeColor="accent4"/>
      </w:tblBorders>
    </w:tblPr>
    <w:tblStylePr w:type="firstRow">
      <w:pPr>
        <w:spacing w:before="0" w:after="0" w:line="240" w:lineRule="auto"/>
      </w:pPr>
      <w:rPr>
        <w:b/>
        <w:bCs/>
      </w:rPr>
      <w:tblPr/>
      <w:tcPr>
        <w:tcBorders>
          <w:top w:val="single" w:sz="8" w:space="0" w:color="692686" w:themeColor="accent4"/>
          <w:left w:val="nil"/>
          <w:bottom w:val="single" w:sz="8" w:space="0" w:color="692686" w:themeColor="accent4"/>
          <w:right w:val="nil"/>
          <w:insideH w:val="nil"/>
          <w:insideV w:val="nil"/>
        </w:tcBorders>
      </w:tcPr>
    </w:tblStylePr>
    <w:tblStylePr w:type="lastRow">
      <w:pPr>
        <w:spacing w:before="0" w:after="0" w:line="240" w:lineRule="auto"/>
      </w:pPr>
      <w:rPr>
        <w:b/>
        <w:bCs/>
      </w:rPr>
      <w:tblPr/>
      <w:tcPr>
        <w:tcBorders>
          <w:top w:val="single" w:sz="8" w:space="0" w:color="692686" w:themeColor="accent4"/>
          <w:left w:val="nil"/>
          <w:bottom w:val="single" w:sz="8" w:space="0" w:color="6926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BDEC" w:themeFill="accent4" w:themeFillTint="3F"/>
      </w:tcPr>
    </w:tblStylePr>
    <w:tblStylePr w:type="band1Horz">
      <w:tblPr/>
      <w:tcPr>
        <w:tcBorders>
          <w:left w:val="nil"/>
          <w:right w:val="nil"/>
          <w:insideH w:val="nil"/>
          <w:insideV w:val="nil"/>
        </w:tcBorders>
        <w:shd w:val="clear" w:color="auto" w:fill="DEBDEC" w:themeFill="accent4" w:themeFillTint="3F"/>
      </w:tcPr>
    </w:tblStylePr>
  </w:style>
  <w:style w:type="table" w:styleId="LightShading-Accent5">
    <w:name w:val="Light Shading Accent 5"/>
    <w:basedOn w:val="TableNormal"/>
    <w:uiPriority w:val="60"/>
    <w:semiHidden/>
    <w:unhideWhenUsed/>
    <w:rsid w:val="00397857"/>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8" w:space="0" w:color="20AA4D" w:themeColor="accent5"/>
        <w:bottom w:val="single" w:sz="8" w:space="0" w:color="20AA4D" w:themeColor="accent5"/>
      </w:tblBorders>
    </w:tblPr>
    <w:tblStylePr w:type="firstRow">
      <w:pPr>
        <w:spacing w:before="0" w:after="0" w:line="240" w:lineRule="auto"/>
      </w:pPr>
      <w:rPr>
        <w:b/>
        <w:bCs/>
      </w:rPr>
      <w:tblPr/>
      <w:tcPr>
        <w:tcBorders>
          <w:top w:val="single" w:sz="8" w:space="0" w:color="20AA4D" w:themeColor="accent5"/>
          <w:left w:val="nil"/>
          <w:bottom w:val="single" w:sz="8" w:space="0" w:color="20AA4D" w:themeColor="accent5"/>
          <w:right w:val="nil"/>
          <w:insideH w:val="nil"/>
          <w:insideV w:val="nil"/>
        </w:tcBorders>
      </w:tcPr>
    </w:tblStylePr>
    <w:tblStylePr w:type="lastRow">
      <w:pPr>
        <w:spacing w:before="0" w:after="0" w:line="240" w:lineRule="auto"/>
      </w:pPr>
      <w:rPr>
        <w:b/>
        <w:bCs/>
      </w:rPr>
      <w:tblPr/>
      <w:tcPr>
        <w:tcBorders>
          <w:top w:val="single" w:sz="8" w:space="0" w:color="20AA4D" w:themeColor="accent5"/>
          <w:left w:val="nil"/>
          <w:bottom w:val="single" w:sz="8" w:space="0" w:color="20AA4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3CF" w:themeFill="accent5" w:themeFillTint="3F"/>
      </w:tcPr>
    </w:tblStylePr>
    <w:tblStylePr w:type="band1Horz">
      <w:tblPr/>
      <w:tcPr>
        <w:tcBorders>
          <w:left w:val="nil"/>
          <w:right w:val="nil"/>
          <w:insideH w:val="nil"/>
          <w:insideV w:val="nil"/>
        </w:tcBorders>
        <w:shd w:val="clear" w:color="auto" w:fill="BEF3CF" w:themeFill="accent5" w:themeFillTint="3F"/>
      </w:tcPr>
    </w:tblStylePr>
  </w:style>
  <w:style w:type="table" w:styleId="LightShading-Accent6">
    <w:name w:val="Light Shading Accent 6"/>
    <w:basedOn w:val="TableNormal"/>
    <w:uiPriority w:val="60"/>
    <w:semiHidden/>
    <w:unhideWhenUsed/>
    <w:rsid w:val="00397857"/>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8" w:space="0" w:color="007DB6" w:themeColor="accent6"/>
        <w:bottom w:val="single" w:sz="8" w:space="0" w:color="007DB6" w:themeColor="accent6"/>
      </w:tblBorders>
    </w:tblPr>
    <w:tblStylePr w:type="firstRow">
      <w:pPr>
        <w:spacing w:before="0" w:after="0" w:line="240" w:lineRule="auto"/>
      </w:pPr>
      <w:rPr>
        <w:b/>
        <w:bCs/>
      </w:rPr>
      <w:tblPr/>
      <w:tcPr>
        <w:tcBorders>
          <w:top w:val="single" w:sz="8" w:space="0" w:color="007DB6" w:themeColor="accent6"/>
          <w:left w:val="nil"/>
          <w:bottom w:val="single" w:sz="8" w:space="0" w:color="007DB6" w:themeColor="accent6"/>
          <w:right w:val="nil"/>
          <w:insideH w:val="nil"/>
          <w:insideV w:val="nil"/>
        </w:tcBorders>
      </w:tcPr>
    </w:tblStylePr>
    <w:tblStylePr w:type="lastRow">
      <w:pPr>
        <w:spacing w:before="0" w:after="0" w:line="240" w:lineRule="auto"/>
      </w:pPr>
      <w:rPr>
        <w:b/>
        <w:bCs/>
      </w:rPr>
      <w:tblPr/>
      <w:tcPr>
        <w:tcBorders>
          <w:top w:val="single" w:sz="8" w:space="0" w:color="007DB6" w:themeColor="accent6"/>
          <w:left w:val="nil"/>
          <w:bottom w:val="single" w:sz="8" w:space="0" w:color="007D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5FF" w:themeFill="accent6" w:themeFillTint="3F"/>
      </w:tcPr>
    </w:tblStylePr>
    <w:tblStylePr w:type="band1Horz">
      <w:tblPr/>
      <w:tcPr>
        <w:tcBorders>
          <w:left w:val="nil"/>
          <w:right w:val="nil"/>
          <w:insideH w:val="nil"/>
          <w:insideV w:val="nil"/>
        </w:tcBorders>
        <w:shd w:val="clear" w:color="auto" w:fill="ADE5FF" w:themeFill="accent6" w:themeFillTint="3F"/>
      </w:tcPr>
    </w:tblStylePr>
  </w:style>
  <w:style w:type="character" w:styleId="LineNumber">
    <w:name w:val="line number"/>
    <w:basedOn w:val="DefaultParagraphFont"/>
    <w:semiHidden/>
    <w:unhideWhenUsed/>
    <w:rsid w:val="00397857"/>
  </w:style>
  <w:style w:type="table" w:styleId="ListTable1Light">
    <w:name w:val="List Table 1 Light"/>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E6E7E6" w:themeColor="accent1" w:themeTint="99"/>
        </w:tcBorders>
      </w:tcPr>
    </w:tblStylePr>
    <w:tblStylePr w:type="lastRow">
      <w:rPr>
        <w:b/>
        <w:bCs/>
      </w:rPr>
      <w:tblPr/>
      <w:tcPr>
        <w:tcBorders>
          <w:top w:val="sing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1Light-Accent2">
    <w:name w:val="List Table 1 Light Accent 2"/>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FFDC6B" w:themeColor="accent2" w:themeTint="99"/>
        </w:tcBorders>
      </w:tcPr>
    </w:tblStylePr>
    <w:tblStylePr w:type="lastRow">
      <w:rPr>
        <w:b/>
        <w:bCs/>
      </w:rPr>
      <w:tblPr/>
      <w:tcPr>
        <w:tcBorders>
          <w:top w:val="sing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1Light-Accent3">
    <w:name w:val="List Table 1 Light Accent 3"/>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EE6584" w:themeColor="accent3" w:themeTint="99"/>
        </w:tcBorders>
      </w:tcPr>
    </w:tblStylePr>
    <w:tblStylePr w:type="lastRow">
      <w:rPr>
        <w:b/>
        <w:bCs/>
      </w:rPr>
      <w:tblPr/>
      <w:tcPr>
        <w:tcBorders>
          <w:top w:val="sing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1Light-Accent4">
    <w:name w:val="List Table 1 Light Accent 4"/>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AF60D2" w:themeColor="accent4" w:themeTint="99"/>
        </w:tcBorders>
      </w:tcPr>
    </w:tblStylePr>
    <w:tblStylePr w:type="lastRow">
      <w:rPr>
        <w:b/>
        <w:bCs/>
      </w:rPr>
      <w:tblPr/>
      <w:tcPr>
        <w:tcBorders>
          <w:top w:val="sing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1Light-Accent5">
    <w:name w:val="List Table 1 Light Accent 5"/>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63E18C" w:themeColor="accent5" w:themeTint="99"/>
        </w:tcBorders>
      </w:tcPr>
    </w:tblStylePr>
    <w:tblStylePr w:type="lastRow">
      <w:rPr>
        <w:b/>
        <w:bCs/>
      </w:rPr>
      <w:tblPr/>
      <w:tcPr>
        <w:tcBorders>
          <w:top w:val="sing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1Light-Accent6">
    <w:name w:val="List Table 1 Light Accent 6"/>
    <w:basedOn w:val="TableNormal"/>
    <w:uiPriority w:val="46"/>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Pr/>
      <w:tcPr>
        <w:tcBorders>
          <w:bottom w:val="single" w:sz="4" w:space="0" w:color="3AC1FF" w:themeColor="accent6" w:themeTint="99"/>
        </w:tcBorders>
      </w:tcPr>
    </w:tblStylePr>
    <w:tblStylePr w:type="lastRow">
      <w:rPr>
        <w:b/>
        <w:bCs/>
      </w:rPr>
      <w:tblPr/>
      <w:tcPr>
        <w:tcBorders>
          <w:top w:val="sing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2">
    <w:name w:val="List Table 2"/>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bottom w:val="single" w:sz="4" w:space="0" w:color="E6E7E6" w:themeColor="accent1" w:themeTint="99"/>
        <w:insideH w:val="single" w:sz="4" w:space="0" w:color="E6E7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2-Accent2">
    <w:name w:val="List Table 2 Accent 2"/>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bottom w:val="single" w:sz="4" w:space="0" w:color="FFDC6B" w:themeColor="accent2" w:themeTint="99"/>
        <w:insideH w:val="single" w:sz="4" w:space="0" w:color="FFDC6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2-Accent3">
    <w:name w:val="List Table 2 Accent 3"/>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bottom w:val="single" w:sz="4" w:space="0" w:color="EE6584" w:themeColor="accent3" w:themeTint="99"/>
        <w:insideH w:val="single" w:sz="4" w:space="0" w:color="EE65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2-Accent4">
    <w:name w:val="List Table 2 Accent 4"/>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bottom w:val="single" w:sz="4" w:space="0" w:color="AF60D2" w:themeColor="accent4" w:themeTint="99"/>
        <w:insideH w:val="single" w:sz="4" w:space="0" w:color="AF60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2-Accent5">
    <w:name w:val="List Table 2 Accent 5"/>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bottom w:val="single" w:sz="4" w:space="0" w:color="63E18C" w:themeColor="accent5" w:themeTint="99"/>
        <w:insideH w:val="single" w:sz="4" w:space="0" w:color="63E1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2-Accent6">
    <w:name w:val="List Table 2 Accent 6"/>
    <w:basedOn w:val="TableNormal"/>
    <w:uiPriority w:val="47"/>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bottom w:val="single" w:sz="4" w:space="0" w:color="3AC1FF" w:themeColor="accent6" w:themeTint="99"/>
        <w:insideH w:val="single" w:sz="4" w:space="0" w:color="3AC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3">
    <w:name w:val="List Table 3"/>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D7D8D6" w:themeColor="accent1"/>
        <w:left w:val="single" w:sz="4" w:space="0" w:color="D7D8D6" w:themeColor="accent1"/>
        <w:bottom w:val="single" w:sz="4" w:space="0" w:color="D7D8D6" w:themeColor="accent1"/>
        <w:right w:val="single" w:sz="4" w:space="0" w:color="D7D8D6" w:themeColor="accent1"/>
      </w:tblBorders>
    </w:tblPr>
    <w:tblStylePr w:type="firstRow">
      <w:rPr>
        <w:b/>
        <w:bCs/>
        <w:color w:val="FFFFFF" w:themeColor="background1"/>
      </w:rPr>
      <w:tblPr/>
      <w:tcPr>
        <w:shd w:val="clear" w:color="auto" w:fill="D7D8D6" w:themeFill="accent1"/>
      </w:tcPr>
    </w:tblStylePr>
    <w:tblStylePr w:type="lastRow">
      <w:rPr>
        <w:b/>
        <w:bCs/>
      </w:rPr>
      <w:tblPr/>
      <w:tcPr>
        <w:tcBorders>
          <w:top w:val="double" w:sz="4" w:space="0" w:color="D7D8D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D8D6" w:themeColor="accent1"/>
          <w:right w:val="single" w:sz="4" w:space="0" w:color="D7D8D6" w:themeColor="accent1"/>
        </w:tcBorders>
      </w:tcPr>
    </w:tblStylePr>
    <w:tblStylePr w:type="band1Horz">
      <w:tblPr/>
      <w:tcPr>
        <w:tcBorders>
          <w:top w:val="single" w:sz="4" w:space="0" w:color="D7D8D6" w:themeColor="accent1"/>
          <w:bottom w:val="single" w:sz="4" w:space="0" w:color="D7D8D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8D6" w:themeColor="accent1"/>
          <w:left w:val="nil"/>
        </w:tcBorders>
      </w:tcPr>
    </w:tblStylePr>
    <w:tblStylePr w:type="swCell">
      <w:tblPr/>
      <w:tcPr>
        <w:tcBorders>
          <w:top w:val="double" w:sz="4" w:space="0" w:color="D7D8D6" w:themeColor="accent1"/>
          <w:right w:val="nil"/>
        </w:tcBorders>
      </w:tcPr>
    </w:tblStylePr>
  </w:style>
  <w:style w:type="table" w:styleId="ListTable3-Accent2">
    <w:name w:val="List Table 3 Accent 2"/>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C709" w:themeColor="accent2"/>
        <w:left w:val="single" w:sz="4" w:space="0" w:color="FFC709" w:themeColor="accent2"/>
        <w:bottom w:val="single" w:sz="4" w:space="0" w:color="FFC709" w:themeColor="accent2"/>
        <w:right w:val="single" w:sz="4" w:space="0" w:color="FFC709" w:themeColor="accent2"/>
      </w:tblBorders>
    </w:tblPr>
    <w:tblStylePr w:type="firstRow">
      <w:rPr>
        <w:b/>
        <w:bCs/>
        <w:color w:val="FFFFFF" w:themeColor="background1"/>
      </w:rPr>
      <w:tblPr/>
      <w:tcPr>
        <w:shd w:val="clear" w:color="auto" w:fill="FFC709" w:themeFill="accent2"/>
      </w:tcPr>
    </w:tblStylePr>
    <w:tblStylePr w:type="lastRow">
      <w:rPr>
        <w:b/>
        <w:bCs/>
      </w:rPr>
      <w:tblPr/>
      <w:tcPr>
        <w:tcBorders>
          <w:top w:val="double" w:sz="4" w:space="0" w:color="FFC70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709" w:themeColor="accent2"/>
          <w:right w:val="single" w:sz="4" w:space="0" w:color="FFC709" w:themeColor="accent2"/>
        </w:tcBorders>
      </w:tcPr>
    </w:tblStylePr>
    <w:tblStylePr w:type="band1Horz">
      <w:tblPr/>
      <w:tcPr>
        <w:tcBorders>
          <w:top w:val="single" w:sz="4" w:space="0" w:color="FFC709" w:themeColor="accent2"/>
          <w:bottom w:val="single" w:sz="4" w:space="0" w:color="FFC70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709" w:themeColor="accent2"/>
          <w:left w:val="nil"/>
        </w:tcBorders>
      </w:tcPr>
    </w:tblStylePr>
    <w:tblStylePr w:type="swCell">
      <w:tblPr/>
      <w:tcPr>
        <w:tcBorders>
          <w:top w:val="double" w:sz="4" w:space="0" w:color="FFC709" w:themeColor="accent2"/>
          <w:right w:val="nil"/>
        </w:tcBorders>
      </w:tcPr>
    </w:tblStylePr>
  </w:style>
  <w:style w:type="table" w:styleId="ListTable3-Accent3">
    <w:name w:val="List Table 3 Accent 3"/>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CD163F" w:themeColor="accent3"/>
        <w:left w:val="single" w:sz="4" w:space="0" w:color="CD163F" w:themeColor="accent3"/>
        <w:bottom w:val="single" w:sz="4" w:space="0" w:color="CD163F" w:themeColor="accent3"/>
        <w:right w:val="single" w:sz="4" w:space="0" w:color="CD163F" w:themeColor="accent3"/>
      </w:tblBorders>
    </w:tblPr>
    <w:tblStylePr w:type="firstRow">
      <w:rPr>
        <w:b/>
        <w:bCs/>
        <w:color w:val="FFFFFF" w:themeColor="background1"/>
      </w:rPr>
      <w:tblPr/>
      <w:tcPr>
        <w:shd w:val="clear" w:color="auto" w:fill="CD163F" w:themeFill="accent3"/>
      </w:tcPr>
    </w:tblStylePr>
    <w:tblStylePr w:type="lastRow">
      <w:rPr>
        <w:b/>
        <w:bCs/>
      </w:rPr>
      <w:tblPr/>
      <w:tcPr>
        <w:tcBorders>
          <w:top w:val="double" w:sz="4" w:space="0" w:color="CD16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163F" w:themeColor="accent3"/>
          <w:right w:val="single" w:sz="4" w:space="0" w:color="CD163F" w:themeColor="accent3"/>
        </w:tcBorders>
      </w:tcPr>
    </w:tblStylePr>
    <w:tblStylePr w:type="band1Horz">
      <w:tblPr/>
      <w:tcPr>
        <w:tcBorders>
          <w:top w:val="single" w:sz="4" w:space="0" w:color="CD163F" w:themeColor="accent3"/>
          <w:bottom w:val="single" w:sz="4" w:space="0" w:color="CD16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163F" w:themeColor="accent3"/>
          <w:left w:val="nil"/>
        </w:tcBorders>
      </w:tcPr>
    </w:tblStylePr>
    <w:tblStylePr w:type="swCell">
      <w:tblPr/>
      <w:tcPr>
        <w:tcBorders>
          <w:top w:val="double" w:sz="4" w:space="0" w:color="CD163F" w:themeColor="accent3"/>
          <w:right w:val="nil"/>
        </w:tcBorders>
      </w:tcPr>
    </w:tblStylePr>
  </w:style>
  <w:style w:type="table" w:styleId="ListTable3-Accent4">
    <w:name w:val="List Table 3 Accent 4"/>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92686" w:themeColor="accent4"/>
        <w:left w:val="single" w:sz="4" w:space="0" w:color="692686" w:themeColor="accent4"/>
        <w:bottom w:val="single" w:sz="4" w:space="0" w:color="692686" w:themeColor="accent4"/>
        <w:right w:val="single" w:sz="4" w:space="0" w:color="692686" w:themeColor="accent4"/>
      </w:tblBorders>
    </w:tblPr>
    <w:tblStylePr w:type="firstRow">
      <w:rPr>
        <w:b/>
        <w:bCs/>
        <w:color w:val="FFFFFF" w:themeColor="background1"/>
      </w:rPr>
      <w:tblPr/>
      <w:tcPr>
        <w:shd w:val="clear" w:color="auto" w:fill="692686" w:themeFill="accent4"/>
      </w:tcPr>
    </w:tblStylePr>
    <w:tblStylePr w:type="lastRow">
      <w:rPr>
        <w:b/>
        <w:bCs/>
      </w:rPr>
      <w:tblPr/>
      <w:tcPr>
        <w:tcBorders>
          <w:top w:val="double" w:sz="4" w:space="0" w:color="692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2686" w:themeColor="accent4"/>
          <w:right w:val="single" w:sz="4" w:space="0" w:color="692686" w:themeColor="accent4"/>
        </w:tcBorders>
      </w:tcPr>
    </w:tblStylePr>
    <w:tblStylePr w:type="band1Horz">
      <w:tblPr/>
      <w:tcPr>
        <w:tcBorders>
          <w:top w:val="single" w:sz="4" w:space="0" w:color="692686" w:themeColor="accent4"/>
          <w:bottom w:val="single" w:sz="4" w:space="0" w:color="692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2686" w:themeColor="accent4"/>
          <w:left w:val="nil"/>
        </w:tcBorders>
      </w:tcPr>
    </w:tblStylePr>
    <w:tblStylePr w:type="swCell">
      <w:tblPr/>
      <w:tcPr>
        <w:tcBorders>
          <w:top w:val="double" w:sz="4" w:space="0" w:color="692686" w:themeColor="accent4"/>
          <w:right w:val="nil"/>
        </w:tcBorders>
      </w:tcPr>
    </w:tblStylePr>
  </w:style>
  <w:style w:type="table" w:styleId="ListTable3-Accent5">
    <w:name w:val="List Table 3 Accent 5"/>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20AA4D" w:themeColor="accent5"/>
        <w:left w:val="single" w:sz="4" w:space="0" w:color="20AA4D" w:themeColor="accent5"/>
        <w:bottom w:val="single" w:sz="4" w:space="0" w:color="20AA4D" w:themeColor="accent5"/>
        <w:right w:val="single" w:sz="4" w:space="0" w:color="20AA4D" w:themeColor="accent5"/>
      </w:tblBorders>
    </w:tblPr>
    <w:tblStylePr w:type="firstRow">
      <w:rPr>
        <w:b/>
        <w:bCs/>
        <w:color w:val="FFFFFF" w:themeColor="background1"/>
      </w:rPr>
      <w:tblPr/>
      <w:tcPr>
        <w:shd w:val="clear" w:color="auto" w:fill="20AA4D" w:themeFill="accent5"/>
      </w:tcPr>
    </w:tblStylePr>
    <w:tblStylePr w:type="lastRow">
      <w:rPr>
        <w:b/>
        <w:bCs/>
      </w:rPr>
      <w:tblPr/>
      <w:tcPr>
        <w:tcBorders>
          <w:top w:val="double" w:sz="4" w:space="0" w:color="20AA4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AA4D" w:themeColor="accent5"/>
          <w:right w:val="single" w:sz="4" w:space="0" w:color="20AA4D" w:themeColor="accent5"/>
        </w:tcBorders>
      </w:tcPr>
    </w:tblStylePr>
    <w:tblStylePr w:type="band1Horz">
      <w:tblPr/>
      <w:tcPr>
        <w:tcBorders>
          <w:top w:val="single" w:sz="4" w:space="0" w:color="20AA4D" w:themeColor="accent5"/>
          <w:bottom w:val="single" w:sz="4" w:space="0" w:color="20AA4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AA4D" w:themeColor="accent5"/>
          <w:left w:val="nil"/>
        </w:tcBorders>
      </w:tcPr>
    </w:tblStylePr>
    <w:tblStylePr w:type="swCell">
      <w:tblPr/>
      <w:tcPr>
        <w:tcBorders>
          <w:top w:val="double" w:sz="4" w:space="0" w:color="20AA4D" w:themeColor="accent5"/>
          <w:right w:val="nil"/>
        </w:tcBorders>
      </w:tcPr>
    </w:tblStylePr>
  </w:style>
  <w:style w:type="table" w:styleId="ListTable3-Accent6">
    <w:name w:val="List Table 3 Accent 6"/>
    <w:basedOn w:val="TableNormal"/>
    <w:uiPriority w:val="48"/>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007DB6" w:themeColor="accent6"/>
        <w:left w:val="single" w:sz="4" w:space="0" w:color="007DB6" w:themeColor="accent6"/>
        <w:bottom w:val="single" w:sz="4" w:space="0" w:color="007DB6" w:themeColor="accent6"/>
        <w:right w:val="single" w:sz="4" w:space="0" w:color="007DB6" w:themeColor="accent6"/>
      </w:tblBorders>
    </w:tblPr>
    <w:tblStylePr w:type="firstRow">
      <w:rPr>
        <w:b/>
        <w:bCs/>
        <w:color w:val="FFFFFF" w:themeColor="background1"/>
      </w:rPr>
      <w:tblPr/>
      <w:tcPr>
        <w:shd w:val="clear" w:color="auto" w:fill="007DB6" w:themeFill="accent6"/>
      </w:tcPr>
    </w:tblStylePr>
    <w:tblStylePr w:type="lastRow">
      <w:rPr>
        <w:b/>
        <w:bCs/>
      </w:rPr>
      <w:tblPr/>
      <w:tcPr>
        <w:tcBorders>
          <w:top w:val="double" w:sz="4" w:space="0" w:color="007D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B6" w:themeColor="accent6"/>
          <w:right w:val="single" w:sz="4" w:space="0" w:color="007DB6" w:themeColor="accent6"/>
        </w:tcBorders>
      </w:tcPr>
    </w:tblStylePr>
    <w:tblStylePr w:type="band1Horz">
      <w:tblPr/>
      <w:tcPr>
        <w:tcBorders>
          <w:top w:val="single" w:sz="4" w:space="0" w:color="007DB6" w:themeColor="accent6"/>
          <w:bottom w:val="single" w:sz="4" w:space="0" w:color="007D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B6" w:themeColor="accent6"/>
          <w:left w:val="nil"/>
        </w:tcBorders>
      </w:tcPr>
    </w:tblStylePr>
    <w:tblStylePr w:type="swCell">
      <w:tblPr/>
      <w:tcPr>
        <w:tcBorders>
          <w:top w:val="double" w:sz="4" w:space="0" w:color="007DB6" w:themeColor="accent6"/>
          <w:right w:val="nil"/>
        </w:tcBorders>
      </w:tcPr>
    </w:tblStylePr>
  </w:style>
  <w:style w:type="table" w:styleId="ListTable4">
    <w:name w:val="List Table 4"/>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6E7E6" w:themeColor="accent1" w:themeTint="99"/>
        <w:left w:val="single" w:sz="4" w:space="0" w:color="E6E7E6" w:themeColor="accent1" w:themeTint="99"/>
        <w:bottom w:val="single" w:sz="4" w:space="0" w:color="E6E7E6" w:themeColor="accent1" w:themeTint="99"/>
        <w:right w:val="single" w:sz="4" w:space="0" w:color="E6E7E6" w:themeColor="accent1" w:themeTint="99"/>
        <w:insideH w:val="single" w:sz="4" w:space="0" w:color="E6E7E6" w:themeColor="accent1" w:themeTint="99"/>
      </w:tblBorders>
    </w:tblPr>
    <w:tblStylePr w:type="firstRow">
      <w:rPr>
        <w:b/>
        <w:bCs/>
        <w:color w:val="FFFFFF" w:themeColor="background1"/>
      </w:rPr>
      <w:tblPr/>
      <w:tcPr>
        <w:tcBorders>
          <w:top w:val="single" w:sz="4" w:space="0" w:color="D7D8D6" w:themeColor="accent1"/>
          <w:left w:val="single" w:sz="4" w:space="0" w:color="D7D8D6" w:themeColor="accent1"/>
          <w:bottom w:val="single" w:sz="4" w:space="0" w:color="D7D8D6" w:themeColor="accent1"/>
          <w:right w:val="single" w:sz="4" w:space="0" w:color="D7D8D6" w:themeColor="accent1"/>
          <w:insideH w:val="nil"/>
        </w:tcBorders>
        <w:shd w:val="clear" w:color="auto" w:fill="D7D8D6" w:themeFill="accent1"/>
      </w:tcPr>
    </w:tblStylePr>
    <w:tblStylePr w:type="lastRow">
      <w:rPr>
        <w:b/>
        <w:bCs/>
      </w:rPr>
      <w:tblPr/>
      <w:tcPr>
        <w:tcBorders>
          <w:top w:val="double" w:sz="4" w:space="0" w:color="E6E7E6" w:themeColor="accent1" w:themeTint="99"/>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4-Accent2">
    <w:name w:val="List Table 4 Accent 2"/>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FFDC6B" w:themeColor="accent2" w:themeTint="99"/>
        <w:left w:val="single" w:sz="4" w:space="0" w:color="FFDC6B" w:themeColor="accent2" w:themeTint="99"/>
        <w:bottom w:val="single" w:sz="4" w:space="0" w:color="FFDC6B" w:themeColor="accent2" w:themeTint="99"/>
        <w:right w:val="single" w:sz="4" w:space="0" w:color="FFDC6B" w:themeColor="accent2" w:themeTint="99"/>
        <w:insideH w:val="single" w:sz="4" w:space="0" w:color="FFDC6B" w:themeColor="accent2" w:themeTint="99"/>
      </w:tblBorders>
    </w:tblPr>
    <w:tblStylePr w:type="firstRow">
      <w:rPr>
        <w:b/>
        <w:bCs/>
        <w:color w:val="FFFFFF" w:themeColor="background1"/>
      </w:rPr>
      <w:tblPr/>
      <w:tcPr>
        <w:tcBorders>
          <w:top w:val="single" w:sz="4" w:space="0" w:color="FFC709" w:themeColor="accent2"/>
          <w:left w:val="single" w:sz="4" w:space="0" w:color="FFC709" w:themeColor="accent2"/>
          <w:bottom w:val="single" w:sz="4" w:space="0" w:color="FFC709" w:themeColor="accent2"/>
          <w:right w:val="single" w:sz="4" w:space="0" w:color="FFC709" w:themeColor="accent2"/>
          <w:insideH w:val="nil"/>
        </w:tcBorders>
        <w:shd w:val="clear" w:color="auto" w:fill="FFC709" w:themeFill="accent2"/>
      </w:tcPr>
    </w:tblStylePr>
    <w:tblStylePr w:type="lastRow">
      <w:rPr>
        <w:b/>
        <w:bCs/>
      </w:rPr>
      <w:tblPr/>
      <w:tcPr>
        <w:tcBorders>
          <w:top w:val="double" w:sz="4" w:space="0" w:color="FFDC6B" w:themeColor="accent2" w:themeTint="99"/>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4-Accent3">
    <w:name w:val="List Table 4 Accent 3"/>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EE6584" w:themeColor="accent3" w:themeTint="99"/>
        <w:left w:val="single" w:sz="4" w:space="0" w:color="EE6584" w:themeColor="accent3" w:themeTint="99"/>
        <w:bottom w:val="single" w:sz="4" w:space="0" w:color="EE6584" w:themeColor="accent3" w:themeTint="99"/>
        <w:right w:val="single" w:sz="4" w:space="0" w:color="EE6584" w:themeColor="accent3" w:themeTint="99"/>
        <w:insideH w:val="single" w:sz="4" w:space="0" w:color="EE6584" w:themeColor="accent3" w:themeTint="99"/>
      </w:tblBorders>
    </w:tblPr>
    <w:tblStylePr w:type="firstRow">
      <w:rPr>
        <w:b/>
        <w:bCs/>
        <w:color w:val="FFFFFF" w:themeColor="background1"/>
      </w:rPr>
      <w:tblPr/>
      <w:tcPr>
        <w:tcBorders>
          <w:top w:val="single" w:sz="4" w:space="0" w:color="CD163F" w:themeColor="accent3"/>
          <w:left w:val="single" w:sz="4" w:space="0" w:color="CD163F" w:themeColor="accent3"/>
          <w:bottom w:val="single" w:sz="4" w:space="0" w:color="CD163F" w:themeColor="accent3"/>
          <w:right w:val="single" w:sz="4" w:space="0" w:color="CD163F" w:themeColor="accent3"/>
          <w:insideH w:val="nil"/>
        </w:tcBorders>
        <w:shd w:val="clear" w:color="auto" w:fill="CD163F" w:themeFill="accent3"/>
      </w:tcPr>
    </w:tblStylePr>
    <w:tblStylePr w:type="lastRow">
      <w:rPr>
        <w:b/>
        <w:bCs/>
      </w:rPr>
      <w:tblPr/>
      <w:tcPr>
        <w:tcBorders>
          <w:top w:val="double" w:sz="4" w:space="0" w:color="EE6584" w:themeColor="accent3" w:themeTint="99"/>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4-Accent4">
    <w:name w:val="List Table 4 Accent 4"/>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AF60D2" w:themeColor="accent4" w:themeTint="99"/>
        <w:left w:val="single" w:sz="4" w:space="0" w:color="AF60D2" w:themeColor="accent4" w:themeTint="99"/>
        <w:bottom w:val="single" w:sz="4" w:space="0" w:color="AF60D2" w:themeColor="accent4" w:themeTint="99"/>
        <w:right w:val="single" w:sz="4" w:space="0" w:color="AF60D2" w:themeColor="accent4" w:themeTint="99"/>
        <w:insideH w:val="single" w:sz="4" w:space="0" w:color="AF60D2" w:themeColor="accent4" w:themeTint="99"/>
      </w:tblBorders>
    </w:tblPr>
    <w:tblStylePr w:type="firstRow">
      <w:rPr>
        <w:b/>
        <w:bCs/>
        <w:color w:val="FFFFFF" w:themeColor="background1"/>
      </w:rPr>
      <w:tblPr/>
      <w:tcPr>
        <w:tcBorders>
          <w:top w:val="single" w:sz="4" w:space="0" w:color="692686" w:themeColor="accent4"/>
          <w:left w:val="single" w:sz="4" w:space="0" w:color="692686" w:themeColor="accent4"/>
          <w:bottom w:val="single" w:sz="4" w:space="0" w:color="692686" w:themeColor="accent4"/>
          <w:right w:val="single" w:sz="4" w:space="0" w:color="692686" w:themeColor="accent4"/>
          <w:insideH w:val="nil"/>
        </w:tcBorders>
        <w:shd w:val="clear" w:color="auto" w:fill="692686" w:themeFill="accent4"/>
      </w:tcPr>
    </w:tblStylePr>
    <w:tblStylePr w:type="lastRow">
      <w:rPr>
        <w:b/>
        <w:bCs/>
      </w:rPr>
      <w:tblPr/>
      <w:tcPr>
        <w:tcBorders>
          <w:top w:val="double" w:sz="4" w:space="0" w:color="AF60D2" w:themeColor="accent4" w:themeTint="99"/>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4-Accent5">
    <w:name w:val="List Table 4 Accent 5"/>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63E18C" w:themeColor="accent5" w:themeTint="99"/>
        <w:left w:val="single" w:sz="4" w:space="0" w:color="63E18C" w:themeColor="accent5" w:themeTint="99"/>
        <w:bottom w:val="single" w:sz="4" w:space="0" w:color="63E18C" w:themeColor="accent5" w:themeTint="99"/>
        <w:right w:val="single" w:sz="4" w:space="0" w:color="63E18C" w:themeColor="accent5" w:themeTint="99"/>
        <w:insideH w:val="single" w:sz="4" w:space="0" w:color="63E18C" w:themeColor="accent5" w:themeTint="99"/>
      </w:tblBorders>
    </w:tblPr>
    <w:tblStylePr w:type="firstRow">
      <w:rPr>
        <w:b/>
        <w:bCs/>
        <w:color w:val="FFFFFF" w:themeColor="background1"/>
      </w:rPr>
      <w:tblPr/>
      <w:tcPr>
        <w:tcBorders>
          <w:top w:val="single" w:sz="4" w:space="0" w:color="20AA4D" w:themeColor="accent5"/>
          <w:left w:val="single" w:sz="4" w:space="0" w:color="20AA4D" w:themeColor="accent5"/>
          <w:bottom w:val="single" w:sz="4" w:space="0" w:color="20AA4D" w:themeColor="accent5"/>
          <w:right w:val="single" w:sz="4" w:space="0" w:color="20AA4D" w:themeColor="accent5"/>
          <w:insideH w:val="nil"/>
        </w:tcBorders>
        <w:shd w:val="clear" w:color="auto" w:fill="20AA4D" w:themeFill="accent5"/>
      </w:tcPr>
    </w:tblStylePr>
    <w:tblStylePr w:type="lastRow">
      <w:rPr>
        <w:b/>
        <w:bCs/>
      </w:rPr>
      <w:tblPr/>
      <w:tcPr>
        <w:tcBorders>
          <w:top w:val="double" w:sz="4" w:space="0" w:color="63E18C" w:themeColor="accent5" w:themeTint="99"/>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4-Accent6">
    <w:name w:val="List Table 4 Accent 6"/>
    <w:basedOn w:val="TableNormal"/>
    <w:uiPriority w:val="49"/>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3AC1FF" w:themeColor="accent6" w:themeTint="99"/>
        <w:left w:val="single" w:sz="4" w:space="0" w:color="3AC1FF" w:themeColor="accent6" w:themeTint="99"/>
        <w:bottom w:val="single" w:sz="4" w:space="0" w:color="3AC1FF" w:themeColor="accent6" w:themeTint="99"/>
        <w:right w:val="single" w:sz="4" w:space="0" w:color="3AC1FF" w:themeColor="accent6" w:themeTint="99"/>
        <w:insideH w:val="single" w:sz="4" w:space="0" w:color="3AC1FF" w:themeColor="accent6" w:themeTint="99"/>
      </w:tblBorders>
    </w:tblPr>
    <w:tblStylePr w:type="firstRow">
      <w:rPr>
        <w:b/>
        <w:bCs/>
        <w:color w:val="FFFFFF" w:themeColor="background1"/>
      </w:rPr>
      <w:tblPr/>
      <w:tcPr>
        <w:tcBorders>
          <w:top w:val="single" w:sz="4" w:space="0" w:color="007DB6" w:themeColor="accent6"/>
          <w:left w:val="single" w:sz="4" w:space="0" w:color="007DB6" w:themeColor="accent6"/>
          <w:bottom w:val="single" w:sz="4" w:space="0" w:color="007DB6" w:themeColor="accent6"/>
          <w:right w:val="single" w:sz="4" w:space="0" w:color="007DB6" w:themeColor="accent6"/>
          <w:insideH w:val="nil"/>
        </w:tcBorders>
        <w:shd w:val="clear" w:color="auto" w:fill="007DB6" w:themeFill="accent6"/>
      </w:tcPr>
    </w:tblStylePr>
    <w:tblStylePr w:type="lastRow">
      <w:rPr>
        <w:b/>
        <w:bCs/>
      </w:rPr>
      <w:tblPr/>
      <w:tcPr>
        <w:tcBorders>
          <w:top w:val="double" w:sz="4" w:space="0" w:color="3AC1FF" w:themeColor="accent6" w:themeTint="99"/>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5Dark">
    <w:name w:val="List Table 5 Dark"/>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D7D8D6" w:themeColor="accent1"/>
        <w:left w:val="single" w:sz="24" w:space="0" w:color="D7D8D6" w:themeColor="accent1"/>
        <w:bottom w:val="single" w:sz="24" w:space="0" w:color="D7D8D6" w:themeColor="accent1"/>
        <w:right w:val="single" w:sz="24" w:space="0" w:color="D7D8D6" w:themeColor="accent1"/>
      </w:tblBorders>
    </w:tblPr>
    <w:tcPr>
      <w:shd w:val="clear" w:color="auto" w:fill="D7D8D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FFC709" w:themeColor="accent2"/>
        <w:left w:val="single" w:sz="24" w:space="0" w:color="FFC709" w:themeColor="accent2"/>
        <w:bottom w:val="single" w:sz="24" w:space="0" w:color="FFC709" w:themeColor="accent2"/>
        <w:right w:val="single" w:sz="24" w:space="0" w:color="FFC709" w:themeColor="accent2"/>
      </w:tblBorders>
    </w:tblPr>
    <w:tcPr>
      <w:shd w:val="clear" w:color="auto" w:fill="FFC70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CD163F" w:themeColor="accent3"/>
        <w:left w:val="single" w:sz="24" w:space="0" w:color="CD163F" w:themeColor="accent3"/>
        <w:bottom w:val="single" w:sz="24" w:space="0" w:color="CD163F" w:themeColor="accent3"/>
        <w:right w:val="single" w:sz="24" w:space="0" w:color="CD163F" w:themeColor="accent3"/>
      </w:tblBorders>
    </w:tblPr>
    <w:tcPr>
      <w:shd w:val="clear" w:color="auto" w:fill="CD16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692686" w:themeColor="accent4"/>
        <w:left w:val="single" w:sz="24" w:space="0" w:color="692686" w:themeColor="accent4"/>
        <w:bottom w:val="single" w:sz="24" w:space="0" w:color="692686" w:themeColor="accent4"/>
        <w:right w:val="single" w:sz="24" w:space="0" w:color="692686" w:themeColor="accent4"/>
      </w:tblBorders>
    </w:tblPr>
    <w:tcPr>
      <w:shd w:val="clear" w:color="auto" w:fill="692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20AA4D" w:themeColor="accent5"/>
        <w:left w:val="single" w:sz="24" w:space="0" w:color="20AA4D" w:themeColor="accent5"/>
        <w:bottom w:val="single" w:sz="24" w:space="0" w:color="20AA4D" w:themeColor="accent5"/>
        <w:right w:val="single" w:sz="24" w:space="0" w:color="20AA4D" w:themeColor="accent5"/>
      </w:tblBorders>
    </w:tblPr>
    <w:tcPr>
      <w:shd w:val="clear" w:color="auto" w:fill="20AA4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7857"/>
    <w:pPr>
      <w:spacing w:after="0" w:line="240" w:lineRule="auto"/>
    </w:pPr>
    <w:rPr>
      <w:rFonts w:eastAsia="Times New Roman" w:cs="Times New Roman"/>
      <w:color w:val="FFFFFF" w:themeColor="background1"/>
      <w:sz w:val="20"/>
      <w:szCs w:val="20"/>
      <w:lang w:eastAsia="en-AU"/>
    </w:rPr>
    <w:tblPr>
      <w:tblStyleRowBandSize w:val="1"/>
      <w:tblStyleColBandSize w:val="1"/>
      <w:tblBorders>
        <w:top w:val="single" w:sz="24" w:space="0" w:color="007DB6" w:themeColor="accent6"/>
        <w:left w:val="single" w:sz="24" w:space="0" w:color="007DB6" w:themeColor="accent6"/>
        <w:bottom w:val="single" w:sz="24" w:space="0" w:color="007DB6" w:themeColor="accent6"/>
        <w:right w:val="single" w:sz="24" w:space="0" w:color="007DB6" w:themeColor="accent6"/>
      </w:tblBorders>
    </w:tblPr>
    <w:tcPr>
      <w:shd w:val="clear" w:color="auto" w:fill="007D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7857"/>
    <w:pPr>
      <w:spacing w:after="0" w:line="240" w:lineRule="auto"/>
    </w:pPr>
    <w:rPr>
      <w:rFonts w:eastAsia="Times New Roman" w:cs="Times New Roman"/>
      <w:color w:val="A0A39E" w:themeColor="accent1" w:themeShade="BF"/>
      <w:sz w:val="20"/>
      <w:szCs w:val="20"/>
      <w:lang w:eastAsia="en-AU"/>
    </w:rPr>
    <w:tblPr>
      <w:tblStyleRowBandSize w:val="1"/>
      <w:tblStyleColBandSize w:val="1"/>
      <w:tblBorders>
        <w:top w:val="single" w:sz="4" w:space="0" w:color="D7D8D6" w:themeColor="accent1"/>
        <w:bottom w:val="single" w:sz="4" w:space="0" w:color="D7D8D6" w:themeColor="accent1"/>
      </w:tblBorders>
    </w:tblPr>
    <w:tblStylePr w:type="firstRow">
      <w:rPr>
        <w:b/>
        <w:bCs/>
      </w:rPr>
      <w:tblPr/>
      <w:tcPr>
        <w:tcBorders>
          <w:bottom w:val="single" w:sz="4" w:space="0" w:color="D7D8D6" w:themeColor="accent1"/>
        </w:tcBorders>
      </w:tcPr>
    </w:tblStylePr>
    <w:tblStylePr w:type="lastRow">
      <w:rPr>
        <w:b/>
        <w:bCs/>
      </w:rPr>
      <w:tblPr/>
      <w:tcPr>
        <w:tcBorders>
          <w:top w:val="double" w:sz="4" w:space="0" w:color="D7D8D6" w:themeColor="accent1"/>
        </w:tcBorders>
      </w:tcPr>
    </w:tblStylePr>
    <w:tblStylePr w:type="firstCol">
      <w:rPr>
        <w:b/>
        <w:bCs/>
      </w:rPr>
    </w:tblStylePr>
    <w:tblStylePr w:type="lastCol">
      <w:rPr>
        <w:b/>
        <w:bCs/>
      </w:rPr>
    </w:tblStylePr>
    <w:tblStylePr w:type="band1Vert">
      <w:tblPr/>
      <w:tcPr>
        <w:shd w:val="clear" w:color="auto" w:fill="F6F7F6" w:themeFill="accent1" w:themeFillTint="33"/>
      </w:tcPr>
    </w:tblStylePr>
    <w:tblStylePr w:type="band1Horz">
      <w:tblPr/>
      <w:tcPr>
        <w:shd w:val="clear" w:color="auto" w:fill="F6F7F6" w:themeFill="accent1" w:themeFillTint="33"/>
      </w:tcPr>
    </w:tblStylePr>
  </w:style>
  <w:style w:type="table" w:styleId="ListTable6Colorful-Accent2">
    <w:name w:val="List Table 6 Colorful Accent 2"/>
    <w:basedOn w:val="TableNormal"/>
    <w:uiPriority w:val="51"/>
    <w:rsid w:val="00397857"/>
    <w:pPr>
      <w:spacing w:after="0" w:line="240" w:lineRule="auto"/>
    </w:pPr>
    <w:rPr>
      <w:rFonts w:eastAsia="Times New Roman" w:cs="Times New Roman"/>
      <w:color w:val="C59700" w:themeColor="accent2" w:themeShade="BF"/>
      <w:sz w:val="20"/>
      <w:szCs w:val="20"/>
      <w:lang w:eastAsia="en-AU"/>
    </w:rPr>
    <w:tblPr>
      <w:tblStyleRowBandSize w:val="1"/>
      <w:tblStyleColBandSize w:val="1"/>
      <w:tblBorders>
        <w:top w:val="single" w:sz="4" w:space="0" w:color="FFC709" w:themeColor="accent2"/>
        <w:bottom w:val="single" w:sz="4" w:space="0" w:color="FFC709" w:themeColor="accent2"/>
      </w:tblBorders>
    </w:tblPr>
    <w:tblStylePr w:type="firstRow">
      <w:rPr>
        <w:b/>
        <w:bCs/>
      </w:rPr>
      <w:tblPr/>
      <w:tcPr>
        <w:tcBorders>
          <w:bottom w:val="single" w:sz="4" w:space="0" w:color="FFC709" w:themeColor="accent2"/>
        </w:tcBorders>
      </w:tcPr>
    </w:tblStylePr>
    <w:tblStylePr w:type="lastRow">
      <w:rPr>
        <w:b/>
        <w:bCs/>
      </w:rPr>
      <w:tblPr/>
      <w:tcPr>
        <w:tcBorders>
          <w:top w:val="double" w:sz="4" w:space="0" w:color="FFC709" w:themeColor="accent2"/>
        </w:tcBorders>
      </w:tcPr>
    </w:tblStylePr>
    <w:tblStylePr w:type="firstCol">
      <w:rPr>
        <w:b/>
        <w:bCs/>
      </w:rPr>
    </w:tblStylePr>
    <w:tblStylePr w:type="lastCol">
      <w:rPr>
        <w:b/>
        <w:bCs/>
      </w:rPr>
    </w:tblStylePr>
    <w:tblStylePr w:type="band1Vert">
      <w:tblPr/>
      <w:tcPr>
        <w:shd w:val="clear" w:color="auto" w:fill="FFF3CD" w:themeFill="accent2" w:themeFillTint="33"/>
      </w:tcPr>
    </w:tblStylePr>
    <w:tblStylePr w:type="band1Horz">
      <w:tblPr/>
      <w:tcPr>
        <w:shd w:val="clear" w:color="auto" w:fill="FFF3CD" w:themeFill="accent2" w:themeFillTint="33"/>
      </w:tcPr>
    </w:tblStylePr>
  </w:style>
  <w:style w:type="table" w:styleId="ListTable6Colorful-Accent3">
    <w:name w:val="List Table 6 Colorful Accent 3"/>
    <w:basedOn w:val="TableNormal"/>
    <w:uiPriority w:val="51"/>
    <w:rsid w:val="00397857"/>
    <w:pPr>
      <w:spacing w:after="0" w:line="240" w:lineRule="auto"/>
    </w:pPr>
    <w:rPr>
      <w:rFonts w:eastAsia="Times New Roman" w:cs="Times New Roman"/>
      <w:color w:val="99102F" w:themeColor="accent3" w:themeShade="BF"/>
      <w:sz w:val="20"/>
      <w:szCs w:val="20"/>
      <w:lang w:eastAsia="en-AU"/>
    </w:rPr>
    <w:tblPr>
      <w:tblStyleRowBandSize w:val="1"/>
      <w:tblStyleColBandSize w:val="1"/>
      <w:tblBorders>
        <w:top w:val="single" w:sz="4" w:space="0" w:color="CD163F" w:themeColor="accent3"/>
        <w:bottom w:val="single" w:sz="4" w:space="0" w:color="CD163F" w:themeColor="accent3"/>
      </w:tblBorders>
    </w:tblPr>
    <w:tblStylePr w:type="firstRow">
      <w:rPr>
        <w:b/>
        <w:bCs/>
      </w:rPr>
      <w:tblPr/>
      <w:tcPr>
        <w:tcBorders>
          <w:bottom w:val="single" w:sz="4" w:space="0" w:color="CD163F" w:themeColor="accent3"/>
        </w:tcBorders>
      </w:tcPr>
    </w:tblStylePr>
    <w:tblStylePr w:type="lastRow">
      <w:rPr>
        <w:b/>
        <w:bCs/>
      </w:rPr>
      <w:tblPr/>
      <w:tcPr>
        <w:tcBorders>
          <w:top w:val="double" w:sz="4" w:space="0" w:color="CD163F" w:themeColor="accent3"/>
        </w:tcBorders>
      </w:tcPr>
    </w:tblStylePr>
    <w:tblStylePr w:type="firstCol">
      <w:rPr>
        <w:b/>
        <w:bCs/>
      </w:rPr>
    </w:tblStylePr>
    <w:tblStylePr w:type="lastCol">
      <w:rPr>
        <w:b/>
        <w:bCs/>
      </w:rPr>
    </w:tblStylePr>
    <w:tblStylePr w:type="band1Vert">
      <w:tblPr/>
      <w:tcPr>
        <w:shd w:val="clear" w:color="auto" w:fill="F9CBD6" w:themeFill="accent3" w:themeFillTint="33"/>
      </w:tcPr>
    </w:tblStylePr>
    <w:tblStylePr w:type="band1Horz">
      <w:tblPr/>
      <w:tcPr>
        <w:shd w:val="clear" w:color="auto" w:fill="F9CBD6" w:themeFill="accent3" w:themeFillTint="33"/>
      </w:tcPr>
    </w:tblStylePr>
  </w:style>
  <w:style w:type="table" w:styleId="ListTable6Colorful-Accent4">
    <w:name w:val="List Table 6 Colorful Accent 4"/>
    <w:basedOn w:val="TableNormal"/>
    <w:uiPriority w:val="51"/>
    <w:rsid w:val="00397857"/>
    <w:pPr>
      <w:spacing w:after="0" w:line="240" w:lineRule="auto"/>
    </w:pPr>
    <w:rPr>
      <w:rFonts w:eastAsia="Times New Roman" w:cs="Times New Roman"/>
      <w:color w:val="4E1C64" w:themeColor="accent4" w:themeShade="BF"/>
      <w:sz w:val="20"/>
      <w:szCs w:val="20"/>
      <w:lang w:eastAsia="en-AU"/>
    </w:rPr>
    <w:tblPr>
      <w:tblStyleRowBandSize w:val="1"/>
      <w:tblStyleColBandSize w:val="1"/>
      <w:tblBorders>
        <w:top w:val="single" w:sz="4" w:space="0" w:color="692686" w:themeColor="accent4"/>
        <w:bottom w:val="single" w:sz="4" w:space="0" w:color="692686" w:themeColor="accent4"/>
      </w:tblBorders>
    </w:tblPr>
    <w:tblStylePr w:type="firstRow">
      <w:rPr>
        <w:b/>
        <w:bCs/>
      </w:rPr>
      <w:tblPr/>
      <w:tcPr>
        <w:tcBorders>
          <w:bottom w:val="single" w:sz="4" w:space="0" w:color="692686" w:themeColor="accent4"/>
        </w:tcBorders>
      </w:tcPr>
    </w:tblStylePr>
    <w:tblStylePr w:type="lastRow">
      <w:rPr>
        <w:b/>
        <w:bCs/>
      </w:rPr>
      <w:tblPr/>
      <w:tcPr>
        <w:tcBorders>
          <w:top w:val="double" w:sz="4" w:space="0" w:color="692686" w:themeColor="accent4"/>
        </w:tcBorders>
      </w:tcPr>
    </w:tblStylePr>
    <w:tblStylePr w:type="firstCol">
      <w:rPr>
        <w:b/>
        <w:bCs/>
      </w:rPr>
    </w:tblStylePr>
    <w:tblStylePr w:type="lastCol">
      <w:rPr>
        <w:b/>
        <w:bCs/>
      </w:rPr>
    </w:tblStylePr>
    <w:tblStylePr w:type="band1Vert">
      <w:tblPr/>
      <w:tcPr>
        <w:shd w:val="clear" w:color="auto" w:fill="E4CAF0" w:themeFill="accent4" w:themeFillTint="33"/>
      </w:tcPr>
    </w:tblStylePr>
    <w:tblStylePr w:type="band1Horz">
      <w:tblPr/>
      <w:tcPr>
        <w:shd w:val="clear" w:color="auto" w:fill="E4CAF0" w:themeFill="accent4" w:themeFillTint="33"/>
      </w:tcPr>
    </w:tblStylePr>
  </w:style>
  <w:style w:type="table" w:styleId="ListTable6Colorful-Accent5">
    <w:name w:val="List Table 6 Colorful Accent 5"/>
    <w:basedOn w:val="TableNormal"/>
    <w:uiPriority w:val="51"/>
    <w:rsid w:val="00397857"/>
    <w:pPr>
      <w:spacing w:after="0" w:line="240" w:lineRule="auto"/>
    </w:pPr>
    <w:rPr>
      <w:rFonts w:eastAsia="Times New Roman" w:cs="Times New Roman"/>
      <w:color w:val="187F39" w:themeColor="accent5" w:themeShade="BF"/>
      <w:sz w:val="20"/>
      <w:szCs w:val="20"/>
      <w:lang w:eastAsia="en-AU"/>
    </w:rPr>
    <w:tblPr>
      <w:tblStyleRowBandSize w:val="1"/>
      <w:tblStyleColBandSize w:val="1"/>
      <w:tblBorders>
        <w:top w:val="single" w:sz="4" w:space="0" w:color="20AA4D" w:themeColor="accent5"/>
        <w:bottom w:val="single" w:sz="4" w:space="0" w:color="20AA4D" w:themeColor="accent5"/>
      </w:tblBorders>
    </w:tblPr>
    <w:tblStylePr w:type="firstRow">
      <w:rPr>
        <w:b/>
        <w:bCs/>
      </w:rPr>
      <w:tblPr/>
      <w:tcPr>
        <w:tcBorders>
          <w:bottom w:val="single" w:sz="4" w:space="0" w:color="20AA4D" w:themeColor="accent5"/>
        </w:tcBorders>
      </w:tcPr>
    </w:tblStylePr>
    <w:tblStylePr w:type="lastRow">
      <w:rPr>
        <w:b/>
        <w:bCs/>
      </w:rPr>
      <w:tblPr/>
      <w:tcPr>
        <w:tcBorders>
          <w:top w:val="double" w:sz="4" w:space="0" w:color="20AA4D" w:themeColor="accent5"/>
        </w:tcBorders>
      </w:tcPr>
    </w:tblStylePr>
    <w:tblStylePr w:type="firstCol">
      <w:rPr>
        <w:b/>
        <w:bCs/>
      </w:rPr>
    </w:tblStylePr>
    <w:tblStylePr w:type="lastCol">
      <w:rPr>
        <w:b/>
        <w:bCs/>
      </w:rPr>
    </w:tblStylePr>
    <w:tblStylePr w:type="band1Vert">
      <w:tblPr/>
      <w:tcPr>
        <w:shd w:val="clear" w:color="auto" w:fill="CBF5D8" w:themeFill="accent5" w:themeFillTint="33"/>
      </w:tcPr>
    </w:tblStylePr>
    <w:tblStylePr w:type="band1Horz">
      <w:tblPr/>
      <w:tcPr>
        <w:shd w:val="clear" w:color="auto" w:fill="CBF5D8" w:themeFill="accent5" w:themeFillTint="33"/>
      </w:tcPr>
    </w:tblStylePr>
  </w:style>
  <w:style w:type="table" w:styleId="ListTable6Colorful-Accent6">
    <w:name w:val="List Table 6 Colorful Accent 6"/>
    <w:basedOn w:val="TableNormal"/>
    <w:uiPriority w:val="51"/>
    <w:rsid w:val="00397857"/>
    <w:pPr>
      <w:spacing w:after="0" w:line="240" w:lineRule="auto"/>
    </w:pPr>
    <w:rPr>
      <w:rFonts w:eastAsia="Times New Roman" w:cs="Times New Roman"/>
      <w:color w:val="005D88" w:themeColor="accent6" w:themeShade="BF"/>
      <w:sz w:val="20"/>
      <w:szCs w:val="20"/>
      <w:lang w:eastAsia="en-AU"/>
    </w:rPr>
    <w:tblPr>
      <w:tblStyleRowBandSize w:val="1"/>
      <w:tblStyleColBandSize w:val="1"/>
      <w:tblBorders>
        <w:top w:val="single" w:sz="4" w:space="0" w:color="007DB6" w:themeColor="accent6"/>
        <w:bottom w:val="single" w:sz="4" w:space="0" w:color="007DB6" w:themeColor="accent6"/>
      </w:tblBorders>
    </w:tblPr>
    <w:tblStylePr w:type="firstRow">
      <w:rPr>
        <w:b/>
        <w:bCs/>
      </w:rPr>
      <w:tblPr/>
      <w:tcPr>
        <w:tcBorders>
          <w:bottom w:val="single" w:sz="4" w:space="0" w:color="007DB6" w:themeColor="accent6"/>
        </w:tcBorders>
      </w:tcPr>
    </w:tblStylePr>
    <w:tblStylePr w:type="lastRow">
      <w:rPr>
        <w:b/>
        <w:bCs/>
      </w:rPr>
      <w:tblPr/>
      <w:tcPr>
        <w:tcBorders>
          <w:top w:val="double" w:sz="4" w:space="0" w:color="007DB6" w:themeColor="accent6"/>
        </w:tcBorders>
      </w:tcPr>
    </w:tblStylePr>
    <w:tblStylePr w:type="firstCol">
      <w:rPr>
        <w:b/>
        <w:bCs/>
      </w:rPr>
    </w:tblStylePr>
    <w:tblStylePr w:type="lastCol">
      <w:rPr>
        <w:b/>
        <w:bCs/>
      </w:rPr>
    </w:tblStylePr>
    <w:tblStylePr w:type="band1Vert">
      <w:tblPr/>
      <w:tcPr>
        <w:shd w:val="clear" w:color="auto" w:fill="BDEAFF" w:themeFill="accent6" w:themeFillTint="33"/>
      </w:tcPr>
    </w:tblStylePr>
    <w:tblStylePr w:type="band1Horz">
      <w:tblPr/>
      <w:tcPr>
        <w:shd w:val="clear" w:color="auto" w:fill="BDEAFF" w:themeFill="accent6" w:themeFillTint="33"/>
      </w:tcPr>
    </w:tblStylePr>
  </w:style>
  <w:style w:type="table" w:styleId="ListTable7Colorful">
    <w:name w:val="List Table 7 Colorful"/>
    <w:basedOn w:val="TableNormal"/>
    <w:uiPriority w:val="52"/>
    <w:rsid w:val="00397857"/>
    <w:pPr>
      <w:spacing w:after="0" w:line="240" w:lineRule="auto"/>
    </w:pPr>
    <w:rPr>
      <w:rFonts w:eastAsia="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7857"/>
    <w:pPr>
      <w:spacing w:after="0" w:line="240" w:lineRule="auto"/>
    </w:pPr>
    <w:rPr>
      <w:rFonts w:eastAsia="Times New Roman" w:cs="Times New Roman"/>
      <w:color w:val="A0A39E"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D8D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D8D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D8D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D8D6" w:themeColor="accent1"/>
        </w:tcBorders>
        <w:shd w:val="clear" w:color="auto" w:fill="FFFFFF" w:themeFill="background1"/>
      </w:tcPr>
    </w:tblStylePr>
    <w:tblStylePr w:type="band1Vert">
      <w:tblPr/>
      <w:tcPr>
        <w:shd w:val="clear" w:color="auto" w:fill="F6F7F6" w:themeFill="accent1" w:themeFillTint="33"/>
      </w:tcPr>
    </w:tblStylePr>
    <w:tblStylePr w:type="band1Horz">
      <w:tblPr/>
      <w:tcPr>
        <w:shd w:val="clear" w:color="auto" w:fill="F6F7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7857"/>
    <w:pPr>
      <w:spacing w:after="0" w:line="240" w:lineRule="auto"/>
    </w:pPr>
    <w:rPr>
      <w:rFonts w:eastAsia="Times New Roman" w:cs="Times New Roman"/>
      <w:color w:val="C59700"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70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70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70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709" w:themeColor="accent2"/>
        </w:tcBorders>
        <w:shd w:val="clear" w:color="auto" w:fill="FFFFFF" w:themeFill="background1"/>
      </w:tcPr>
    </w:tblStylePr>
    <w:tblStylePr w:type="band1Vert">
      <w:tblPr/>
      <w:tcPr>
        <w:shd w:val="clear" w:color="auto" w:fill="FFF3CD" w:themeFill="accent2" w:themeFillTint="33"/>
      </w:tcPr>
    </w:tblStylePr>
    <w:tblStylePr w:type="band1Horz">
      <w:tblPr/>
      <w:tcPr>
        <w:shd w:val="clear" w:color="auto" w:fill="FFF3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7857"/>
    <w:pPr>
      <w:spacing w:after="0" w:line="240" w:lineRule="auto"/>
    </w:pPr>
    <w:rPr>
      <w:rFonts w:eastAsia="Times New Roman" w:cs="Times New Roman"/>
      <w:color w:val="99102F"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16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16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16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163F" w:themeColor="accent3"/>
        </w:tcBorders>
        <w:shd w:val="clear" w:color="auto" w:fill="FFFFFF" w:themeFill="background1"/>
      </w:tcPr>
    </w:tblStylePr>
    <w:tblStylePr w:type="band1Vert">
      <w:tblPr/>
      <w:tcPr>
        <w:shd w:val="clear" w:color="auto" w:fill="F9CBD6" w:themeFill="accent3" w:themeFillTint="33"/>
      </w:tcPr>
    </w:tblStylePr>
    <w:tblStylePr w:type="band1Horz">
      <w:tblPr/>
      <w:tcPr>
        <w:shd w:val="clear" w:color="auto" w:fill="F9CB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7857"/>
    <w:pPr>
      <w:spacing w:after="0" w:line="240" w:lineRule="auto"/>
    </w:pPr>
    <w:rPr>
      <w:rFonts w:eastAsia="Times New Roman" w:cs="Times New Roman"/>
      <w:color w:val="4E1C64"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2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2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2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2686" w:themeColor="accent4"/>
        </w:tcBorders>
        <w:shd w:val="clear" w:color="auto" w:fill="FFFFFF" w:themeFill="background1"/>
      </w:tcPr>
    </w:tblStylePr>
    <w:tblStylePr w:type="band1Vert">
      <w:tblPr/>
      <w:tcPr>
        <w:shd w:val="clear" w:color="auto" w:fill="E4CAF0" w:themeFill="accent4" w:themeFillTint="33"/>
      </w:tcPr>
    </w:tblStylePr>
    <w:tblStylePr w:type="band1Horz">
      <w:tblPr/>
      <w:tcPr>
        <w:shd w:val="clear" w:color="auto" w:fill="E4CA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7857"/>
    <w:pPr>
      <w:spacing w:after="0" w:line="240" w:lineRule="auto"/>
    </w:pPr>
    <w:rPr>
      <w:rFonts w:eastAsia="Times New Roman" w:cs="Times New Roman"/>
      <w:color w:val="187F39"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A4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A4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A4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A4D" w:themeColor="accent5"/>
        </w:tcBorders>
        <w:shd w:val="clear" w:color="auto" w:fill="FFFFFF" w:themeFill="background1"/>
      </w:tcPr>
    </w:tblStylePr>
    <w:tblStylePr w:type="band1Vert">
      <w:tblPr/>
      <w:tcPr>
        <w:shd w:val="clear" w:color="auto" w:fill="CBF5D8" w:themeFill="accent5" w:themeFillTint="33"/>
      </w:tcPr>
    </w:tblStylePr>
    <w:tblStylePr w:type="band1Horz">
      <w:tblPr/>
      <w:tcPr>
        <w:shd w:val="clear" w:color="auto" w:fill="CBF5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7857"/>
    <w:pPr>
      <w:spacing w:after="0" w:line="240" w:lineRule="auto"/>
    </w:pPr>
    <w:rPr>
      <w:rFonts w:eastAsia="Times New Roman" w:cs="Times New Roman"/>
      <w:color w:val="005D88"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B6" w:themeColor="accent6"/>
        </w:tcBorders>
        <w:shd w:val="clear" w:color="auto" w:fill="FFFFFF" w:themeFill="background1"/>
      </w:tcPr>
    </w:tblStylePr>
    <w:tblStylePr w:type="band1Vert">
      <w:tblPr/>
      <w:tcPr>
        <w:shd w:val="clear" w:color="auto" w:fill="BDEAFF" w:themeFill="accent6" w:themeFillTint="33"/>
      </w:tcPr>
    </w:tblStylePr>
    <w:tblStylePr w:type="band1Horz">
      <w:tblPr/>
      <w:tcPr>
        <w:shd w:val="clear" w:color="auto" w:fill="BDE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single" w:sz="8" w:space="0" w:color="E0E1E0" w:themeColor="accent1" w:themeTint="BF"/>
        <w:insideV w:val="single" w:sz="8" w:space="0" w:color="E0E1E0" w:themeColor="accent1" w:themeTint="BF"/>
      </w:tblBorders>
    </w:tblPr>
    <w:tcPr>
      <w:shd w:val="clear" w:color="auto" w:fill="F4F5F4" w:themeFill="accent1" w:themeFillTint="3F"/>
    </w:tcPr>
    <w:tblStylePr w:type="firstRow">
      <w:rPr>
        <w:b/>
        <w:bCs/>
      </w:rPr>
    </w:tblStylePr>
    <w:tblStylePr w:type="lastRow">
      <w:rPr>
        <w:b/>
        <w:bCs/>
      </w:rPr>
      <w:tblPr/>
      <w:tcPr>
        <w:tcBorders>
          <w:top w:val="single" w:sz="18" w:space="0" w:color="E0E1E0" w:themeColor="accent1" w:themeTint="BF"/>
        </w:tcBorders>
      </w:tcPr>
    </w:tblStylePr>
    <w:tblStylePr w:type="firstCol">
      <w:rPr>
        <w:b/>
        <w:bCs/>
      </w:rPr>
    </w:tblStylePr>
    <w:tblStylePr w:type="lastCol">
      <w:rPr>
        <w:b/>
        <w:bCs/>
      </w:rPr>
    </w:tblStylePr>
    <w:tblStylePr w:type="band1Vert">
      <w:tblPr/>
      <w:tcPr>
        <w:shd w:val="clear" w:color="auto" w:fill="EAEBEA" w:themeFill="accent1" w:themeFillTint="7F"/>
      </w:tcPr>
    </w:tblStylePr>
    <w:tblStylePr w:type="band1Horz">
      <w:tblPr/>
      <w:tcPr>
        <w:shd w:val="clear" w:color="auto" w:fill="EAEBEA" w:themeFill="accent1" w:themeFillTint="7F"/>
      </w:tcPr>
    </w:tblStylePr>
  </w:style>
  <w:style w:type="table" w:styleId="MediumGrid1-Accent2">
    <w:name w:val="Medium Grid 1 Accent 2"/>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single" w:sz="8" w:space="0" w:color="FFD446" w:themeColor="accent2" w:themeTint="BF"/>
        <w:insideV w:val="single" w:sz="8" w:space="0" w:color="FFD446" w:themeColor="accent2" w:themeTint="BF"/>
      </w:tblBorders>
    </w:tblPr>
    <w:tcPr>
      <w:shd w:val="clear" w:color="auto" w:fill="FFF0C2" w:themeFill="accent2" w:themeFillTint="3F"/>
    </w:tcPr>
    <w:tblStylePr w:type="firstRow">
      <w:rPr>
        <w:b/>
        <w:bCs/>
      </w:rPr>
    </w:tblStylePr>
    <w:tblStylePr w:type="lastRow">
      <w:rPr>
        <w:b/>
        <w:bCs/>
      </w:rPr>
      <w:tblPr/>
      <w:tcPr>
        <w:tcBorders>
          <w:top w:val="single" w:sz="18" w:space="0" w:color="FFD446" w:themeColor="accent2" w:themeTint="BF"/>
        </w:tcBorders>
      </w:tcPr>
    </w:tblStylePr>
    <w:tblStylePr w:type="firstCol">
      <w:rPr>
        <w:b/>
        <w:bCs/>
      </w:rPr>
    </w:tblStylePr>
    <w:tblStylePr w:type="lastCol">
      <w:rPr>
        <w:b/>
        <w:bCs/>
      </w:rPr>
    </w:tblStylePr>
    <w:tblStylePr w:type="band1Vert">
      <w:tblPr/>
      <w:tcPr>
        <w:shd w:val="clear" w:color="auto" w:fill="FFE284" w:themeFill="accent2" w:themeFillTint="7F"/>
      </w:tcPr>
    </w:tblStylePr>
    <w:tblStylePr w:type="band1Horz">
      <w:tblPr/>
      <w:tcPr>
        <w:shd w:val="clear" w:color="auto" w:fill="FFE284" w:themeFill="accent2" w:themeFillTint="7F"/>
      </w:tcPr>
    </w:tblStylePr>
  </w:style>
  <w:style w:type="table" w:styleId="MediumGrid1-Accent3">
    <w:name w:val="Medium Grid 1 Accent 3"/>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single" w:sz="8" w:space="0" w:color="EA3F65" w:themeColor="accent3" w:themeTint="BF"/>
        <w:insideV w:val="single" w:sz="8" w:space="0" w:color="EA3F65" w:themeColor="accent3" w:themeTint="BF"/>
      </w:tblBorders>
    </w:tblPr>
    <w:tcPr>
      <w:shd w:val="clear" w:color="auto" w:fill="F8BFCC" w:themeFill="accent3" w:themeFillTint="3F"/>
    </w:tcPr>
    <w:tblStylePr w:type="firstRow">
      <w:rPr>
        <w:b/>
        <w:bCs/>
      </w:rPr>
    </w:tblStylePr>
    <w:tblStylePr w:type="lastRow">
      <w:rPr>
        <w:b/>
        <w:bCs/>
      </w:rPr>
      <w:tblPr/>
      <w:tcPr>
        <w:tcBorders>
          <w:top w:val="single" w:sz="18" w:space="0" w:color="EA3F65" w:themeColor="accent3" w:themeTint="BF"/>
        </w:tcBorders>
      </w:tcPr>
    </w:tblStylePr>
    <w:tblStylePr w:type="firstCol">
      <w:rPr>
        <w:b/>
        <w:bCs/>
      </w:rPr>
    </w:tblStylePr>
    <w:tblStylePr w:type="lastCol">
      <w:rPr>
        <w:b/>
        <w:bCs/>
      </w:rPr>
    </w:tblStylePr>
    <w:tblStylePr w:type="band1Vert">
      <w:tblPr/>
      <w:tcPr>
        <w:shd w:val="clear" w:color="auto" w:fill="F17F99" w:themeFill="accent3" w:themeFillTint="7F"/>
      </w:tcPr>
    </w:tblStylePr>
    <w:tblStylePr w:type="band1Horz">
      <w:tblPr/>
      <w:tcPr>
        <w:shd w:val="clear" w:color="auto" w:fill="F17F99" w:themeFill="accent3" w:themeFillTint="7F"/>
      </w:tcPr>
    </w:tblStylePr>
  </w:style>
  <w:style w:type="table" w:styleId="MediumGrid1-Accent4">
    <w:name w:val="Medium Grid 1 Accent 4"/>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single" w:sz="8" w:space="0" w:color="9B39C7" w:themeColor="accent4" w:themeTint="BF"/>
        <w:insideV w:val="single" w:sz="8" w:space="0" w:color="9B39C7" w:themeColor="accent4" w:themeTint="BF"/>
      </w:tblBorders>
    </w:tblPr>
    <w:tcPr>
      <w:shd w:val="clear" w:color="auto" w:fill="DEBDEC" w:themeFill="accent4" w:themeFillTint="3F"/>
    </w:tcPr>
    <w:tblStylePr w:type="firstRow">
      <w:rPr>
        <w:b/>
        <w:bCs/>
      </w:rPr>
    </w:tblStylePr>
    <w:tblStylePr w:type="lastRow">
      <w:rPr>
        <w:b/>
        <w:bCs/>
      </w:rPr>
      <w:tblPr/>
      <w:tcPr>
        <w:tcBorders>
          <w:top w:val="single" w:sz="18" w:space="0" w:color="9B39C7" w:themeColor="accent4" w:themeTint="BF"/>
        </w:tcBorders>
      </w:tcPr>
    </w:tblStylePr>
    <w:tblStylePr w:type="firstCol">
      <w:rPr>
        <w:b/>
        <w:bCs/>
      </w:rPr>
    </w:tblStylePr>
    <w:tblStylePr w:type="lastCol">
      <w:rPr>
        <w:b/>
        <w:bCs/>
      </w:rPr>
    </w:tblStylePr>
    <w:tblStylePr w:type="band1Vert">
      <w:tblPr/>
      <w:tcPr>
        <w:shd w:val="clear" w:color="auto" w:fill="BC7BD9" w:themeFill="accent4" w:themeFillTint="7F"/>
      </w:tcPr>
    </w:tblStylePr>
    <w:tblStylePr w:type="band1Horz">
      <w:tblPr/>
      <w:tcPr>
        <w:shd w:val="clear" w:color="auto" w:fill="BC7BD9" w:themeFill="accent4" w:themeFillTint="7F"/>
      </w:tcPr>
    </w:tblStylePr>
  </w:style>
  <w:style w:type="table" w:styleId="MediumGrid1-Accent5">
    <w:name w:val="Medium Grid 1 Accent 5"/>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single" w:sz="8" w:space="0" w:color="3CDA6F" w:themeColor="accent5" w:themeTint="BF"/>
        <w:insideV w:val="single" w:sz="8" w:space="0" w:color="3CDA6F" w:themeColor="accent5" w:themeTint="BF"/>
      </w:tblBorders>
    </w:tblPr>
    <w:tcPr>
      <w:shd w:val="clear" w:color="auto" w:fill="BEF3CF" w:themeFill="accent5" w:themeFillTint="3F"/>
    </w:tcPr>
    <w:tblStylePr w:type="firstRow">
      <w:rPr>
        <w:b/>
        <w:bCs/>
      </w:rPr>
    </w:tblStylePr>
    <w:tblStylePr w:type="lastRow">
      <w:rPr>
        <w:b/>
        <w:bCs/>
      </w:rPr>
      <w:tblPr/>
      <w:tcPr>
        <w:tcBorders>
          <w:top w:val="single" w:sz="18" w:space="0" w:color="3CDA6F" w:themeColor="accent5" w:themeTint="BF"/>
        </w:tcBorders>
      </w:tcPr>
    </w:tblStylePr>
    <w:tblStylePr w:type="firstCol">
      <w:rPr>
        <w:b/>
        <w:bCs/>
      </w:rPr>
    </w:tblStylePr>
    <w:tblStylePr w:type="lastCol">
      <w:rPr>
        <w:b/>
        <w:bCs/>
      </w:rPr>
    </w:tblStylePr>
    <w:tblStylePr w:type="band1Vert">
      <w:tblPr/>
      <w:tcPr>
        <w:shd w:val="clear" w:color="auto" w:fill="7DE69F" w:themeFill="accent5" w:themeFillTint="7F"/>
      </w:tcPr>
    </w:tblStylePr>
    <w:tblStylePr w:type="band1Horz">
      <w:tblPr/>
      <w:tcPr>
        <w:shd w:val="clear" w:color="auto" w:fill="7DE69F" w:themeFill="accent5" w:themeFillTint="7F"/>
      </w:tcPr>
    </w:tblStylePr>
  </w:style>
  <w:style w:type="table" w:styleId="MediumGrid1-Accent6">
    <w:name w:val="Medium Grid 1 Accent 6"/>
    <w:basedOn w:val="TableNormal"/>
    <w:uiPriority w:val="67"/>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single" w:sz="8" w:space="0" w:color="09B1FF" w:themeColor="accent6" w:themeTint="BF"/>
        <w:insideV w:val="single" w:sz="8" w:space="0" w:color="09B1FF" w:themeColor="accent6" w:themeTint="BF"/>
      </w:tblBorders>
    </w:tblPr>
    <w:tcPr>
      <w:shd w:val="clear" w:color="auto" w:fill="ADE5FF" w:themeFill="accent6" w:themeFillTint="3F"/>
    </w:tcPr>
    <w:tblStylePr w:type="firstRow">
      <w:rPr>
        <w:b/>
        <w:bCs/>
      </w:rPr>
    </w:tblStylePr>
    <w:tblStylePr w:type="lastRow">
      <w:rPr>
        <w:b/>
        <w:bCs/>
      </w:rPr>
      <w:tblPr/>
      <w:tcPr>
        <w:tcBorders>
          <w:top w:val="single" w:sz="18" w:space="0" w:color="09B1FF" w:themeColor="accent6" w:themeTint="BF"/>
        </w:tcBorders>
      </w:tcPr>
    </w:tblStylePr>
    <w:tblStylePr w:type="firstCol">
      <w:rPr>
        <w:b/>
        <w:bCs/>
      </w:rPr>
    </w:tblStylePr>
    <w:tblStylePr w:type="lastCol">
      <w:rPr>
        <w:b/>
        <w:bCs/>
      </w:rPr>
    </w:tblStylePr>
    <w:tblStylePr w:type="band1Vert">
      <w:tblPr/>
      <w:tcPr>
        <w:shd w:val="clear" w:color="auto" w:fill="5BCBFF" w:themeFill="accent6" w:themeFillTint="7F"/>
      </w:tcPr>
    </w:tblStylePr>
    <w:tblStylePr w:type="band1Horz">
      <w:tblPr/>
      <w:tcPr>
        <w:shd w:val="clear" w:color="auto" w:fill="5BCBFF" w:themeFill="accent6" w:themeFillTint="7F"/>
      </w:tcPr>
    </w:tblStylePr>
  </w:style>
  <w:style w:type="table" w:styleId="MediumGrid2">
    <w:name w:val="Medium Grid 2"/>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insideH w:val="single" w:sz="8" w:space="0" w:color="D7D8D6" w:themeColor="accent1"/>
        <w:insideV w:val="single" w:sz="8" w:space="0" w:color="D7D8D6" w:themeColor="accent1"/>
      </w:tblBorders>
    </w:tblPr>
    <w:tcPr>
      <w:shd w:val="clear" w:color="auto" w:fill="F4F5F4" w:themeFill="accent1" w:themeFillTint="3F"/>
    </w:tcPr>
    <w:tblStylePr w:type="firstRow">
      <w:rPr>
        <w:b/>
        <w:bCs/>
        <w:color w:val="000000" w:themeColor="text1"/>
      </w:rPr>
      <w:tblPr/>
      <w:tcPr>
        <w:shd w:val="clear" w:color="auto" w:fill="FAF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6" w:themeFill="accent1" w:themeFillTint="33"/>
      </w:tcPr>
    </w:tblStylePr>
    <w:tblStylePr w:type="band1Vert">
      <w:tblPr/>
      <w:tcPr>
        <w:shd w:val="clear" w:color="auto" w:fill="EAEBEA" w:themeFill="accent1" w:themeFillTint="7F"/>
      </w:tcPr>
    </w:tblStylePr>
    <w:tblStylePr w:type="band1Horz">
      <w:tblPr/>
      <w:tcPr>
        <w:tcBorders>
          <w:insideH w:val="single" w:sz="6" w:space="0" w:color="D7D8D6" w:themeColor="accent1"/>
          <w:insideV w:val="single" w:sz="6" w:space="0" w:color="D7D8D6" w:themeColor="accent1"/>
        </w:tcBorders>
        <w:shd w:val="clear" w:color="auto" w:fill="EAEB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insideH w:val="single" w:sz="8" w:space="0" w:color="FFC709" w:themeColor="accent2"/>
        <w:insideV w:val="single" w:sz="8" w:space="0" w:color="FFC709" w:themeColor="accent2"/>
      </w:tblBorders>
    </w:tblPr>
    <w:tcPr>
      <w:shd w:val="clear" w:color="auto" w:fill="FFF0C2" w:themeFill="accent2" w:themeFillTint="3F"/>
    </w:tcPr>
    <w:tblStylePr w:type="firstRow">
      <w:rPr>
        <w:b/>
        <w:bCs/>
        <w:color w:val="000000" w:themeColor="text1"/>
      </w:rPr>
      <w:tblPr/>
      <w:tcPr>
        <w:shd w:val="clear" w:color="auto" w:fill="FFF9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D" w:themeFill="accent2" w:themeFillTint="33"/>
      </w:tcPr>
    </w:tblStylePr>
    <w:tblStylePr w:type="band1Vert">
      <w:tblPr/>
      <w:tcPr>
        <w:shd w:val="clear" w:color="auto" w:fill="FFE284" w:themeFill="accent2" w:themeFillTint="7F"/>
      </w:tcPr>
    </w:tblStylePr>
    <w:tblStylePr w:type="band1Horz">
      <w:tblPr/>
      <w:tcPr>
        <w:tcBorders>
          <w:insideH w:val="single" w:sz="6" w:space="0" w:color="FFC709" w:themeColor="accent2"/>
          <w:insideV w:val="single" w:sz="6" w:space="0" w:color="FFC709" w:themeColor="accent2"/>
        </w:tcBorders>
        <w:shd w:val="clear" w:color="auto" w:fill="FFE2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insideH w:val="single" w:sz="8" w:space="0" w:color="CD163F" w:themeColor="accent3"/>
        <w:insideV w:val="single" w:sz="8" w:space="0" w:color="CD163F" w:themeColor="accent3"/>
      </w:tblBorders>
    </w:tblPr>
    <w:tcPr>
      <w:shd w:val="clear" w:color="auto" w:fill="F8BFCC" w:themeFill="accent3" w:themeFillTint="3F"/>
    </w:tcPr>
    <w:tblStylePr w:type="firstRow">
      <w:rPr>
        <w:b/>
        <w:bCs/>
        <w:color w:val="000000" w:themeColor="text1"/>
      </w:rPr>
      <w:tblPr/>
      <w:tcPr>
        <w:shd w:val="clear" w:color="auto" w:fill="FCE5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BD6" w:themeFill="accent3" w:themeFillTint="33"/>
      </w:tcPr>
    </w:tblStylePr>
    <w:tblStylePr w:type="band1Vert">
      <w:tblPr/>
      <w:tcPr>
        <w:shd w:val="clear" w:color="auto" w:fill="F17F99" w:themeFill="accent3" w:themeFillTint="7F"/>
      </w:tcPr>
    </w:tblStylePr>
    <w:tblStylePr w:type="band1Horz">
      <w:tblPr/>
      <w:tcPr>
        <w:tcBorders>
          <w:insideH w:val="single" w:sz="6" w:space="0" w:color="CD163F" w:themeColor="accent3"/>
          <w:insideV w:val="single" w:sz="6" w:space="0" w:color="CD163F" w:themeColor="accent3"/>
        </w:tcBorders>
        <w:shd w:val="clear" w:color="auto" w:fill="F17F9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insideH w:val="single" w:sz="8" w:space="0" w:color="692686" w:themeColor="accent4"/>
        <w:insideV w:val="single" w:sz="8" w:space="0" w:color="692686" w:themeColor="accent4"/>
      </w:tblBorders>
    </w:tblPr>
    <w:tcPr>
      <w:shd w:val="clear" w:color="auto" w:fill="DEBDEC" w:themeFill="accent4" w:themeFillTint="3F"/>
    </w:tcPr>
    <w:tblStylePr w:type="firstRow">
      <w:rPr>
        <w:b/>
        <w:bCs/>
        <w:color w:val="000000" w:themeColor="text1"/>
      </w:rPr>
      <w:tblPr/>
      <w:tcPr>
        <w:shd w:val="clear" w:color="auto" w:fill="F1E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AF0" w:themeFill="accent4" w:themeFillTint="33"/>
      </w:tcPr>
    </w:tblStylePr>
    <w:tblStylePr w:type="band1Vert">
      <w:tblPr/>
      <w:tcPr>
        <w:shd w:val="clear" w:color="auto" w:fill="BC7BD9" w:themeFill="accent4" w:themeFillTint="7F"/>
      </w:tcPr>
    </w:tblStylePr>
    <w:tblStylePr w:type="band1Horz">
      <w:tblPr/>
      <w:tcPr>
        <w:tcBorders>
          <w:insideH w:val="single" w:sz="6" w:space="0" w:color="692686" w:themeColor="accent4"/>
          <w:insideV w:val="single" w:sz="6" w:space="0" w:color="692686" w:themeColor="accent4"/>
        </w:tcBorders>
        <w:shd w:val="clear" w:color="auto" w:fill="BC7B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insideH w:val="single" w:sz="8" w:space="0" w:color="20AA4D" w:themeColor="accent5"/>
        <w:insideV w:val="single" w:sz="8" w:space="0" w:color="20AA4D" w:themeColor="accent5"/>
      </w:tblBorders>
    </w:tblPr>
    <w:tcPr>
      <w:shd w:val="clear" w:color="auto" w:fill="BEF3CF" w:themeFill="accent5" w:themeFillTint="3F"/>
    </w:tcPr>
    <w:tblStylePr w:type="firstRow">
      <w:rPr>
        <w:b/>
        <w:bCs/>
        <w:color w:val="000000" w:themeColor="text1"/>
      </w:rPr>
      <w:tblPr/>
      <w:tcPr>
        <w:shd w:val="clear" w:color="auto" w:fill="E5FA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F5D8" w:themeFill="accent5" w:themeFillTint="33"/>
      </w:tcPr>
    </w:tblStylePr>
    <w:tblStylePr w:type="band1Vert">
      <w:tblPr/>
      <w:tcPr>
        <w:shd w:val="clear" w:color="auto" w:fill="7DE69F" w:themeFill="accent5" w:themeFillTint="7F"/>
      </w:tcPr>
    </w:tblStylePr>
    <w:tblStylePr w:type="band1Horz">
      <w:tblPr/>
      <w:tcPr>
        <w:tcBorders>
          <w:insideH w:val="single" w:sz="6" w:space="0" w:color="20AA4D" w:themeColor="accent5"/>
          <w:insideV w:val="single" w:sz="6" w:space="0" w:color="20AA4D" w:themeColor="accent5"/>
        </w:tcBorders>
        <w:shd w:val="clear" w:color="auto" w:fill="7DE6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insideH w:val="single" w:sz="8" w:space="0" w:color="007DB6" w:themeColor="accent6"/>
        <w:insideV w:val="single" w:sz="8" w:space="0" w:color="007DB6" w:themeColor="accent6"/>
      </w:tblBorders>
    </w:tblPr>
    <w:tcPr>
      <w:shd w:val="clear" w:color="auto" w:fill="ADE5FF" w:themeFill="accent6" w:themeFillTint="3F"/>
    </w:tcPr>
    <w:tblStylePr w:type="firstRow">
      <w:rPr>
        <w:b/>
        <w:bCs/>
        <w:color w:val="000000" w:themeColor="text1"/>
      </w:rPr>
      <w:tblPr/>
      <w:tcPr>
        <w:shd w:val="clear" w:color="auto" w:fill="DEF4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EAFF" w:themeFill="accent6" w:themeFillTint="33"/>
      </w:tcPr>
    </w:tblStylePr>
    <w:tblStylePr w:type="band1Vert">
      <w:tblPr/>
      <w:tcPr>
        <w:shd w:val="clear" w:color="auto" w:fill="5BCBFF" w:themeFill="accent6" w:themeFillTint="7F"/>
      </w:tcPr>
    </w:tblStylePr>
    <w:tblStylePr w:type="band1Horz">
      <w:tblPr/>
      <w:tcPr>
        <w:tcBorders>
          <w:insideH w:val="single" w:sz="6" w:space="0" w:color="007DB6" w:themeColor="accent6"/>
          <w:insideV w:val="single" w:sz="6" w:space="0" w:color="007DB6" w:themeColor="accent6"/>
        </w:tcBorders>
        <w:shd w:val="clear" w:color="auto" w:fill="5BCB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D8D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D8D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D8D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D8D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B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BEA" w:themeFill="accent1" w:themeFillTint="7F"/>
      </w:tcPr>
    </w:tblStylePr>
  </w:style>
  <w:style w:type="table" w:styleId="MediumGrid3-Accent2">
    <w:name w:val="Medium Grid 3 Accent 2"/>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0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0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0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0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4" w:themeFill="accent2" w:themeFillTint="7F"/>
      </w:tcPr>
    </w:tblStylePr>
  </w:style>
  <w:style w:type="table" w:styleId="MediumGrid3-Accent3">
    <w:name w:val="Medium Grid 3 Accent 3"/>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F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16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16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16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16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F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F99" w:themeFill="accent3" w:themeFillTint="7F"/>
      </w:tcPr>
    </w:tblStylePr>
  </w:style>
  <w:style w:type="table" w:styleId="MediumGrid3-Accent4">
    <w:name w:val="Medium Grid 3 Accent 4"/>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BD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268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268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268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268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7B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7BD9" w:themeFill="accent4" w:themeFillTint="7F"/>
      </w:tcPr>
    </w:tblStylePr>
  </w:style>
  <w:style w:type="table" w:styleId="MediumGrid3-Accent5">
    <w:name w:val="Medium Grid 3 Accent 5"/>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AA4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AA4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AA4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AA4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6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69F" w:themeFill="accent5" w:themeFillTint="7F"/>
      </w:tcPr>
    </w:tblStylePr>
  </w:style>
  <w:style w:type="table" w:styleId="MediumGrid3-Accent6">
    <w:name w:val="Medium Grid 3 Accent 6"/>
    <w:basedOn w:val="TableNormal"/>
    <w:uiPriority w:val="69"/>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E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C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CBFF" w:themeFill="accent6" w:themeFillTint="7F"/>
      </w:tcPr>
    </w:tblStylePr>
  </w:style>
  <w:style w:type="table" w:styleId="MediumList1">
    <w:name w:val="Medium List 1"/>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C2B3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D7D8D6" w:themeColor="accent1"/>
        <w:bottom w:val="single" w:sz="8" w:space="0" w:color="D7D8D6" w:themeColor="accent1"/>
      </w:tblBorders>
    </w:tblPr>
    <w:tblStylePr w:type="firstRow">
      <w:rPr>
        <w:rFonts w:asciiTheme="majorHAnsi" w:eastAsiaTheme="majorEastAsia" w:hAnsiTheme="majorHAnsi" w:cstheme="majorBidi"/>
      </w:rPr>
      <w:tblPr/>
      <w:tcPr>
        <w:tcBorders>
          <w:top w:val="nil"/>
          <w:bottom w:val="single" w:sz="8" w:space="0" w:color="D7D8D6" w:themeColor="accent1"/>
        </w:tcBorders>
      </w:tcPr>
    </w:tblStylePr>
    <w:tblStylePr w:type="lastRow">
      <w:rPr>
        <w:b/>
        <w:bCs/>
        <w:color w:val="1C2B39" w:themeColor="text2"/>
      </w:rPr>
      <w:tblPr/>
      <w:tcPr>
        <w:tcBorders>
          <w:top w:val="single" w:sz="8" w:space="0" w:color="D7D8D6" w:themeColor="accent1"/>
          <w:bottom w:val="single" w:sz="8" w:space="0" w:color="D7D8D6" w:themeColor="accent1"/>
        </w:tcBorders>
      </w:tcPr>
    </w:tblStylePr>
    <w:tblStylePr w:type="firstCol">
      <w:rPr>
        <w:b/>
        <w:bCs/>
      </w:rPr>
    </w:tblStylePr>
    <w:tblStylePr w:type="lastCol">
      <w:rPr>
        <w:b/>
        <w:bCs/>
      </w:rPr>
      <w:tblPr/>
      <w:tcPr>
        <w:tcBorders>
          <w:top w:val="single" w:sz="8" w:space="0" w:color="D7D8D6" w:themeColor="accent1"/>
          <w:bottom w:val="single" w:sz="8" w:space="0" w:color="D7D8D6" w:themeColor="accent1"/>
        </w:tcBorders>
      </w:tcPr>
    </w:tblStylePr>
    <w:tblStylePr w:type="band1Vert">
      <w:tblPr/>
      <w:tcPr>
        <w:shd w:val="clear" w:color="auto" w:fill="F4F5F4" w:themeFill="accent1" w:themeFillTint="3F"/>
      </w:tcPr>
    </w:tblStylePr>
    <w:tblStylePr w:type="band1Horz">
      <w:tblPr/>
      <w:tcPr>
        <w:shd w:val="clear" w:color="auto" w:fill="F4F5F4" w:themeFill="accent1" w:themeFillTint="3F"/>
      </w:tcPr>
    </w:tblStylePr>
  </w:style>
  <w:style w:type="table" w:styleId="MediumList1-Accent2">
    <w:name w:val="Medium List 1 Accent 2"/>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FFC709" w:themeColor="accent2"/>
        <w:bottom w:val="single" w:sz="8" w:space="0" w:color="FFC709" w:themeColor="accent2"/>
      </w:tblBorders>
    </w:tblPr>
    <w:tblStylePr w:type="firstRow">
      <w:rPr>
        <w:rFonts w:asciiTheme="majorHAnsi" w:eastAsiaTheme="majorEastAsia" w:hAnsiTheme="majorHAnsi" w:cstheme="majorBidi"/>
      </w:rPr>
      <w:tblPr/>
      <w:tcPr>
        <w:tcBorders>
          <w:top w:val="nil"/>
          <w:bottom w:val="single" w:sz="8" w:space="0" w:color="FFC709" w:themeColor="accent2"/>
        </w:tcBorders>
      </w:tcPr>
    </w:tblStylePr>
    <w:tblStylePr w:type="lastRow">
      <w:rPr>
        <w:b/>
        <w:bCs/>
        <w:color w:val="1C2B39" w:themeColor="text2"/>
      </w:rPr>
      <w:tblPr/>
      <w:tcPr>
        <w:tcBorders>
          <w:top w:val="single" w:sz="8" w:space="0" w:color="FFC709" w:themeColor="accent2"/>
          <w:bottom w:val="single" w:sz="8" w:space="0" w:color="FFC709" w:themeColor="accent2"/>
        </w:tcBorders>
      </w:tcPr>
    </w:tblStylePr>
    <w:tblStylePr w:type="firstCol">
      <w:rPr>
        <w:b/>
        <w:bCs/>
      </w:rPr>
    </w:tblStylePr>
    <w:tblStylePr w:type="lastCol">
      <w:rPr>
        <w:b/>
        <w:bCs/>
      </w:rPr>
      <w:tblPr/>
      <w:tcPr>
        <w:tcBorders>
          <w:top w:val="single" w:sz="8" w:space="0" w:color="FFC709" w:themeColor="accent2"/>
          <w:bottom w:val="single" w:sz="8" w:space="0" w:color="FFC709" w:themeColor="accent2"/>
        </w:tcBorders>
      </w:tcPr>
    </w:tblStylePr>
    <w:tblStylePr w:type="band1Vert">
      <w:tblPr/>
      <w:tcPr>
        <w:shd w:val="clear" w:color="auto" w:fill="FFF0C2" w:themeFill="accent2" w:themeFillTint="3F"/>
      </w:tcPr>
    </w:tblStylePr>
    <w:tblStylePr w:type="band1Horz">
      <w:tblPr/>
      <w:tcPr>
        <w:shd w:val="clear" w:color="auto" w:fill="FFF0C2" w:themeFill="accent2" w:themeFillTint="3F"/>
      </w:tcPr>
    </w:tblStylePr>
  </w:style>
  <w:style w:type="table" w:styleId="MediumList1-Accent3">
    <w:name w:val="Medium List 1 Accent 3"/>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CD163F" w:themeColor="accent3"/>
        <w:bottom w:val="single" w:sz="8" w:space="0" w:color="CD163F" w:themeColor="accent3"/>
      </w:tblBorders>
    </w:tblPr>
    <w:tblStylePr w:type="firstRow">
      <w:rPr>
        <w:rFonts w:asciiTheme="majorHAnsi" w:eastAsiaTheme="majorEastAsia" w:hAnsiTheme="majorHAnsi" w:cstheme="majorBidi"/>
      </w:rPr>
      <w:tblPr/>
      <w:tcPr>
        <w:tcBorders>
          <w:top w:val="nil"/>
          <w:bottom w:val="single" w:sz="8" w:space="0" w:color="CD163F" w:themeColor="accent3"/>
        </w:tcBorders>
      </w:tcPr>
    </w:tblStylePr>
    <w:tblStylePr w:type="lastRow">
      <w:rPr>
        <w:b/>
        <w:bCs/>
        <w:color w:val="1C2B39" w:themeColor="text2"/>
      </w:rPr>
      <w:tblPr/>
      <w:tcPr>
        <w:tcBorders>
          <w:top w:val="single" w:sz="8" w:space="0" w:color="CD163F" w:themeColor="accent3"/>
          <w:bottom w:val="single" w:sz="8" w:space="0" w:color="CD163F" w:themeColor="accent3"/>
        </w:tcBorders>
      </w:tcPr>
    </w:tblStylePr>
    <w:tblStylePr w:type="firstCol">
      <w:rPr>
        <w:b/>
        <w:bCs/>
      </w:rPr>
    </w:tblStylePr>
    <w:tblStylePr w:type="lastCol">
      <w:rPr>
        <w:b/>
        <w:bCs/>
      </w:rPr>
      <w:tblPr/>
      <w:tcPr>
        <w:tcBorders>
          <w:top w:val="single" w:sz="8" w:space="0" w:color="CD163F" w:themeColor="accent3"/>
          <w:bottom w:val="single" w:sz="8" w:space="0" w:color="CD163F" w:themeColor="accent3"/>
        </w:tcBorders>
      </w:tcPr>
    </w:tblStylePr>
    <w:tblStylePr w:type="band1Vert">
      <w:tblPr/>
      <w:tcPr>
        <w:shd w:val="clear" w:color="auto" w:fill="F8BFCC" w:themeFill="accent3" w:themeFillTint="3F"/>
      </w:tcPr>
    </w:tblStylePr>
    <w:tblStylePr w:type="band1Horz">
      <w:tblPr/>
      <w:tcPr>
        <w:shd w:val="clear" w:color="auto" w:fill="F8BFCC" w:themeFill="accent3" w:themeFillTint="3F"/>
      </w:tcPr>
    </w:tblStylePr>
  </w:style>
  <w:style w:type="table" w:styleId="MediumList1-Accent4">
    <w:name w:val="Medium List 1 Accent 4"/>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692686" w:themeColor="accent4"/>
        <w:bottom w:val="single" w:sz="8" w:space="0" w:color="692686" w:themeColor="accent4"/>
      </w:tblBorders>
    </w:tblPr>
    <w:tblStylePr w:type="firstRow">
      <w:rPr>
        <w:rFonts w:asciiTheme="majorHAnsi" w:eastAsiaTheme="majorEastAsia" w:hAnsiTheme="majorHAnsi" w:cstheme="majorBidi"/>
      </w:rPr>
      <w:tblPr/>
      <w:tcPr>
        <w:tcBorders>
          <w:top w:val="nil"/>
          <w:bottom w:val="single" w:sz="8" w:space="0" w:color="692686" w:themeColor="accent4"/>
        </w:tcBorders>
      </w:tcPr>
    </w:tblStylePr>
    <w:tblStylePr w:type="lastRow">
      <w:rPr>
        <w:b/>
        <w:bCs/>
        <w:color w:val="1C2B39" w:themeColor="text2"/>
      </w:rPr>
      <w:tblPr/>
      <w:tcPr>
        <w:tcBorders>
          <w:top w:val="single" w:sz="8" w:space="0" w:color="692686" w:themeColor="accent4"/>
          <w:bottom w:val="single" w:sz="8" w:space="0" w:color="692686" w:themeColor="accent4"/>
        </w:tcBorders>
      </w:tcPr>
    </w:tblStylePr>
    <w:tblStylePr w:type="firstCol">
      <w:rPr>
        <w:b/>
        <w:bCs/>
      </w:rPr>
    </w:tblStylePr>
    <w:tblStylePr w:type="lastCol">
      <w:rPr>
        <w:b/>
        <w:bCs/>
      </w:rPr>
      <w:tblPr/>
      <w:tcPr>
        <w:tcBorders>
          <w:top w:val="single" w:sz="8" w:space="0" w:color="692686" w:themeColor="accent4"/>
          <w:bottom w:val="single" w:sz="8" w:space="0" w:color="692686" w:themeColor="accent4"/>
        </w:tcBorders>
      </w:tcPr>
    </w:tblStylePr>
    <w:tblStylePr w:type="band1Vert">
      <w:tblPr/>
      <w:tcPr>
        <w:shd w:val="clear" w:color="auto" w:fill="DEBDEC" w:themeFill="accent4" w:themeFillTint="3F"/>
      </w:tcPr>
    </w:tblStylePr>
    <w:tblStylePr w:type="band1Horz">
      <w:tblPr/>
      <w:tcPr>
        <w:shd w:val="clear" w:color="auto" w:fill="DEBDEC" w:themeFill="accent4" w:themeFillTint="3F"/>
      </w:tcPr>
    </w:tblStylePr>
  </w:style>
  <w:style w:type="table" w:styleId="MediumList1-Accent5">
    <w:name w:val="Medium List 1 Accent 5"/>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20AA4D" w:themeColor="accent5"/>
        <w:bottom w:val="single" w:sz="8" w:space="0" w:color="20AA4D" w:themeColor="accent5"/>
      </w:tblBorders>
    </w:tblPr>
    <w:tblStylePr w:type="firstRow">
      <w:rPr>
        <w:rFonts w:asciiTheme="majorHAnsi" w:eastAsiaTheme="majorEastAsia" w:hAnsiTheme="majorHAnsi" w:cstheme="majorBidi"/>
      </w:rPr>
      <w:tblPr/>
      <w:tcPr>
        <w:tcBorders>
          <w:top w:val="nil"/>
          <w:bottom w:val="single" w:sz="8" w:space="0" w:color="20AA4D" w:themeColor="accent5"/>
        </w:tcBorders>
      </w:tcPr>
    </w:tblStylePr>
    <w:tblStylePr w:type="lastRow">
      <w:rPr>
        <w:b/>
        <w:bCs/>
        <w:color w:val="1C2B39" w:themeColor="text2"/>
      </w:rPr>
      <w:tblPr/>
      <w:tcPr>
        <w:tcBorders>
          <w:top w:val="single" w:sz="8" w:space="0" w:color="20AA4D" w:themeColor="accent5"/>
          <w:bottom w:val="single" w:sz="8" w:space="0" w:color="20AA4D" w:themeColor="accent5"/>
        </w:tcBorders>
      </w:tcPr>
    </w:tblStylePr>
    <w:tblStylePr w:type="firstCol">
      <w:rPr>
        <w:b/>
        <w:bCs/>
      </w:rPr>
    </w:tblStylePr>
    <w:tblStylePr w:type="lastCol">
      <w:rPr>
        <w:b/>
        <w:bCs/>
      </w:rPr>
      <w:tblPr/>
      <w:tcPr>
        <w:tcBorders>
          <w:top w:val="single" w:sz="8" w:space="0" w:color="20AA4D" w:themeColor="accent5"/>
          <w:bottom w:val="single" w:sz="8" w:space="0" w:color="20AA4D" w:themeColor="accent5"/>
        </w:tcBorders>
      </w:tcPr>
    </w:tblStylePr>
    <w:tblStylePr w:type="band1Vert">
      <w:tblPr/>
      <w:tcPr>
        <w:shd w:val="clear" w:color="auto" w:fill="BEF3CF" w:themeFill="accent5" w:themeFillTint="3F"/>
      </w:tcPr>
    </w:tblStylePr>
    <w:tblStylePr w:type="band1Horz">
      <w:tblPr/>
      <w:tcPr>
        <w:shd w:val="clear" w:color="auto" w:fill="BEF3CF" w:themeFill="accent5" w:themeFillTint="3F"/>
      </w:tcPr>
    </w:tblStylePr>
  </w:style>
  <w:style w:type="table" w:styleId="MediumList1-Accent6">
    <w:name w:val="Medium List 1 Accent 6"/>
    <w:basedOn w:val="TableNormal"/>
    <w:uiPriority w:val="65"/>
    <w:semiHidden/>
    <w:unhideWhenUsed/>
    <w:rsid w:val="00397857"/>
    <w:pPr>
      <w:spacing w:after="0" w:line="240" w:lineRule="auto"/>
    </w:pPr>
    <w:rPr>
      <w:rFonts w:eastAsia="Times New Roman" w:cs="Times New Roman"/>
      <w:color w:val="000000" w:themeColor="text1"/>
      <w:sz w:val="20"/>
      <w:szCs w:val="20"/>
      <w:lang w:eastAsia="en-AU"/>
    </w:rPr>
    <w:tblPr>
      <w:tblStyleRowBandSize w:val="1"/>
      <w:tblStyleColBandSize w:val="1"/>
      <w:tblBorders>
        <w:top w:val="single" w:sz="8" w:space="0" w:color="007DB6" w:themeColor="accent6"/>
        <w:bottom w:val="single" w:sz="8" w:space="0" w:color="007DB6" w:themeColor="accent6"/>
      </w:tblBorders>
    </w:tblPr>
    <w:tblStylePr w:type="firstRow">
      <w:rPr>
        <w:rFonts w:asciiTheme="majorHAnsi" w:eastAsiaTheme="majorEastAsia" w:hAnsiTheme="majorHAnsi" w:cstheme="majorBidi"/>
      </w:rPr>
      <w:tblPr/>
      <w:tcPr>
        <w:tcBorders>
          <w:top w:val="nil"/>
          <w:bottom w:val="single" w:sz="8" w:space="0" w:color="007DB6" w:themeColor="accent6"/>
        </w:tcBorders>
      </w:tcPr>
    </w:tblStylePr>
    <w:tblStylePr w:type="lastRow">
      <w:rPr>
        <w:b/>
        <w:bCs/>
        <w:color w:val="1C2B39" w:themeColor="text2"/>
      </w:rPr>
      <w:tblPr/>
      <w:tcPr>
        <w:tcBorders>
          <w:top w:val="single" w:sz="8" w:space="0" w:color="007DB6" w:themeColor="accent6"/>
          <w:bottom w:val="single" w:sz="8" w:space="0" w:color="007DB6" w:themeColor="accent6"/>
        </w:tcBorders>
      </w:tcPr>
    </w:tblStylePr>
    <w:tblStylePr w:type="firstCol">
      <w:rPr>
        <w:b/>
        <w:bCs/>
      </w:rPr>
    </w:tblStylePr>
    <w:tblStylePr w:type="lastCol">
      <w:rPr>
        <w:b/>
        <w:bCs/>
      </w:rPr>
      <w:tblPr/>
      <w:tcPr>
        <w:tcBorders>
          <w:top w:val="single" w:sz="8" w:space="0" w:color="007DB6" w:themeColor="accent6"/>
          <w:bottom w:val="single" w:sz="8" w:space="0" w:color="007DB6" w:themeColor="accent6"/>
        </w:tcBorders>
      </w:tcPr>
    </w:tblStylePr>
    <w:tblStylePr w:type="band1Vert">
      <w:tblPr/>
      <w:tcPr>
        <w:shd w:val="clear" w:color="auto" w:fill="ADE5FF" w:themeFill="accent6" w:themeFillTint="3F"/>
      </w:tcPr>
    </w:tblStylePr>
    <w:tblStylePr w:type="band1Horz">
      <w:tblPr/>
      <w:tcPr>
        <w:shd w:val="clear" w:color="auto" w:fill="ADE5FF" w:themeFill="accent6" w:themeFillTint="3F"/>
      </w:tcPr>
    </w:tblStylePr>
  </w:style>
  <w:style w:type="table" w:styleId="MediumList2">
    <w:name w:val="Medium List 2"/>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D7D8D6" w:themeColor="accent1"/>
        <w:left w:val="single" w:sz="8" w:space="0" w:color="D7D8D6" w:themeColor="accent1"/>
        <w:bottom w:val="single" w:sz="8" w:space="0" w:color="D7D8D6" w:themeColor="accent1"/>
        <w:right w:val="single" w:sz="8" w:space="0" w:color="D7D8D6" w:themeColor="accent1"/>
      </w:tblBorders>
    </w:tblPr>
    <w:tblStylePr w:type="firstRow">
      <w:rPr>
        <w:sz w:val="24"/>
        <w:szCs w:val="24"/>
      </w:rPr>
      <w:tblPr/>
      <w:tcPr>
        <w:tcBorders>
          <w:top w:val="nil"/>
          <w:left w:val="nil"/>
          <w:bottom w:val="single" w:sz="24" w:space="0" w:color="D7D8D6" w:themeColor="accent1"/>
          <w:right w:val="nil"/>
          <w:insideH w:val="nil"/>
          <w:insideV w:val="nil"/>
        </w:tcBorders>
        <w:shd w:val="clear" w:color="auto" w:fill="FFFFFF" w:themeFill="background1"/>
      </w:tcPr>
    </w:tblStylePr>
    <w:tblStylePr w:type="lastRow">
      <w:tblPr/>
      <w:tcPr>
        <w:tcBorders>
          <w:top w:val="single" w:sz="8" w:space="0" w:color="D7D8D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D8D6" w:themeColor="accent1"/>
          <w:insideH w:val="nil"/>
          <w:insideV w:val="nil"/>
        </w:tcBorders>
        <w:shd w:val="clear" w:color="auto" w:fill="FFFFFF" w:themeFill="background1"/>
      </w:tcPr>
    </w:tblStylePr>
    <w:tblStylePr w:type="lastCol">
      <w:tblPr/>
      <w:tcPr>
        <w:tcBorders>
          <w:top w:val="nil"/>
          <w:left w:val="single" w:sz="8" w:space="0" w:color="D7D8D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4" w:themeFill="accent1" w:themeFillTint="3F"/>
      </w:tcPr>
    </w:tblStylePr>
    <w:tblStylePr w:type="band1Horz">
      <w:tblPr/>
      <w:tcPr>
        <w:tcBorders>
          <w:top w:val="nil"/>
          <w:bottom w:val="nil"/>
          <w:insideH w:val="nil"/>
          <w:insideV w:val="nil"/>
        </w:tcBorders>
        <w:shd w:val="clear" w:color="auto" w:fill="F4F5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709" w:themeColor="accent2"/>
        <w:left w:val="single" w:sz="8" w:space="0" w:color="FFC709" w:themeColor="accent2"/>
        <w:bottom w:val="single" w:sz="8" w:space="0" w:color="FFC709" w:themeColor="accent2"/>
        <w:right w:val="single" w:sz="8" w:space="0" w:color="FFC709" w:themeColor="accent2"/>
      </w:tblBorders>
    </w:tblPr>
    <w:tblStylePr w:type="firstRow">
      <w:rPr>
        <w:sz w:val="24"/>
        <w:szCs w:val="24"/>
      </w:rPr>
      <w:tblPr/>
      <w:tcPr>
        <w:tcBorders>
          <w:top w:val="nil"/>
          <w:left w:val="nil"/>
          <w:bottom w:val="single" w:sz="24" w:space="0" w:color="FFC709" w:themeColor="accent2"/>
          <w:right w:val="nil"/>
          <w:insideH w:val="nil"/>
          <w:insideV w:val="nil"/>
        </w:tcBorders>
        <w:shd w:val="clear" w:color="auto" w:fill="FFFFFF" w:themeFill="background1"/>
      </w:tcPr>
    </w:tblStylePr>
    <w:tblStylePr w:type="lastRow">
      <w:tblPr/>
      <w:tcPr>
        <w:tcBorders>
          <w:top w:val="single" w:sz="8" w:space="0" w:color="FFC70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09" w:themeColor="accent2"/>
          <w:insideH w:val="nil"/>
          <w:insideV w:val="nil"/>
        </w:tcBorders>
        <w:shd w:val="clear" w:color="auto" w:fill="FFFFFF" w:themeFill="background1"/>
      </w:tcPr>
    </w:tblStylePr>
    <w:tblStylePr w:type="lastCol">
      <w:tblPr/>
      <w:tcPr>
        <w:tcBorders>
          <w:top w:val="nil"/>
          <w:left w:val="single" w:sz="8" w:space="0" w:color="FFC70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2" w:themeFill="accent2" w:themeFillTint="3F"/>
      </w:tcPr>
    </w:tblStylePr>
    <w:tblStylePr w:type="band1Horz">
      <w:tblPr/>
      <w:tcPr>
        <w:tcBorders>
          <w:top w:val="nil"/>
          <w:bottom w:val="nil"/>
          <w:insideH w:val="nil"/>
          <w:insideV w:val="nil"/>
        </w:tcBorders>
        <w:shd w:val="clear" w:color="auto" w:fill="FFF0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D163F" w:themeColor="accent3"/>
        <w:left w:val="single" w:sz="8" w:space="0" w:color="CD163F" w:themeColor="accent3"/>
        <w:bottom w:val="single" w:sz="8" w:space="0" w:color="CD163F" w:themeColor="accent3"/>
        <w:right w:val="single" w:sz="8" w:space="0" w:color="CD163F" w:themeColor="accent3"/>
      </w:tblBorders>
    </w:tblPr>
    <w:tblStylePr w:type="firstRow">
      <w:rPr>
        <w:sz w:val="24"/>
        <w:szCs w:val="24"/>
      </w:rPr>
      <w:tblPr/>
      <w:tcPr>
        <w:tcBorders>
          <w:top w:val="nil"/>
          <w:left w:val="nil"/>
          <w:bottom w:val="single" w:sz="24" w:space="0" w:color="CD163F" w:themeColor="accent3"/>
          <w:right w:val="nil"/>
          <w:insideH w:val="nil"/>
          <w:insideV w:val="nil"/>
        </w:tcBorders>
        <w:shd w:val="clear" w:color="auto" w:fill="FFFFFF" w:themeFill="background1"/>
      </w:tcPr>
    </w:tblStylePr>
    <w:tblStylePr w:type="lastRow">
      <w:tblPr/>
      <w:tcPr>
        <w:tcBorders>
          <w:top w:val="single" w:sz="8" w:space="0" w:color="CD163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163F" w:themeColor="accent3"/>
          <w:insideH w:val="nil"/>
          <w:insideV w:val="nil"/>
        </w:tcBorders>
        <w:shd w:val="clear" w:color="auto" w:fill="FFFFFF" w:themeFill="background1"/>
      </w:tcPr>
    </w:tblStylePr>
    <w:tblStylePr w:type="lastCol">
      <w:tblPr/>
      <w:tcPr>
        <w:tcBorders>
          <w:top w:val="nil"/>
          <w:left w:val="single" w:sz="8" w:space="0" w:color="CD16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FCC" w:themeFill="accent3" w:themeFillTint="3F"/>
      </w:tcPr>
    </w:tblStylePr>
    <w:tblStylePr w:type="band1Horz">
      <w:tblPr/>
      <w:tcPr>
        <w:tcBorders>
          <w:top w:val="nil"/>
          <w:bottom w:val="nil"/>
          <w:insideH w:val="nil"/>
          <w:insideV w:val="nil"/>
        </w:tcBorders>
        <w:shd w:val="clear" w:color="auto" w:fill="F8BF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692686" w:themeColor="accent4"/>
        <w:left w:val="single" w:sz="8" w:space="0" w:color="692686" w:themeColor="accent4"/>
        <w:bottom w:val="single" w:sz="8" w:space="0" w:color="692686" w:themeColor="accent4"/>
        <w:right w:val="single" w:sz="8" w:space="0" w:color="692686" w:themeColor="accent4"/>
      </w:tblBorders>
    </w:tblPr>
    <w:tblStylePr w:type="firstRow">
      <w:rPr>
        <w:sz w:val="24"/>
        <w:szCs w:val="24"/>
      </w:rPr>
      <w:tblPr/>
      <w:tcPr>
        <w:tcBorders>
          <w:top w:val="nil"/>
          <w:left w:val="nil"/>
          <w:bottom w:val="single" w:sz="24" w:space="0" w:color="692686" w:themeColor="accent4"/>
          <w:right w:val="nil"/>
          <w:insideH w:val="nil"/>
          <w:insideV w:val="nil"/>
        </w:tcBorders>
        <w:shd w:val="clear" w:color="auto" w:fill="FFFFFF" w:themeFill="background1"/>
      </w:tcPr>
    </w:tblStylePr>
    <w:tblStylePr w:type="lastRow">
      <w:tblPr/>
      <w:tcPr>
        <w:tcBorders>
          <w:top w:val="single" w:sz="8" w:space="0" w:color="69268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2686" w:themeColor="accent4"/>
          <w:insideH w:val="nil"/>
          <w:insideV w:val="nil"/>
        </w:tcBorders>
        <w:shd w:val="clear" w:color="auto" w:fill="FFFFFF" w:themeFill="background1"/>
      </w:tcPr>
    </w:tblStylePr>
    <w:tblStylePr w:type="lastCol">
      <w:tblPr/>
      <w:tcPr>
        <w:tcBorders>
          <w:top w:val="nil"/>
          <w:left w:val="single" w:sz="8" w:space="0" w:color="69268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BDEC" w:themeFill="accent4" w:themeFillTint="3F"/>
      </w:tcPr>
    </w:tblStylePr>
    <w:tblStylePr w:type="band1Horz">
      <w:tblPr/>
      <w:tcPr>
        <w:tcBorders>
          <w:top w:val="nil"/>
          <w:bottom w:val="nil"/>
          <w:insideH w:val="nil"/>
          <w:insideV w:val="nil"/>
        </w:tcBorders>
        <w:shd w:val="clear" w:color="auto" w:fill="DEBD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20AA4D" w:themeColor="accent5"/>
        <w:left w:val="single" w:sz="8" w:space="0" w:color="20AA4D" w:themeColor="accent5"/>
        <w:bottom w:val="single" w:sz="8" w:space="0" w:color="20AA4D" w:themeColor="accent5"/>
        <w:right w:val="single" w:sz="8" w:space="0" w:color="20AA4D" w:themeColor="accent5"/>
      </w:tblBorders>
    </w:tblPr>
    <w:tblStylePr w:type="firstRow">
      <w:rPr>
        <w:sz w:val="24"/>
        <w:szCs w:val="24"/>
      </w:rPr>
      <w:tblPr/>
      <w:tcPr>
        <w:tcBorders>
          <w:top w:val="nil"/>
          <w:left w:val="nil"/>
          <w:bottom w:val="single" w:sz="24" w:space="0" w:color="20AA4D" w:themeColor="accent5"/>
          <w:right w:val="nil"/>
          <w:insideH w:val="nil"/>
          <w:insideV w:val="nil"/>
        </w:tcBorders>
        <w:shd w:val="clear" w:color="auto" w:fill="FFFFFF" w:themeFill="background1"/>
      </w:tcPr>
    </w:tblStylePr>
    <w:tblStylePr w:type="lastRow">
      <w:tblPr/>
      <w:tcPr>
        <w:tcBorders>
          <w:top w:val="single" w:sz="8" w:space="0" w:color="20AA4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AA4D" w:themeColor="accent5"/>
          <w:insideH w:val="nil"/>
          <w:insideV w:val="nil"/>
        </w:tcBorders>
        <w:shd w:val="clear" w:color="auto" w:fill="FFFFFF" w:themeFill="background1"/>
      </w:tcPr>
    </w:tblStylePr>
    <w:tblStylePr w:type="lastCol">
      <w:tblPr/>
      <w:tcPr>
        <w:tcBorders>
          <w:top w:val="nil"/>
          <w:left w:val="single" w:sz="8" w:space="0" w:color="20AA4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3CF" w:themeFill="accent5" w:themeFillTint="3F"/>
      </w:tcPr>
    </w:tblStylePr>
    <w:tblStylePr w:type="band1Horz">
      <w:tblPr/>
      <w:tcPr>
        <w:tcBorders>
          <w:top w:val="nil"/>
          <w:bottom w:val="nil"/>
          <w:insideH w:val="nil"/>
          <w:insideV w:val="nil"/>
        </w:tcBorders>
        <w:shd w:val="clear" w:color="auto" w:fill="BEF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7857"/>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7DB6" w:themeColor="accent6"/>
        <w:left w:val="single" w:sz="8" w:space="0" w:color="007DB6" w:themeColor="accent6"/>
        <w:bottom w:val="single" w:sz="8" w:space="0" w:color="007DB6" w:themeColor="accent6"/>
        <w:right w:val="single" w:sz="8" w:space="0" w:color="007DB6" w:themeColor="accent6"/>
      </w:tblBorders>
    </w:tblPr>
    <w:tblStylePr w:type="firstRow">
      <w:rPr>
        <w:sz w:val="24"/>
        <w:szCs w:val="24"/>
      </w:rPr>
      <w:tblPr/>
      <w:tcPr>
        <w:tcBorders>
          <w:top w:val="nil"/>
          <w:left w:val="nil"/>
          <w:bottom w:val="single" w:sz="24" w:space="0" w:color="007DB6" w:themeColor="accent6"/>
          <w:right w:val="nil"/>
          <w:insideH w:val="nil"/>
          <w:insideV w:val="nil"/>
        </w:tcBorders>
        <w:shd w:val="clear" w:color="auto" w:fill="FFFFFF" w:themeFill="background1"/>
      </w:tcPr>
    </w:tblStylePr>
    <w:tblStylePr w:type="lastRow">
      <w:tblPr/>
      <w:tcPr>
        <w:tcBorders>
          <w:top w:val="single" w:sz="8" w:space="0" w:color="007D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B6" w:themeColor="accent6"/>
          <w:insideH w:val="nil"/>
          <w:insideV w:val="nil"/>
        </w:tcBorders>
        <w:shd w:val="clear" w:color="auto" w:fill="FFFFFF" w:themeFill="background1"/>
      </w:tcPr>
    </w:tblStylePr>
    <w:tblStylePr w:type="lastCol">
      <w:tblPr/>
      <w:tcPr>
        <w:tcBorders>
          <w:top w:val="nil"/>
          <w:left w:val="single" w:sz="8" w:space="0" w:color="007D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E5FF" w:themeFill="accent6" w:themeFillTint="3F"/>
      </w:tcPr>
    </w:tblStylePr>
    <w:tblStylePr w:type="band1Horz">
      <w:tblPr/>
      <w:tcPr>
        <w:tcBorders>
          <w:top w:val="nil"/>
          <w:bottom w:val="nil"/>
          <w:insideH w:val="nil"/>
          <w:insideV w:val="nil"/>
        </w:tcBorders>
        <w:shd w:val="clear" w:color="auto" w:fill="ADE5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single" w:sz="8" w:space="0" w:color="E0E1E0" w:themeColor="accent1" w:themeTint="BF"/>
      </w:tblBorders>
    </w:tblPr>
    <w:tblStylePr w:type="firstRow">
      <w:pPr>
        <w:spacing w:before="0" w:after="0" w:line="240" w:lineRule="auto"/>
      </w:pPr>
      <w:rPr>
        <w:b/>
        <w:bCs/>
        <w:color w:val="FFFFFF" w:themeColor="background1"/>
      </w:rPr>
      <w:tblPr/>
      <w:tcPr>
        <w:tcBorders>
          <w:top w:val="single" w:sz="8"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nil"/>
          <w:insideV w:val="nil"/>
        </w:tcBorders>
        <w:shd w:val="clear" w:color="auto" w:fill="D7D8D6" w:themeFill="accent1"/>
      </w:tcPr>
    </w:tblStylePr>
    <w:tblStylePr w:type="lastRow">
      <w:pPr>
        <w:spacing w:before="0" w:after="0" w:line="240" w:lineRule="auto"/>
      </w:pPr>
      <w:rPr>
        <w:b/>
        <w:bCs/>
      </w:rPr>
      <w:tblPr/>
      <w:tcPr>
        <w:tcBorders>
          <w:top w:val="double" w:sz="6" w:space="0" w:color="E0E1E0" w:themeColor="accent1" w:themeTint="BF"/>
          <w:left w:val="single" w:sz="8" w:space="0" w:color="E0E1E0" w:themeColor="accent1" w:themeTint="BF"/>
          <w:bottom w:val="single" w:sz="8" w:space="0" w:color="E0E1E0" w:themeColor="accent1" w:themeTint="BF"/>
          <w:right w:val="single" w:sz="8" w:space="0" w:color="E0E1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F5F4" w:themeFill="accent1" w:themeFillTint="3F"/>
      </w:tcPr>
    </w:tblStylePr>
    <w:tblStylePr w:type="band1Horz">
      <w:tblPr/>
      <w:tcPr>
        <w:tcBorders>
          <w:insideH w:val="nil"/>
          <w:insideV w:val="nil"/>
        </w:tcBorders>
        <w:shd w:val="clear" w:color="auto" w:fill="F4F5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single" w:sz="8" w:space="0" w:color="FFD446" w:themeColor="accent2" w:themeTint="BF"/>
      </w:tblBorders>
    </w:tblPr>
    <w:tblStylePr w:type="firstRow">
      <w:pPr>
        <w:spacing w:before="0" w:after="0" w:line="240" w:lineRule="auto"/>
      </w:pPr>
      <w:rPr>
        <w:b/>
        <w:bCs/>
        <w:color w:val="FFFFFF" w:themeColor="background1"/>
      </w:rPr>
      <w:tblPr/>
      <w:tcPr>
        <w:tcBorders>
          <w:top w:val="single" w:sz="8"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nil"/>
          <w:insideV w:val="nil"/>
        </w:tcBorders>
        <w:shd w:val="clear" w:color="auto" w:fill="FFC709" w:themeFill="accent2"/>
      </w:tcPr>
    </w:tblStylePr>
    <w:tblStylePr w:type="lastRow">
      <w:pPr>
        <w:spacing w:before="0" w:after="0" w:line="240" w:lineRule="auto"/>
      </w:pPr>
      <w:rPr>
        <w:b/>
        <w:bCs/>
      </w:rPr>
      <w:tblPr/>
      <w:tcPr>
        <w:tcBorders>
          <w:top w:val="double" w:sz="6" w:space="0" w:color="FFD446" w:themeColor="accent2" w:themeTint="BF"/>
          <w:left w:val="single" w:sz="8" w:space="0" w:color="FFD446" w:themeColor="accent2" w:themeTint="BF"/>
          <w:bottom w:val="single" w:sz="8" w:space="0" w:color="FFD446" w:themeColor="accent2" w:themeTint="BF"/>
          <w:right w:val="single" w:sz="8" w:space="0" w:color="FFD4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0C2" w:themeFill="accent2" w:themeFillTint="3F"/>
      </w:tcPr>
    </w:tblStylePr>
    <w:tblStylePr w:type="band1Horz">
      <w:tblPr/>
      <w:tcPr>
        <w:tcBorders>
          <w:insideH w:val="nil"/>
          <w:insideV w:val="nil"/>
        </w:tcBorders>
        <w:shd w:val="clear" w:color="auto" w:fill="FFF0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single" w:sz="8" w:space="0" w:color="EA3F65" w:themeColor="accent3" w:themeTint="BF"/>
      </w:tblBorders>
    </w:tblPr>
    <w:tblStylePr w:type="firstRow">
      <w:pPr>
        <w:spacing w:before="0" w:after="0" w:line="240" w:lineRule="auto"/>
      </w:pPr>
      <w:rPr>
        <w:b/>
        <w:bCs/>
        <w:color w:val="FFFFFF" w:themeColor="background1"/>
      </w:rPr>
      <w:tblPr/>
      <w:tcPr>
        <w:tcBorders>
          <w:top w:val="single" w:sz="8"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nil"/>
          <w:insideV w:val="nil"/>
        </w:tcBorders>
        <w:shd w:val="clear" w:color="auto" w:fill="CD163F" w:themeFill="accent3"/>
      </w:tcPr>
    </w:tblStylePr>
    <w:tblStylePr w:type="lastRow">
      <w:pPr>
        <w:spacing w:before="0" w:after="0" w:line="240" w:lineRule="auto"/>
      </w:pPr>
      <w:rPr>
        <w:b/>
        <w:bCs/>
      </w:rPr>
      <w:tblPr/>
      <w:tcPr>
        <w:tcBorders>
          <w:top w:val="double" w:sz="6" w:space="0" w:color="EA3F65" w:themeColor="accent3" w:themeTint="BF"/>
          <w:left w:val="single" w:sz="8" w:space="0" w:color="EA3F65" w:themeColor="accent3" w:themeTint="BF"/>
          <w:bottom w:val="single" w:sz="8" w:space="0" w:color="EA3F65" w:themeColor="accent3" w:themeTint="BF"/>
          <w:right w:val="single" w:sz="8" w:space="0" w:color="EA3F6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BFCC" w:themeFill="accent3" w:themeFillTint="3F"/>
      </w:tcPr>
    </w:tblStylePr>
    <w:tblStylePr w:type="band1Horz">
      <w:tblPr/>
      <w:tcPr>
        <w:tcBorders>
          <w:insideH w:val="nil"/>
          <w:insideV w:val="nil"/>
        </w:tcBorders>
        <w:shd w:val="clear" w:color="auto" w:fill="F8BFC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single" w:sz="8" w:space="0" w:color="9B39C7" w:themeColor="accent4" w:themeTint="BF"/>
      </w:tblBorders>
    </w:tblPr>
    <w:tblStylePr w:type="firstRow">
      <w:pPr>
        <w:spacing w:before="0" w:after="0" w:line="240" w:lineRule="auto"/>
      </w:pPr>
      <w:rPr>
        <w:b/>
        <w:bCs/>
        <w:color w:val="FFFFFF" w:themeColor="background1"/>
      </w:rPr>
      <w:tblPr/>
      <w:tcPr>
        <w:tcBorders>
          <w:top w:val="single" w:sz="8"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nil"/>
          <w:insideV w:val="nil"/>
        </w:tcBorders>
        <w:shd w:val="clear" w:color="auto" w:fill="692686" w:themeFill="accent4"/>
      </w:tcPr>
    </w:tblStylePr>
    <w:tblStylePr w:type="lastRow">
      <w:pPr>
        <w:spacing w:before="0" w:after="0" w:line="240" w:lineRule="auto"/>
      </w:pPr>
      <w:rPr>
        <w:b/>
        <w:bCs/>
      </w:rPr>
      <w:tblPr/>
      <w:tcPr>
        <w:tcBorders>
          <w:top w:val="double" w:sz="6" w:space="0" w:color="9B39C7" w:themeColor="accent4" w:themeTint="BF"/>
          <w:left w:val="single" w:sz="8" w:space="0" w:color="9B39C7" w:themeColor="accent4" w:themeTint="BF"/>
          <w:bottom w:val="single" w:sz="8" w:space="0" w:color="9B39C7" w:themeColor="accent4" w:themeTint="BF"/>
          <w:right w:val="single" w:sz="8" w:space="0" w:color="9B39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BDEC" w:themeFill="accent4" w:themeFillTint="3F"/>
      </w:tcPr>
    </w:tblStylePr>
    <w:tblStylePr w:type="band1Horz">
      <w:tblPr/>
      <w:tcPr>
        <w:tcBorders>
          <w:insideH w:val="nil"/>
          <w:insideV w:val="nil"/>
        </w:tcBorders>
        <w:shd w:val="clear" w:color="auto" w:fill="DEBD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single" w:sz="8" w:space="0" w:color="3CDA6F" w:themeColor="accent5" w:themeTint="BF"/>
      </w:tblBorders>
    </w:tblPr>
    <w:tblStylePr w:type="firstRow">
      <w:pPr>
        <w:spacing w:before="0" w:after="0" w:line="240" w:lineRule="auto"/>
      </w:pPr>
      <w:rPr>
        <w:b/>
        <w:bCs/>
        <w:color w:val="FFFFFF" w:themeColor="background1"/>
      </w:rPr>
      <w:tblPr/>
      <w:tcPr>
        <w:tcBorders>
          <w:top w:val="single" w:sz="8"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nil"/>
          <w:insideV w:val="nil"/>
        </w:tcBorders>
        <w:shd w:val="clear" w:color="auto" w:fill="20AA4D" w:themeFill="accent5"/>
      </w:tcPr>
    </w:tblStylePr>
    <w:tblStylePr w:type="lastRow">
      <w:pPr>
        <w:spacing w:before="0" w:after="0" w:line="240" w:lineRule="auto"/>
      </w:pPr>
      <w:rPr>
        <w:b/>
        <w:bCs/>
      </w:rPr>
      <w:tblPr/>
      <w:tcPr>
        <w:tcBorders>
          <w:top w:val="double" w:sz="6" w:space="0" w:color="3CDA6F" w:themeColor="accent5" w:themeTint="BF"/>
          <w:left w:val="single" w:sz="8" w:space="0" w:color="3CDA6F" w:themeColor="accent5" w:themeTint="BF"/>
          <w:bottom w:val="single" w:sz="8" w:space="0" w:color="3CDA6F" w:themeColor="accent5" w:themeTint="BF"/>
          <w:right w:val="single" w:sz="8" w:space="0" w:color="3CDA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EF3CF" w:themeFill="accent5" w:themeFillTint="3F"/>
      </w:tcPr>
    </w:tblStylePr>
    <w:tblStylePr w:type="band1Horz">
      <w:tblPr/>
      <w:tcPr>
        <w:tcBorders>
          <w:insideH w:val="nil"/>
          <w:insideV w:val="nil"/>
        </w:tcBorders>
        <w:shd w:val="clear" w:color="auto" w:fill="BEF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single" w:sz="8" w:space="0" w:color="09B1FF" w:themeColor="accent6" w:themeTint="BF"/>
      </w:tblBorders>
    </w:tblPr>
    <w:tblStylePr w:type="firstRow">
      <w:pPr>
        <w:spacing w:before="0" w:after="0" w:line="240" w:lineRule="auto"/>
      </w:pPr>
      <w:rPr>
        <w:b/>
        <w:bCs/>
        <w:color w:val="FFFFFF" w:themeColor="background1"/>
      </w:rPr>
      <w:tblPr/>
      <w:tcPr>
        <w:tcBorders>
          <w:top w:val="single" w:sz="8"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nil"/>
          <w:insideV w:val="nil"/>
        </w:tcBorders>
        <w:shd w:val="clear" w:color="auto" w:fill="007DB6" w:themeFill="accent6"/>
      </w:tcPr>
    </w:tblStylePr>
    <w:tblStylePr w:type="lastRow">
      <w:pPr>
        <w:spacing w:before="0" w:after="0" w:line="240" w:lineRule="auto"/>
      </w:pPr>
      <w:rPr>
        <w:b/>
        <w:bCs/>
      </w:rPr>
      <w:tblPr/>
      <w:tcPr>
        <w:tcBorders>
          <w:top w:val="double" w:sz="6" w:space="0" w:color="09B1FF" w:themeColor="accent6" w:themeTint="BF"/>
          <w:left w:val="single" w:sz="8" w:space="0" w:color="09B1FF" w:themeColor="accent6" w:themeTint="BF"/>
          <w:bottom w:val="single" w:sz="8" w:space="0" w:color="09B1FF" w:themeColor="accent6" w:themeTint="BF"/>
          <w:right w:val="single" w:sz="8" w:space="0" w:color="09B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DE5FF" w:themeFill="accent6" w:themeFillTint="3F"/>
      </w:tcPr>
    </w:tblStylePr>
    <w:tblStylePr w:type="band1Horz">
      <w:tblPr/>
      <w:tcPr>
        <w:tcBorders>
          <w:insideH w:val="nil"/>
          <w:insideV w:val="nil"/>
        </w:tcBorders>
        <w:shd w:val="clear" w:color="auto" w:fill="ADE5FF"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8D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D8D6" w:themeFill="accent1"/>
      </w:tcPr>
    </w:tblStylePr>
    <w:tblStylePr w:type="lastCol">
      <w:rPr>
        <w:b/>
        <w:bCs/>
        <w:color w:val="FFFFFF" w:themeColor="background1"/>
      </w:rPr>
      <w:tblPr/>
      <w:tcPr>
        <w:tcBorders>
          <w:left w:val="nil"/>
          <w:right w:val="nil"/>
          <w:insideH w:val="nil"/>
          <w:insideV w:val="nil"/>
        </w:tcBorders>
        <w:shd w:val="clear" w:color="auto" w:fill="D7D8D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0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09" w:themeFill="accent2"/>
      </w:tcPr>
    </w:tblStylePr>
    <w:tblStylePr w:type="lastCol">
      <w:rPr>
        <w:b/>
        <w:bCs/>
        <w:color w:val="FFFFFF" w:themeColor="background1"/>
      </w:rPr>
      <w:tblPr/>
      <w:tcPr>
        <w:tcBorders>
          <w:left w:val="nil"/>
          <w:right w:val="nil"/>
          <w:insideH w:val="nil"/>
          <w:insideV w:val="nil"/>
        </w:tcBorders>
        <w:shd w:val="clear" w:color="auto" w:fill="FFC70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16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163F" w:themeFill="accent3"/>
      </w:tcPr>
    </w:tblStylePr>
    <w:tblStylePr w:type="lastCol">
      <w:rPr>
        <w:b/>
        <w:bCs/>
        <w:color w:val="FFFFFF" w:themeColor="background1"/>
      </w:rPr>
      <w:tblPr/>
      <w:tcPr>
        <w:tcBorders>
          <w:left w:val="nil"/>
          <w:right w:val="nil"/>
          <w:insideH w:val="nil"/>
          <w:insideV w:val="nil"/>
        </w:tcBorders>
        <w:shd w:val="clear" w:color="auto" w:fill="CD16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268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2686" w:themeFill="accent4"/>
      </w:tcPr>
    </w:tblStylePr>
    <w:tblStylePr w:type="lastCol">
      <w:rPr>
        <w:b/>
        <w:bCs/>
        <w:color w:val="FFFFFF" w:themeColor="background1"/>
      </w:rPr>
      <w:tblPr/>
      <w:tcPr>
        <w:tcBorders>
          <w:left w:val="nil"/>
          <w:right w:val="nil"/>
          <w:insideH w:val="nil"/>
          <w:insideV w:val="nil"/>
        </w:tcBorders>
        <w:shd w:val="clear" w:color="auto" w:fill="69268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AA4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AA4D" w:themeFill="accent5"/>
      </w:tcPr>
    </w:tblStylePr>
    <w:tblStylePr w:type="lastCol">
      <w:rPr>
        <w:b/>
        <w:bCs/>
        <w:color w:val="FFFFFF" w:themeColor="background1"/>
      </w:rPr>
      <w:tblPr/>
      <w:tcPr>
        <w:tcBorders>
          <w:left w:val="nil"/>
          <w:right w:val="nil"/>
          <w:insideH w:val="nil"/>
          <w:insideV w:val="nil"/>
        </w:tcBorders>
        <w:shd w:val="clear" w:color="auto" w:fill="20AA4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97857"/>
    <w:pPr>
      <w:spacing w:after="0" w:line="240" w:lineRule="auto"/>
    </w:pPr>
    <w:rPr>
      <w:rFonts w:eastAsia="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B6" w:themeFill="accent6"/>
      </w:tcPr>
    </w:tblStylePr>
    <w:tblStylePr w:type="lastCol">
      <w:rPr>
        <w:b/>
        <w:bCs/>
        <w:color w:val="FFFFFF" w:themeColor="background1"/>
      </w:rPr>
      <w:tblPr/>
      <w:tcPr>
        <w:tcBorders>
          <w:left w:val="nil"/>
          <w:right w:val="nil"/>
          <w:insideH w:val="nil"/>
          <w:insideV w:val="nil"/>
        </w:tcBorders>
        <w:shd w:val="clear" w:color="auto" w:fill="007D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unhideWhenUsed/>
    <w:rsid w:val="00397857"/>
  </w:style>
  <w:style w:type="table" w:styleId="PlainTable1">
    <w:name w:val="Plain Table 1"/>
    <w:basedOn w:val="TableNormal"/>
    <w:uiPriority w:val="41"/>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7857"/>
    <w:pPr>
      <w:spacing w:after="0" w:line="240" w:lineRule="auto"/>
    </w:pPr>
    <w:rPr>
      <w:rFonts w:eastAsia="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7857"/>
    <w:pPr>
      <w:spacing w:after="0" w:line="240" w:lineRule="auto"/>
    </w:pPr>
    <w:rPr>
      <w:rFonts w:eastAsia="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7857"/>
    <w:pPr>
      <w:spacing w:after="0" w:line="240" w:lineRule="auto"/>
    </w:pPr>
    <w:rPr>
      <w:rFonts w:eastAsia="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Reference">
    <w:name w:val="Subtle Reference"/>
    <w:basedOn w:val="DefaultParagraphFont"/>
    <w:uiPriority w:val="31"/>
    <w:rsid w:val="00397857"/>
    <w:rPr>
      <w:smallCaps/>
      <w:color w:val="5A5A5A" w:themeColor="text1" w:themeTint="A5"/>
    </w:rPr>
  </w:style>
  <w:style w:type="table" w:styleId="Table3Deffects1">
    <w:name w:val="Table 3D effects 1"/>
    <w:basedOn w:val="TableNormal"/>
    <w:unhideWhenUsed/>
    <w:rsid w:val="00397857"/>
    <w:pPr>
      <w:spacing w:after="0" w:line="288" w:lineRule="auto"/>
    </w:pPr>
    <w:rPr>
      <w:rFonts w:eastAsia="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97857"/>
    <w:pPr>
      <w:spacing w:after="0" w:line="288" w:lineRule="auto"/>
    </w:pPr>
    <w:rPr>
      <w:rFonts w:eastAsia="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97857"/>
    <w:pPr>
      <w:spacing w:after="0" w:line="288" w:lineRule="auto"/>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97857"/>
    <w:pPr>
      <w:spacing w:after="0" w:line="288" w:lineRule="auto"/>
    </w:pPr>
    <w:rPr>
      <w:rFonts w:eastAsia="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97857"/>
    <w:pPr>
      <w:spacing w:after="0" w:line="288" w:lineRule="auto"/>
    </w:pPr>
    <w:rPr>
      <w:rFonts w:eastAsia="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97857"/>
    <w:pPr>
      <w:spacing w:after="0" w:line="288" w:lineRule="auto"/>
    </w:pPr>
    <w:rPr>
      <w:rFonts w:eastAsia="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97857"/>
    <w:pPr>
      <w:spacing w:after="0" w:line="288" w:lineRule="auto"/>
    </w:pPr>
    <w:rPr>
      <w:rFonts w:eastAsia="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97857"/>
    <w:pPr>
      <w:spacing w:after="0" w:line="288" w:lineRule="auto"/>
    </w:pPr>
    <w:rPr>
      <w:rFonts w:eastAsia="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97857"/>
    <w:pPr>
      <w:spacing w:after="0" w:line="288" w:lineRule="auto"/>
    </w:pPr>
    <w:rPr>
      <w:rFonts w:eastAsia="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97857"/>
    <w:pPr>
      <w:spacing w:after="0" w:line="288" w:lineRule="auto"/>
    </w:pPr>
    <w:rPr>
      <w:rFonts w:eastAsia="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97857"/>
    <w:pPr>
      <w:spacing w:after="0" w:line="288" w:lineRule="auto"/>
    </w:pPr>
    <w:rPr>
      <w:rFonts w:eastAsia="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97857"/>
    <w:pPr>
      <w:spacing w:after="0" w:line="288" w:lineRule="auto"/>
    </w:pPr>
    <w:rPr>
      <w:rFonts w:eastAsia="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97857"/>
    <w:pPr>
      <w:spacing w:after="0" w:line="288" w:lineRule="auto"/>
    </w:pPr>
    <w:rPr>
      <w:rFonts w:eastAsia="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97857"/>
    <w:pPr>
      <w:spacing w:after="0" w:line="288" w:lineRule="auto"/>
    </w:pPr>
    <w:rPr>
      <w:rFonts w:eastAsia="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97857"/>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97857"/>
    <w:pPr>
      <w:spacing w:after="0" w:line="288" w:lineRule="auto"/>
    </w:pPr>
    <w:rPr>
      <w:rFonts w:eastAsia="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97857"/>
    <w:pPr>
      <w:spacing w:after="0" w:line="288" w:lineRule="auto"/>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97857"/>
    <w:pPr>
      <w:spacing w:after="0" w:line="288" w:lineRule="auto"/>
    </w:pPr>
    <w:rPr>
      <w:rFonts w:eastAsia="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97857"/>
    <w:pPr>
      <w:spacing w:after="0" w:line="288" w:lineRule="auto"/>
    </w:pPr>
    <w:rPr>
      <w:rFonts w:eastAsia="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97857"/>
    <w:pPr>
      <w:spacing w:after="0" w:line="288" w:lineRule="auto"/>
    </w:pPr>
    <w:rPr>
      <w:rFonts w:eastAsia="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7857"/>
    <w:pPr>
      <w:spacing w:after="0" w:line="240" w:lineRule="auto"/>
    </w:pPr>
    <w:rPr>
      <w:rFonts w:eastAsia="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4">
    <w:name w:val="Table List 4"/>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97857"/>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97857"/>
    <w:pPr>
      <w:spacing w:after="0" w:line="288" w:lineRule="auto"/>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97857"/>
    <w:pPr>
      <w:spacing w:after="0" w:line="288" w:lineRule="auto"/>
    </w:pPr>
    <w:rPr>
      <w:rFonts w:eastAsia="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97857"/>
    <w:pPr>
      <w:spacing w:after="0" w:line="288" w:lineRule="auto"/>
    </w:pPr>
    <w:rPr>
      <w:rFonts w:eastAsia="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397857"/>
    <w:pPr>
      <w:spacing w:after="0" w:line="288" w:lineRule="auto"/>
    </w:pPr>
    <w:rPr>
      <w:rFonts w:eastAsia="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97857"/>
    <w:pPr>
      <w:spacing w:after="0" w:line="288" w:lineRule="auto"/>
    </w:pPr>
    <w:rPr>
      <w:rFonts w:eastAsia="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97857"/>
    <w:pPr>
      <w:spacing w:after="0" w:line="288" w:lineRule="auto"/>
    </w:pPr>
    <w:rPr>
      <w:rFonts w:eastAsia="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97857"/>
    <w:pPr>
      <w:spacing w:after="0" w:line="288" w:lineRule="auto"/>
    </w:pPr>
    <w:rPr>
      <w:rFonts w:eastAsia="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97857"/>
    <w:pPr>
      <w:spacing w:after="0" w:line="288" w:lineRule="auto"/>
    </w:pPr>
    <w:rPr>
      <w:rFonts w:eastAsia="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97857"/>
    <w:pPr>
      <w:spacing w:after="0" w:line="288"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97857"/>
    <w:pPr>
      <w:spacing w:after="0" w:line="288" w:lineRule="auto"/>
    </w:pPr>
    <w:rPr>
      <w:rFonts w:eastAsia="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97857"/>
    <w:pPr>
      <w:spacing w:after="0" w:line="288" w:lineRule="auto"/>
    </w:pPr>
    <w:rPr>
      <w:rFonts w:eastAsia="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97857"/>
    <w:pPr>
      <w:spacing w:after="0" w:line="288" w:lineRule="auto"/>
    </w:pPr>
    <w:rPr>
      <w:rFonts w:eastAsia="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97857"/>
    <w:rPr>
      <w:color w:val="605E5C"/>
      <w:shd w:val="clear" w:color="auto" w:fill="E1DFDD"/>
    </w:rPr>
  </w:style>
  <w:style w:type="paragraph" w:customStyle="1" w:styleId="TableBullet">
    <w:name w:val="Table Bullet"/>
    <w:basedOn w:val="Normal"/>
    <w:uiPriority w:val="9"/>
    <w:qFormat/>
    <w:rsid w:val="00397857"/>
    <w:pPr>
      <w:spacing w:before="60" w:after="60" w:line="240" w:lineRule="auto"/>
      <w:ind w:left="284" w:hanging="284"/>
    </w:pPr>
    <w:rPr>
      <w:rFonts w:ascii="Gill Sans MT" w:hAnsi="Gill Sans MT"/>
      <w:sz w:val="18"/>
      <w:szCs w:val="14"/>
    </w:rPr>
  </w:style>
  <w:style w:type="paragraph" w:customStyle="1" w:styleId="TableSubbullet">
    <w:name w:val="Table Subbullet"/>
    <w:basedOn w:val="TableBullet"/>
    <w:uiPriority w:val="9"/>
    <w:rsid w:val="00397857"/>
    <w:pPr>
      <w:suppressAutoHyphens/>
      <w:spacing w:before="40" w:after="40" w:line="220" w:lineRule="atLeast"/>
      <w:ind w:left="567" w:hanging="283"/>
    </w:pPr>
    <w:rPr>
      <w:rFonts w:ascii="Arial" w:eastAsia="Times New Roman" w:hAnsi="Arial" w:cs="Times New Roman"/>
      <w:szCs w:val="20"/>
    </w:rPr>
  </w:style>
  <w:style w:type="character" w:customStyle="1" w:styleId="cf01">
    <w:name w:val="cf01"/>
    <w:basedOn w:val="DefaultParagraphFont"/>
    <w:rsid w:val="005011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92">
      <w:bodyDiv w:val="1"/>
      <w:marLeft w:val="0"/>
      <w:marRight w:val="0"/>
      <w:marTop w:val="0"/>
      <w:marBottom w:val="0"/>
      <w:divBdr>
        <w:top w:val="none" w:sz="0" w:space="0" w:color="auto"/>
        <w:left w:val="none" w:sz="0" w:space="0" w:color="auto"/>
        <w:bottom w:val="none" w:sz="0" w:space="0" w:color="auto"/>
        <w:right w:val="none" w:sz="0" w:space="0" w:color="auto"/>
      </w:divBdr>
    </w:div>
    <w:div w:id="48572670">
      <w:bodyDiv w:val="1"/>
      <w:marLeft w:val="0"/>
      <w:marRight w:val="0"/>
      <w:marTop w:val="0"/>
      <w:marBottom w:val="0"/>
      <w:divBdr>
        <w:top w:val="none" w:sz="0" w:space="0" w:color="auto"/>
        <w:left w:val="none" w:sz="0" w:space="0" w:color="auto"/>
        <w:bottom w:val="none" w:sz="0" w:space="0" w:color="auto"/>
        <w:right w:val="none" w:sz="0" w:space="0" w:color="auto"/>
      </w:divBdr>
    </w:div>
    <w:div w:id="348917670">
      <w:bodyDiv w:val="1"/>
      <w:marLeft w:val="0"/>
      <w:marRight w:val="0"/>
      <w:marTop w:val="0"/>
      <w:marBottom w:val="0"/>
      <w:divBdr>
        <w:top w:val="none" w:sz="0" w:space="0" w:color="auto"/>
        <w:left w:val="none" w:sz="0" w:space="0" w:color="auto"/>
        <w:bottom w:val="none" w:sz="0" w:space="0" w:color="auto"/>
        <w:right w:val="none" w:sz="0" w:space="0" w:color="auto"/>
      </w:divBdr>
    </w:div>
    <w:div w:id="436366049">
      <w:bodyDiv w:val="1"/>
      <w:marLeft w:val="0"/>
      <w:marRight w:val="0"/>
      <w:marTop w:val="0"/>
      <w:marBottom w:val="0"/>
      <w:divBdr>
        <w:top w:val="none" w:sz="0" w:space="0" w:color="auto"/>
        <w:left w:val="none" w:sz="0" w:space="0" w:color="auto"/>
        <w:bottom w:val="none" w:sz="0" w:space="0" w:color="auto"/>
        <w:right w:val="none" w:sz="0" w:space="0" w:color="auto"/>
      </w:divBdr>
    </w:div>
    <w:div w:id="583027112">
      <w:bodyDiv w:val="1"/>
      <w:marLeft w:val="0"/>
      <w:marRight w:val="0"/>
      <w:marTop w:val="0"/>
      <w:marBottom w:val="0"/>
      <w:divBdr>
        <w:top w:val="none" w:sz="0" w:space="0" w:color="auto"/>
        <w:left w:val="none" w:sz="0" w:space="0" w:color="auto"/>
        <w:bottom w:val="none" w:sz="0" w:space="0" w:color="auto"/>
        <w:right w:val="none" w:sz="0" w:space="0" w:color="auto"/>
      </w:divBdr>
    </w:div>
    <w:div w:id="623393728">
      <w:bodyDiv w:val="1"/>
      <w:marLeft w:val="0"/>
      <w:marRight w:val="0"/>
      <w:marTop w:val="0"/>
      <w:marBottom w:val="0"/>
      <w:divBdr>
        <w:top w:val="none" w:sz="0" w:space="0" w:color="auto"/>
        <w:left w:val="none" w:sz="0" w:space="0" w:color="auto"/>
        <w:bottom w:val="none" w:sz="0" w:space="0" w:color="auto"/>
        <w:right w:val="none" w:sz="0" w:space="0" w:color="auto"/>
      </w:divBdr>
    </w:div>
    <w:div w:id="928737049">
      <w:bodyDiv w:val="1"/>
      <w:marLeft w:val="0"/>
      <w:marRight w:val="0"/>
      <w:marTop w:val="0"/>
      <w:marBottom w:val="0"/>
      <w:divBdr>
        <w:top w:val="none" w:sz="0" w:space="0" w:color="auto"/>
        <w:left w:val="none" w:sz="0" w:space="0" w:color="auto"/>
        <w:bottom w:val="none" w:sz="0" w:space="0" w:color="auto"/>
        <w:right w:val="none" w:sz="0" w:space="0" w:color="auto"/>
      </w:divBdr>
    </w:div>
    <w:div w:id="1550528367">
      <w:bodyDiv w:val="1"/>
      <w:marLeft w:val="0"/>
      <w:marRight w:val="0"/>
      <w:marTop w:val="0"/>
      <w:marBottom w:val="0"/>
      <w:divBdr>
        <w:top w:val="none" w:sz="0" w:space="0" w:color="auto"/>
        <w:left w:val="none" w:sz="0" w:space="0" w:color="auto"/>
        <w:bottom w:val="none" w:sz="0" w:space="0" w:color="auto"/>
        <w:right w:val="none" w:sz="0" w:space="0" w:color="auto"/>
      </w:divBdr>
    </w:div>
    <w:div w:id="1569925688">
      <w:bodyDiv w:val="1"/>
      <w:marLeft w:val="0"/>
      <w:marRight w:val="0"/>
      <w:marTop w:val="0"/>
      <w:marBottom w:val="0"/>
      <w:divBdr>
        <w:top w:val="none" w:sz="0" w:space="0" w:color="auto"/>
        <w:left w:val="none" w:sz="0" w:space="0" w:color="auto"/>
        <w:bottom w:val="none" w:sz="0" w:space="0" w:color="auto"/>
        <w:right w:val="none" w:sz="0" w:space="0" w:color="auto"/>
      </w:divBdr>
    </w:div>
    <w:div w:id="1587108613">
      <w:bodyDiv w:val="1"/>
      <w:marLeft w:val="0"/>
      <w:marRight w:val="0"/>
      <w:marTop w:val="0"/>
      <w:marBottom w:val="0"/>
      <w:divBdr>
        <w:top w:val="none" w:sz="0" w:space="0" w:color="auto"/>
        <w:left w:val="none" w:sz="0" w:space="0" w:color="auto"/>
        <w:bottom w:val="none" w:sz="0" w:space="0" w:color="auto"/>
        <w:right w:val="none" w:sz="0" w:space="0" w:color="auto"/>
      </w:divBdr>
    </w:div>
    <w:div w:id="1863322092">
      <w:bodyDiv w:val="1"/>
      <w:marLeft w:val="0"/>
      <w:marRight w:val="0"/>
      <w:marTop w:val="0"/>
      <w:marBottom w:val="0"/>
      <w:divBdr>
        <w:top w:val="none" w:sz="0" w:space="0" w:color="auto"/>
        <w:left w:val="none" w:sz="0" w:space="0" w:color="auto"/>
        <w:bottom w:val="none" w:sz="0" w:space="0" w:color="auto"/>
        <w:right w:val="none" w:sz="0" w:space="0" w:color="auto"/>
      </w:divBdr>
    </w:div>
    <w:div w:id="1932153017">
      <w:bodyDiv w:val="1"/>
      <w:marLeft w:val="0"/>
      <w:marRight w:val="0"/>
      <w:marTop w:val="0"/>
      <w:marBottom w:val="0"/>
      <w:divBdr>
        <w:top w:val="none" w:sz="0" w:space="0" w:color="auto"/>
        <w:left w:val="none" w:sz="0" w:space="0" w:color="auto"/>
        <w:bottom w:val="none" w:sz="0" w:space="0" w:color="auto"/>
        <w:right w:val="none" w:sz="0" w:space="0" w:color="auto"/>
      </w:divBdr>
    </w:div>
    <w:div w:id="1966232115">
      <w:bodyDiv w:val="1"/>
      <w:marLeft w:val="0"/>
      <w:marRight w:val="0"/>
      <w:marTop w:val="0"/>
      <w:marBottom w:val="0"/>
      <w:divBdr>
        <w:top w:val="none" w:sz="0" w:space="0" w:color="auto"/>
        <w:left w:val="none" w:sz="0" w:space="0" w:color="auto"/>
        <w:bottom w:val="none" w:sz="0" w:space="0" w:color="auto"/>
        <w:right w:val="none" w:sz="0" w:space="0" w:color="auto"/>
      </w:divBdr>
    </w:div>
    <w:div w:id="2070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RPA Colours">
      <a:dk1>
        <a:sysClr val="windowText" lastClr="000000"/>
      </a:dk1>
      <a:lt1>
        <a:sysClr val="window" lastClr="FFFFFF"/>
      </a:lt1>
      <a:dk2>
        <a:srgbClr val="1C2B39"/>
      </a:dk2>
      <a:lt2>
        <a:srgbClr val="F99D1C"/>
      </a:lt2>
      <a:accent1>
        <a:srgbClr val="D7D8D6"/>
      </a:accent1>
      <a:accent2>
        <a:srgbClr val="FFC709"/>
      </a:accent2>
      <a:accent3>
        <a:srgbClr val="CD163F"/>
      </a:accent3>
      <a:accent4>
        <a:srgbClr val="692686"/>
      </a:accent4>
      <a:accent5>
        <a:srgbClr val="20AA4D"/>
      </a:accent5>
      <a:accent6>
        <a:srgbClr val="007DB6"/>
      </a:accent6>
      <a:hlink>
        <a:srgbClr val="005C97"/>
      </a:hlink>
      <a:folHlink>
        <a:srgbClr val="595959"/>
      </a:folHlink>
    </a:clrScheme>
    <a:fontScheme name="JASANZ">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D9E7D1"/>
        </a:solidFill>
        <a:ln w="9525">
          <a:solidFill>
            <a:srgbClr val="A7CC96"/>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483388-c719-4eff-8694-752d3a0d233e" xsi:nil="true"/>
    <lcf76f155ced4ddcb4097134ff3c332f xmlns="360f8a96-9000-4ccb-a847-6089494e69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6BE69E2769843AA9BA05A8F8FC7A3" ma:contentTypeVersion="16" ma:contentTypeDescription="Create a new document." ma:contentTypeScope="" ma:versionID="ac5cb4f5dcd35dd85952c3558a9f7110">
  <xsd:schema xmlns:xsd="http://www.w3.org/2001/XMLSchema" xmlns:xs="http://www.w3.org/2001/XMLSchema" xmlns:p="http://schemas.microsoft.com/office/2006/metadata/properties" xmlns:ns2="360f8a96-9000-4ccb-a847-6089494e6936" xmlns:ns3="fc483388-c719-4eff-8694-752d3a0d233e" targetNamespace="http://schemas.microsoft.com/office/2006/metadata/properties" ma:root="true" ma:fieldsID="07d1761228dd44b0f473a74dfb77ccb9" ns2:_="" ns3:_="">
    <xsd:import namespace="360f8a96-9000-4ccb-a847-6089494e6936"/>
    <xsd:import namespace="fc483388-c719-4eff-8694-752d3a0d2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f8a96-9000-4ccb-a847-6089494e6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97fea4-d4d7-456e-87c5-5983e4a703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483388-c719-4eff-8694-752d3a0d2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e6075-c28e-44f6-b135-161ff4e0c180}" ma:internalName="TaxCatchAll" ma:showField="CatchAllData" ma:web="fc483388-c719-4eff-8694-752d3a0d2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88F9B-565C-4D7F-B58D-23219270E8D6}">
  <ds:schemaRefs>
    <ds:schemaRef ds:uri="http://schemas.openxmlformats.org/officeDocument/2006/bibliography"/>
  </ds:schemaRefs>
</ds:datastoreItem>
</file>

<file path=customXml/itemProps2.xml><?xml version="1.0" encoding="utf-8"?>
<ds:datastoreItem xmlns:ds="http://schemas.openxmlformats.org/officeDocument/2006/customXml" ds:itemID="{68AEF823-6CD5-45A3-8E89-E4AF654A984D}">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5bb23b05-46fc-419b-820b-0fe42645b320"/>
    <ds:schemaRef ds:uri="http://schemas.openxmlformats.org/package/2006/metadata/core-properties"/>
  </ds:schemaRefs>
</ds:datastoreItem>
</file>

<file path=customXml/itemProps3.xml><?xml version="1.0" encoding="utf-8"?>
<ds:datastoreItem xmlns:ds="http://schemas.openxmlformats.org/officeDocument/2006/customXml" ds:itemID="{575674C5-D347-45C5-B6E4-A3DEB71C41B6}">
  <ds:schemaRefs>
    <ds:schemaRef ds:uri="http://schemas.microsoft.com/sharepoint/v3/contenttype/forms"/>
  </ds:schemaRefs>
</ds:datastoreItem>
</file>

<file path=customXml/itemProps4.xml><?xml version="1.0" encoding="utf-8"?>
<ds:datastoreItem xmlns:ds="http://schemas.openxmlformats.org/officeDocument/2006/customXml" ds:itemID="{8C0F36B2-693D-4F02-ACF4-E50BE7464A8D}"/>
</file>

<file path=docProps/app.xml><?xml version="1.0" encoding="utf-8"?>
<Properties xmlns="http://schemas.openxmlformats.org/officeDocument/2006/extended-properties" xmlns:vt="http://schemas.openxmlformats.org/officeDocument/2006/docPropsVTypes">
  <Template>Normal</Template>
  <TotalTime>32</TotalTime>
  <Pages>41</Pages>
  <Words>14822</Words>
  <Characters>86713</Characters>
  <Application>Microsoft Office Word</Application>
  <DocSecurity>0</DocSecurity>
  <Lines>2064</Lines>
  <Paragraphs>812</Paragraphs>
  <ScaleCrop>false</ScaleCrop>
  <HeadingPairs>
    <vt:vector size="2" baseType="variant">
      <vt:variant>
        <vt:lpstr>Title</vt:lpstr>
      </vt:variant>
      <vt:variant>
        <vt:i4>1</vt:i4>
      </vt:variant>
    </vt:vector>
  </HeadingPairs>
  <TitlesOfParts>
    <vt:vector size="1" baseType="lpstr">
      <vt:lpstr>Willatook Wind Farm | Environment Effects Statement</vt:lpstr>
    </vt:vector>
  </TitlesOfParts>
  <Company>Wind Prospect</Company>
  <LinksUpToDate>false</LinksUpToDate>
  <CharactersWithSpaces>100723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Willatook Wind Farm | Environment Effects Statement</dc:title>
  <dc:subject/>
  <dc:creator>Gassner, Kerry</dc:creator>
  <cp:keywords/>
  <cp:lastModifiedBy>Gassner, Kerry</cp:lastModifiedBy>
  <cp:revision>5</cp:revision>
  <cp:lastPrinted>2021-09-18T09:10:00Z</cp:lastPrinted>
  <dcterms:created xsi:type="dcterms:W3CDTF">2022-06-03T04:50:00Z</dcterms:created>
  <dcterms:modified xsi:type="dcterms:W3CDTF">2022-06-06T02:48:00Z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0x010100869B548BC37728498E23A9A9B80FFE3B</vt:lpwstr>
  </property>
</Properties>
</file>