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784EA7" w14:textId="77777777" w:rsidR="009056B9" w:rsidRPr="00D204B9" w:rsidRDefault="009056B9" w:rsidP="009056B9">
      <w:pPr>
        <w:pStyle w:val="Heading1"/>
        <w:spacing w:after="720"/>
      </w:pPr>
      <w:bookmarkStart w:id="0" w:name="_Hlk95897364"/>
      <w:bookmarkStart w:id="1" w:name="_Toc523131536"/>
      <w:bookmarkStart w:id="2" w:name="_Toc515959622"/>
      <w:bookmarkEnd w:id="0"/>
      <w:r>
        <w:br/>
      </w:r>
      <w:bookmarkStart w:id="3" w:name="_Toc105144173"/>
      <w:r>
        <w:t>Air quality</w:t>
      </w:r>
      <w:bookmarkEnd w:id="3"/>
    </w:p>
    <w:p w14:paraId="0FF346F2" w14:textId="71F01E97" w:rsidR="00156875" w:rsidRPr="00B241C2" w:rsidRDefault="00B241C2" w:rsidP="00B241C2">
      <w:pPr>
        <w:pStyle w:val="Heading2"/>
      </w:pPr>
      <w:bookmarkStart w:id="4" w:name="_Toc105144174"/>
      <w:r w:rsidRPr="00B241C2">
        <w:t>Overview</w:t>
      </w:r>
      <w:bookmarkEnd w:id="1"/>
      <w:bookmarkEnd w:id="4"/>
    </w:p>
    <w:p w14:paraId="11590CC0" w14:textId="6C4288CE" w:rsidR="00B241C2" w:rsidRPr="008A4608" w:rsidRDefault="00B241C2" w:rsidP="00B241C2">
      <w:pPr>
        <w:pStyle w:val="BodyText"/>
      </w:pPr>
      <w:r w:rsidRPr="008A4608">
        <w:t xml:space="preserve">This chapter provides an overview of the local meteorology and existing air quality environment of the project investigation area, as well as an assessment of potential impacts to local air quality resulting from project construction, operation and decommissioning. The information is based on the impact assessment prepared by Jacobs Group (Australia) Pty Ltd and presented in Appendix L </w:t>
      </w:r>
      <w:r>
        <w:t>–</w:t>
      </w:r>
      <w:r w:rsidRPr="008A4608">
        <w:t xml:space="preserve"> </w:t>
      </w:r>
      <w:r w:rsidRPr="00B241C2">
        <w:rPr>
          <w:i/>
          <w:iCs/>
        </w:rPr>
        <w:t>Air quality</w:t>
      </w:r>
      <w:r w:rsidRPr="008A4608">
        <w:t>. Air quality impacts can occur when air pollutant emissions from an industry or activity cause a deterioration in ambient (i.e.,</w:t>
      </w:r>
      <w:r>
        <w:t> </w:t>
      </w:r>
      <w:r w:rsidRPr="008A4608">
        <w:t>outdoor) air quality.</w:t>
      </w:r>
    </w:p>
    <w:p w14:paraId="204ACC16" w14:textId="47A3FC3D" w:rsidR="00B241C2" w:rsidRPr="008A4608" w:rsidRDefault="00B241C2" w:rsidP="00B241C2">
      <w:pPr>
        <w:pStyle w:val="BodyText"/>
      </w:pPr>
      <w:r w:rsidRPr="008A4608">
        <w:t>The existing air quality at the project site is good and typical of air quality for rural Australia, which is typically better than the metropolitan areas of Melbourne and Geelong. Emissions of particulate matter during construction and operation of the quarry result</w:t>
      </w:r>
      <w:r w:rsidR="00E25B40">
        <w:t>ing</w:t>
      </w:r>
      <w:r w:rsidRPr="008A4608">
        <w:t xml:space="preserve"> from activities such as material handling and transport, crushing, drilling and blasting, and wind erosion were assessed to be the main impact </w:t>
      </w:r>
      <w:r w:rsidR="00A967F5">
        <w:t xml:space="preserve">pathway with the potential to reduce </w:t>
      </w:r>
      <w:r w:rsidRPr="008A4608">
        <w:t xml:space="preserve">air quality. There </w:t>
      </w:r>
      <w:r w:rsidR="00730B5D">
        <w:t>would</w:t>
      </w:r>
      <w:r w:rsidRPr="008A4608">
        <w:t xml:space="preserve"> also be gas emissions at the quarry site, primarily from diesel combustion and blasting of explosives. The construction, operation and decommissioning of other (non-quarry related) project activities would generate dust from civil works, vehicles driving on unsealed roads and wind erosion, the operation of </w:t>
      </w:r>
      <w:r w:rsidR="002B47F4">
        <w:t>three</w:t>
      </w:r>
      <w:r w:rsidR="002B47F4" w:rsidRPr="008A4608">
        <w:t xml:space="preserve"> </w:t>
      </w:r>
      <w:r w:rsidRPr="008A4608">
        <w:t>concrete batching plants and gas emissions from combustion engines.</w:t>
      </w:r>
    </w:p>
    <w:p w14:paraId="70843384" w14:textId="16675FC6" w:rsidR="00B241C2" w:rsidRPr="008A4608" w:rsidRDefault="00B241C2" w:rsidP="00B241C2">
      <w:pPr>
        <w:pStyle w:val="BodyText"/>
      </w:pPr>
      <w:r w:rsidRPr="008A4608">
        <w:t xml:space="preserve">Construction and operation of the </w:t>
      </w:r>
      <w:r w:rsidR="00A967F5">
        <w:t xml:space="preserve">on-site </w:t>
      </w:r>
      <w:r w:rsidRPr="008A4608">
        <w:t>quarry was identified as the most significant source of air emissions, having the greatest potential of all project activities to impact air quality for nearby sensitive receptors. To avoid air quality impacts, the quarry and concrete batch plants have been proposed in areas of the project site away from occupied dwellings. The closest sensitive receptor to the quarry is 1.4</w:t>
      </w:r>
      <w:r w:rsidR="009056B9">
        <w:t> </w:t>
      </w:r>
      <w:r w:rsidRPr="008A4608">
        <w:t>kilometres and to any of the concrete batch plants is approximately 1</w:t>
      </w:r>
      <w:r w:rsidR="002B47F4">
        <w:t>.2</w:t>
      </w:r>
      <w:r w:rsidRPr="008A4608">
        <w:t xml:space="preserve"> kilometre</w:t>
      </w:r>
      <w:r w:rsidR="002B47F4">
        <w:t>s</w:t>
      </w:r>
      <w:r w:rsidRPr="008A4608">
        <w:t xml:space="preserve">, which are greater than the minimum separation distances specified in Environment Protection Authority (EPA) Victoria Publication 1518: </w:t>
      </w:r>
      <w:r w:rsidRPr="008A4608">
        <w:rPr>
          <w:i/>
        </w:rPr>
        <w:t>Recommended separation distances for industrial residual air emissions</w:t>
      </w:r>
      <w:r w:rsidRPr="008A4608">
        <w:t>.</w:t>
      </w:r>
    </w:p>
    <w:p w14:paraId="1AB952C1" w14:textId="58677BAA" w:rsidR="00B241C2" w:rsidRPr="008A4608" w:rsidRDefault="00B241C2" w:rsidP="00B241C2">
      <w:pPr>
        <w:pStyle w:val="BodyText"/>
      </w:pPr>
      <w:r w:rsidRPr="008A4608">
        <w:t>The focus of the air quality impact assessment involved quantitative modelling</w:t>
      </w:r>
      <w:r w:rsidRPr="008A4608" w:rsidDel="003F33D6">
        <w:t xml:space="preserve"> </w:t>
      </w:r>
      <w:r w:rsidRPr="008A4608">
        <w:t>of quarry emissions and their potential impacts. Emissions modelled were PM</w:t>
      </w:r>
      <w:r w:rsidRPr="008A4608">
        <w:rPr>
          <w:vertAlign w:val="subscript"/>
        </w:rPr>
        <w:t>10</w:t>
      </w:r>
      <w:r w:rsidRPr="008A4608">
        <w:t>, PM</w:t>
      </w:r>
      <w:r w:rsidRPr="008A4608">
        <w:rPr>
          <w:vertAlign w:val="subscript"/>
        </w:rPr>
        <w:t>2.5</w:t>
      </w:r>
      <w:r w:rsidRPr="008A4608">
        <w:t>, respirable crystalline silica and dust deposition. A</w:t>
      </w:r>
      <w:r w:rsidR="009056B9">
        <w:t> </w:t>
      </w:r>
      <w:r w:rsidRPr="008A4608">
        <w:t xml:space="preserve">qualitative assessment was also undertaken for the potential impacts on air quality from the construction, operation and decommissioning from all other project activities. </w:t>
      </w:r>
    </w:p>
    <w:p w14:paraId="24D2F5E8" w14:textId="4607F9AD" w:rsidR="00B241C2" w:rsidRPr="008A4608" w:rsidRDefault="00A45D1F" w:rsidP="00B241C2">
      <w:pPr>
        <w:pStyle w:val="BodyText"/>
      </w:pPr>
      <w:r w:rsidRPr="008A4608">
        <w:rPr>
          <w:noProof/>
        </w:rPr>
        <mc:AlternateContent>
          <mc:Choice Requires="wps">
            <w:drawing>
              <wp:anchor distT="0" distB="0" distL="114300" distR="114300" simplePos="0" relativeHeight="251662336" behindDoc="0" locked="0" layoutInCell="1" allowOverlap="1" wp14:anchorId="634E4DD2" wp14:editId="4F99C32F">
                <wp:simplePos x="0" y="0"/>
                <wp:positionH relativeFrom="margin">
                  <wp:posOffset>3785870</wp:posOffset>
                </wp:positionH>
                <wp:positionV relativeFrom="paragraph">
                  <wp:posOffset>132080</wp:posOffset>
                </wp:positionV>
                <wp:extent cx="2187575" cy="2524125"/>
                <wp:effectExtent l="0" t="0" r="22225" b="28575"/>
                <wp:wrapSquare wrapText="bothSides"/>
                <wp:docPr id="24" name="Rectangle: Rounded Corners 24" descr="General environmental duty &#10;At the centre of the new Environment Protection Act 2017 is the ‘general environmental duty’, which requires any person in Victoria (businesses, industry and the community) engaging in an activity that may risk harming human health and the environment from pollution and waste to minimise those risks, so far as reasonably practicable."/>
                <wp:cNvGraphicFramePr/>
                <a:graphic xmlns:a="http://schemas.openxmlformats.org/drawingml/2006/main">
                  <a:graphicData uri="http://schemas.microsoft.com/office/word/2010/wordprocessingShape">
                    <wps:wsp>
                      <wps:cNvSpPr/>
                      <wps:spPr>
                        <a:xfrm>
                          <a:off x="0" y="0"/>
                          <a:ext cx="2187575" cy="2524125"/>
                        </a:xfrm>
                        <a:prstGeom prst="roundRect">
                          <a:avLst/>
                        </a:prstGeom>
                        <a:solidFill>
                          <a:schemeClr val="tx2">
                            <a:lumMod val="10000"/>
                            <a:lumOff val="9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3C8462F" w14:textId="77777777" w:rsidR="00DA5B8D" w:rsidRDefault="00DA5B8D" w:rsidP="00DA5B8D">
                            <w:pPr>
                              <w:pStyle w:val="PullOutBoxHeading"/>
                            </w:pPr>
                            <w:r>
                              <w:t xml:space="preserve">General environmental duty </w:t>
                            </w:r>
                          </w:p>
                          <w:p w14:paraId="23626A5B" w14:textId="17BF0DE3" w:rsidR="00DA5B8D" w:rsidRPr="001A35A2" w:rsidRDefault="00DA5B8D" w:rsidP="00DA5B8D">
                            <w:pPr>
                              <w:pStyle w:val="PullOutBoxText"/>
                            </w:pPr>
                            <w:r>
                              <w:t xml:space="preserve">At the centre of the </w:t>
                            </w:r>
                            <w:r w:rsidRPr="00DA5B8D">
                              <w:t xml:space="preserve">new </w:t>
                            </w:r>
                            <w:r w:rsidRPr="00A45D1F">
                              <w:rPr>
                                <w:i/>
                                <w:iCs/>
                              </w:rPr>
                              <w:t>Environment Protection Act 2017</w:t>
                            </w:r>
                            <w:r>
                              <w:t xml:space="preserve"> is the ‘general </w:t>
                            </w:r>
                            <w:r w:rsidRPr="00DA5B8D">
                              <w:t>environmental duty’, which requires any person in Victoria (businesses, industry and the community) engaging in an activity that may risk harming human health and the environment from pollution and waste to minimise those risks, so far as reasonably practicable</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34E4DD2" id="Rectangle: Rounded Corners 24" o:spid="_x0000_s1026" alt="General environmental duty &#10;At the centre of the new Environment Protection Act 2017 is the ‘general environmental duty’, which requires any person in Victoria (businesses, industry and the community) engaging in an activity that may risk harming human health and the environment from pollution and waste to minimise those risks, so far as reasonably practicable." style="position:absolute;margin-left:298.1pt;margin-top:10.4pt;width:172.25pt;height:198.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" fillcolor="#e3eaf1 [351]" strokecolor="#6a6d68 [1604]" strokeweight="1pt">
                <v:stroke joinstyle="miter"/>
                <v:textbox>
                  <w:txbxContent>
                    <w:p w14:paraId="33C8462F" w14:textId="77777777" w:rsidR="00DA5B8D" w:rsidRDefault="00DA5B8D" w:rsidP="00DA5B8D">
                      <w:pPr>
                        <w:pStyle w:val="PullOutBoxHeading"/>
                      </w:pPr>
                      <w:r>
                        <w:t xml:space="preserve">General environmental duty </w:t>
                      </w:r>
                    </w:p>
                    <w:p w14:paraId="23626A5B" w14:textId="17BF0DE3" w:rsidR="00DA5B8D" w:rsidRPr="001A35A2" w:rsidRDefault="00DA5B8D" w:rsidP="00DA5B8D">
                      <w:pPr>
                        <w:pStyle w:val="PullOutBoxText"/>
                      </w:pPr>
                      <w:r>
                        <w:t xml:space="preserve">At the centre of the </w:t>
                      </w:r>
                      <w:r w:rsidRPr="00DA5B8D">
                        <w:t xml:space="preserve">new </w:t>
                      </w:r>
                      <w:r w:rsidRPr="00A45D1F">
                        <w:rPr>
                          <w:i/>
                          <w:iCs/>
                        </w:rPr>
                        <w:t>Environment Protection Act 2017</w:t>
                      </w:r>
                      <w:r>
                        <w:t xml:space="preserve"> is the ‘general </w:t>
                      </w:r>
                      <w:r w:rsidRPr="00DA5B8D">
                        <w:t>environmental duty’, which requires any person in Victoria (businesses, industry and the community) engaging in an activity that may risk harming human health and the environment from pollution and waste to minimise those risks, so far as reasonably practicable</w:t>
                      </w:r>
                      <w:r>
                        <w:t>.</w:t>
                      </w:r>
                    </w:p>
                  </w:txbxContent>
                </v:textbox>
                <w10:wrap type="square" anchorx="margin"/>
              </v:roundrect>
            </w:pict>
          </mc:Fallback>
        </mc:AlternateContent>
      </w:r>
      <w:r w:rsidR="00B241C2" w:rsidRPr="008A4608">
        <w:t xml:space="preserve">This chapter seeks to explain how the project </w:t>
      </w:r>
      <w:r w:rsidR="00F912F2">
        <w:t>would</w:t>
      </w:r>
      <w:r w:rsidR="00F912F2" w:rsidRPr="008A4608">
        <w:t xml:space="preserve"> </w:t>
      </w:r>
      <w:r w:rsidR="00B241C2" w:rsidRPr="008A4608">
        <w:t xml:space="preserve">meet its general environmental duty relating to air quality. </w:t>
      </w:r>
      <w:r w:rsidR="001A6ED9" w:rsidRPr="00F34280">
        <w:t>The approach has been to first avoid or limit potential impacts by creating appropriate separation distances between proposed project infrastructure (such as the quarry, concrete batching plants and the wind turbines) and sensitive receptors.</w:t>
      </w:r>
      <w:r w:rsidR="001A6ED9" w:rsidRPr="001A6ED9">
        <w:t xml:space="preserve"> </w:t>
      </w:r>
      <w:r w:rsidR="001A6ED9" w:rsidRPr="00F34280">
        <w:t xml:space="preserve">The air quality impact assessment (Appendix L) has identified the potential impacts to air quality caused by project activities and provided management controls to mitigate against the risk of air pollution impacts. These take a proactive approach to avoid the generation of dust through the application of dust prevention measures and the monitoring of weather conditions to guide what construction activities can take place, and if additional dust suppression measures (e.g., additional water spraying) are required to permit the activities to continue. </w:t>
      </w:r>
      <w:r w:rsidR="00B241C2" w:rsidRPr="008A4608">
        <w:t>Modelling indicates that predicted ground-level concentrations near the quarry site boundary exceed the air quality standard for PM</w:t>
      </w:r>
      <w:r w:rsidR="00B241C2" w:rsidRPr="008A4608">
        <w:rPr>
          <w:vertAlign w:val="subscript"/>
        </w:rPr>
        <w:t>10</w:t>
      </w:r>
      <w:r w:rsidR="00B241C2" w:rsidRPr="008A4608">
        <w:t>, PM</w:t>
      </w:r>
      <w:r w:rsidR="00B241C2" w:rsidRPr="008A4608">
        <w:rPr>
          <w:vertAlign w:val="subscript"/>
        </w:rPr>
        <w:t>2.5</w:t>
      </w:r>
      <w:r w:rsidR="00B241C2" w:rsidRPr="008A4608">
        <w:t xml:space="preserve">, respirable crystalline silica and deposited dust during operations. However, at the nearest </w:t>
      </w:r>
      <w:r w:rsidR="00B241C2" w:rsidRPr="008A4608">
        <w:lastRenderedPageBreak/>
        <w:t xml:space="preserve">sensitive receptor site (1.4 kilometres away), the predicted ground-level concentrations do not exceed the project standards for all air pollutants emitted from the quarry operations. </w:t>
      </w:r>
    </w:p>
    <w:p w14:paraId="4C307B01" w14:textId="780F03F9" w:rsidR="00B241C2" w:rsidRPr="008A4608" w:rsidRDefault="00B241C2" w:rsidP="00B241C2">
      <w:pPr>
        <w:pStyle w:val="BodyText"/>
      </w:pPr>
      <w:r w:rsidRPr="008A4608">
        <w:t xml:space="preserve">Dust emissions from the operation of the project concrete batching plants </w:t>
      </w:r>
      <w:r w:rsidR="00F912F2">
        <w:t>would</w:t>
      </w:r>
      <w:r w:rsidRPr="008A4608">
        <w:t xml:space="preserve"> be of relatively short duration and small scale (i.e., with low dust generation intensity). Concrete batching is not expected to contribute significantly to the overall air </w:t>
      </w:r>
      <w:r w:rsidR="00193650" w:rsidRPr="008A4608">
        <w:t>emissions,</w:t>
      </w:r>
      <w:r w:rsidRPr="008A4608">
        <w:t xml:space="preserve"> and it is expected that these emissions can be effectively managed using targeted dust mitigation measures at each site.</w:t>
      </w:r>
    </w:p>
    <w:p w14:paraId="7AEBB844" w14:textId="77777777" w:rsidR="00B241C2" w:rsidRPr="008A4608" w:rsidRDefault="00B241C2" w:rsidP="00B241C2">
      <w:pPr>
        <w:pStyle w:val="BodyText"/>
      </w:pPr>
      <w:r w:rsidRPr="008A4608">
        <w:t>Gas emissions from diesel combustion and blasting for the quarry site, as well as combustion emissions from other project activities, are expected to be insignificant and of short duration.</w:t>
      </w:r>
    </w:p>
    <w:p w14:paraId="4008FFEA" w14:textId="06E2FA72" w:rsidR="00B241C2" w:rsidRPr="008A4608" w:rsidRDefault="00B241C2" w:rsidP="00B241C2">
      <w:pPr>
        <w:pStyle w:val="BodyText"/>
      </w:pPr>
      <w:r w:rsidRPr="008A4608">
        <w:t>With the implementation of management measures, including a site-specific dust management plan, the potential impact to air quality for nearby sensitive receptors is considered to be low.</w:t>
      </w:r>
      <w:r w:rsidR="00DA5B8D" w:rsidRPr="00DA5B8D">
        <w:rPr>
          <w:noProof/>
        </w:rPr>
        <w:t xml:space="preserve"> </w:t>
      </w:r>
    </w:p>
    <w:p w14:paraId="344E8D8C" w14:textId="77777777" w:rsidR="00B241C2" w:rsidRPr="00B241C2" w:rsidRDefault="00B241C2" w:rsidP="00B241C2">
      <w:pPr>
        <w:pStyle w:val="Heading2"/>
      </w:pPr>
      <w:bookmarkStart w:id="5" w:name="_Toc77766083"/>
      <w:bookmarkStart w:id="6" w:name="_Toc77766231"/>
      <w:bookmarkStart w:id="7" w:name="_Toc78293678"/>
      <w:bookmarkStart w:id="8" w:name="_Toc84595761"/>
      <w:bookmarkStart w:id="9" w:name="_Toc105144175"/>
      <w:bookmarkEnd w:id="5"/>
      <w:bookmarkEnd w:id="6"/>
      <w:bookmarkEnd w:id="7"/>
      <w:r w:rsidRPr="00B241C2">
        <w:t>EES objectives and key issues</w:t>
      </w:r>
      <w:bookmarkEnd w:id="8"/>
      <w:bookmarkEnd w:id="9"/>
    </w:p>
    <w:p w14:paraId="44991005" w14:textId="03FE1CDB" w:rsidR="00B241C2" w:rsidRPr="008A4608" w:rsidRDefault="00B241C2" w:rsidP="00B241C2">
      <w:pPr>
        <w:pStyle w:val="BodyText"/>
        <w:keepNext/>
      </w:pPr>
      <w:r w:rsidRPr="008A4608">
        <w:t xml:space="preserve">The EES scoping requirements specify the draft evaluation objective and key issues, outlined in </w:t>
      </w:r>
      <w:r w:rsidRPr="008A4608">
        <w:fldChar w:fldCharType="begin"/>
      </w:r>
      <w:r w:rsidRPr="008A4608">
        <w:instrText xml:space="preserve"> REF _Ref77663432 \h </w:instrText>
      </w:r>
      <w:r w:rsidRPr="008A4608">
        <w:fldChar w:fldCharType="separate"/>
      </w:r>
      <w:r w:rsidR="009056B9" w:rsidRPr="00B241C2">
        <w:t xml:space="preserve">Table </w:t>
      </w:r>
      <w:r w:rsidR="009056B9">
        <w:rPr>
          <w:noProof/>
        </w:rPr>
        <w:t>20</w:t>
      </w:r>
      <w:r w:rsidR="009056B9" w:rsidRPr="00B241C2">
        <w:t>.</w:t>
      </w:r>
      <w:r w:rsidR="009056B9">
        <w:rPr>
          <w:noProof/>
        </w:rPr>
        <w:t>1</w:t>
      </w:r>
      <w:r w:rsidRPr="008A4608">
        <w:fldChar w:fldCharType="end"/>
      </w:r>
      <w:r w:rsidRPr="008A4608">
        <w:t>, relevant to air quality that have guided this assessment.</w:t>
      </w:r>
    </w:p>
    <w:p w14:paraId="3F0879B1" w14:textId="7BE429AB" w:rsidR="00B241C2" w:rsidRPr="00B241C2" w:rsidRDefault="00B241C2" w:rsidP="00B241C2">
      <w:pPr>
        <w:pStyle w:val="Caption"/>
      </w:pPr>
      <w:bookmarkStart w:id="10" w:name="_Ref77663432"/>
      <w:bookmarkStart w:id="11" w:name="_Toc84595785"/>
      <w:bookmarkStart w:id="12" w:name="_Toc105144192"/>
      <w:r w:rsidRPr="00B241C2">
        <w:t xml:space="preserve">Table </w:t>
      </w:r>
      <w:fldSimple w:instr=" STYLEREF 1 \s ">
        <w:r w:rsidR="009056B9">
          <w:rPr>
            <w:noProof/>
          </w:rPr>
          <w:t>20</w:t>
        </w:r>
      </w:fldSimple>
      <w:r w:rsidRPr="00B241C2">
        <w:t>.</w:t>
      </w:r>
      <w:fldSimple w:instr=" SEQ Table \* ARABIC \s 1 ">
        <w:r w:rsidR="009056B9">
          <w:rPr>
            <w:noProof/>
          </w:rPr>
          <w:t>1</w:t>
        </w:r>
      </w:fldSimple>
      <w:bookmarkEnd w:id="10"/>
      <w:r w:rsidRPr="00B241C2">
        <w:tab/>
        <w:t>EES draft evaluation objective and key issues</w:t>
      </w:r>
      <w:bookmarkEnd w:id="11"/>
      <w:bookmarkEnd w:id="12"/>
    </w:p>
    <w:tbl>
      <w:tblPr>
        <w:tblStyle w:val="Table1"/>
        <w:tblW w:w="5000" w:type="pct"/>
        <w:tblLook w:val="04A0" w:firstRow="1" w:lastRow="0" w:firstColumn="1" w:lastColumn="0" w:noHBand="0" w:noVBand="1"/>
      </w:tblPr>
      <w:tblGrid>
        <w:gridCol w:w="1997"/>
        <w:gridCol w:w="7073"/>
      </w:tblGrid>
      <w:tr w:rsidR="00B241C2" w:rsidRPr="008A4608" w14:paraId="5B259746" w14:textId="77777777" w:rsidTr="002C53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2"/>
          </w:tcPr>
          <w:p w14:paraId="43314807" w14:textId="77777777" w:rsidR="00B241C2" w:rsidRPr="008A4608" w:rsidRDefault="00B241C2" w:rsidP="002C53C9">
            <w:pPr>
              <w:pStyle w:val="TableHeading"/>
            </w:pPr>
            <w:r w:rsidRPr="008A4608">
              <w:t>Draft evaluation objective</w:t>
            </w:r>
          </w:p>
          <w:p w14:paraId="54A50E62" w14:textId="77777777" w:rsidR="00B241C2" w:rsidRPr="008A4608" w:rsidRDefault="00B241C2" w:rsidP="002C53C9">
            <w:pPr>
              <w:pStyle w:val="TableHeading"/>
            </w:pPr>
            <w:r w:rsidRPr="008A4608">
              <w:t xml:space="preserve">Amenity: </w:t>
            </w:r>
            <w:r w:rsidRPr="00B241C2">
              <w:rPr>
                <w:b w:val="0"/>
                <w:bCs w:val="0"/>
                <w:i/>
                <w:iCs/>
              </w:rPr>
              <w:t>To minimise and manage adverse air quality and noise and vibration effects on residents and local communities as far as practicable during construction, operation and decommissioning having regard to applicable limits, targets or standards.</w:t>
            </w:r>
          </w:p>
        </w:tc>
      </w:tr>
      <w:tr w:rsidR="00B241C2" w:rsidRPr="008A4608" w14:paraId="511E7AB4" w14:textId="77777777" w:rsidTr="002C53C9">
        <w:tc>
          <w:tcPr>
            <w:cnfStyle w:val="001000000000" w:firstRow="0" w:lastRow="0" w:firstColumn="1" w:lastColumn="0" w:oddVBand="0" w:evenVBand="0" w:oddHBand="0" w:evenHBand="0" w:firstRowFirstColumn="0" w:firstRowLastColumn="0" w:lastRowFirstColumn="0" w:lastRowLastColumn="0"/>
            <w:tcW w:w="1101" w:type="pct"/>
          </w:tcPr>
          <w:p w14:paraId="4C2931D2" w14:textId="77777777" w:rsidR="00B241C2" w:rsidRPr="008A4608" w:rsidRDefault="00B241C2" w:rsidP="002C53C9">
            <w:pPr>
              <w:pStyle w:val="TableText"/>
              <w:rPr>
                <w:b/>
              </w:rPr>
            </w:pPr>
            <w:bookmarkStart w:id="13" w:name="_Hlk71025682"/>
            <w:r w:rsidRPr="008A4608">
              <w:rPr>
                <w:b/>
              </w:rPr>
              <w:t>Key issues</w:t>
            </w:r>
          </w:p>
        </w:tc>
        <w:tc>
          <w:tcPr>
            <w:tcW w:w="3899" w:type="pct"/>
          </w:tcPr>
          <w:p w14:paraId="63691383" w14:textId="77777777" w:rsidR="00B241C2" w:rsidRPr="008A4608" w:rsidRDefault="00B241C2" w:rsidP="00B241C2">
            <w:pPr>
              <w:pStyle w:val="TableText"/>
              <w:cnfStyle w:val="000000000000" w:firstRow="0" w:lastRow="0" w:firstColumn="0" w:lastColumn="0" w:oddVBand="0" w:evenVBand="0" w:oddHBand="0" w:evenHBand="0" w:firstRowFirstColumn="0" w:firstRowLastColumn="0" w:lastRowFirstColumn="0" w:lastRowLastColumn="0"/>
            </w:pPr>
            <w:r w:rsidRPr="008A4608">
              <w:t>Potential for adverse effects to air quality at sensitive receptors and on other sensitive land uses during construction of wind turbines, associated infrastructure and use of an on-site quarry.</w:t>
            </w:r>
          </w:p>
        </w:tc>
      </w:tr>
    </w:tbl>
    <w:p w14:paraId="1C8B0FD2" w14:textId="77777777" w:rsidR="00B241C2" w:rsidRPr="00B241C2" w:rsidRDefault="00B241C2" w:rsidP="00B241C2">
      <w:pPr>
        <w:pStyle w:val="Heading2"/>
      </w:pPr>
      <w:bookmarkStart w:id="14" w:name="_Toc84595762"/>
      <w:bookmarkStart w:id="15" w:name="_Toc105144176"/>
      <w:bookmarkEnd w:id="13"/>
      <w:r w:rsidRPr="00B241C2">
        <w:t>Legislation, policy and guidelines</w:t>
      </w:r>
      <w:bookmarkEnd w:id="14"/>
      <w:bookmarkEnd w:id="15"/>
    </w:p>
    <w:p w14:paraId="1DEA9973" w14:textId="52B90397" w:rsidR="00B241C2" w:rsidRDefault="002B47F4" w:rsidP="00B241C2">
      <w:pPr>
        <w:pStyle w:val="BodyText"/>
      </w:pPr>
      <w:r>
        <w:t>T</w:t>
      </w:r>
      <w:r w:rsidR="00B241C2" w:rsidRPr="008A4608">
        <w:t xml:space="preserve">he project air quality assessment was undertaken during the transitional phase between the introduction of the new </w:t>
      </w:r>
      <w:r w:rsidR="00B241C2" w:rsidRPr="008A4608">
        <w:rPr>
          <w:i/>
        </w:rPr>
        <w:t>Environment Protection Act 2017</w:t>
      </w:r>
      <w:r w:rsidR="00B241C2" w:rsidRPr="008A4608">
        <w:t xml:space="preserve"> (and Environment Reference Standard) on 1 July 2021 and replacement of the former </w:t>
      </w:r>
      <w:r w:rsidR="00B241C2" w:rsidRPr="008A4608">
        <w:rPr>
          <w:i/>
        </w:rPr>
        <w:t xml:space="preserve">Environment Protection Act 1970 </w:t>
      </w:r>
      <w:r w:rsidR="00B241C2" w:rsidRPr="008A4608">
        <w:t>(and State Environment Protection Policies). EPA Victoria’s new</w:t>
      </w:r>
      <w:r w:rsidR="00283F74">
        <w:t xml:space="preserve"> </w:t>
      </w:r>
      <w:r w:rsidR="00B241C2" w:rsidRPr="008A4608">
        <w:t xml:space="preserve">Publication 1961: </w:t>
      </w:r>
      <w:r w:rsidR="00B241C2" w:rsidRPr="008A4608">
        <w:rPr>
          <w:i/>
        </w:rPr>
        <w:t xml:space="preserve">Guideline for assessing and minimising air pollution in Victoria </w:t>
      </w:r>
      <w:r w:rsidR="00B241C2" w:rsidRPr="008A4608">
        <w:t>was also considered in the assessment, which form</w:t>
      </w:r>
      <w:r w:rsidR="00E25B40">
        <w:t>s</w:t>
      </w:r>
      <w:r w:rsidR="00B241C2" w:rsidRPr="008A4608">
        <w:t xml:space="preserve"> a key component of the new legislation. The air quality standards for the project air quality assessment were informed by the legislation that was existing at the time (prior to July 1 2021, and the new legislation that came into effect from July 1 2021), with the lowest (most conservative) assessment standards adopted as the ‘project standard’.</w:t>
      </w:r>
    </w:p>
    <w:p w14:paraId="38B53796" w14:textId="19906F4F" w:rsidR="00B241C2" w:rsidRPr="00B241C2" w:rsidRDefault="00DA5B8D" w:rsidP="00B241C2">
      <w:r w:rsidRPr="008A4608">
        <w:rPr>
          <w:noProof/>
        </w:rPr>
        <mc:AlternateContent>
          <mc:Choice Requires="wps">
            <w:drawing>
              <wp:inline distT="0" distB="0" distL="0" distR="0" wp14:anchorId="1E874939" wp14:editId="64E30367">
                <wp:extent cx="5759450" cy="2819400"/>
                <wp:effectExtent l="0" t="0" r="12700" b="19050"/>
                <wp:docPr id="23" name="Rectangle: Rounded Corners 23" descr="Air pollutants &#10;Total Suspended Particulates: mass concentration of particulate matter comprising particles with diameters less than or equal to approximately 50 microns.&#10;Respirable crystalline silica: created during activities such as cutting, grinding, and drilling of materials such as stone, rock, concrete and mortar that contain silica. Respirable crystalline silica is able enter to lungs and can cause lung damage. &#10;Particulate Matter (PM): PM10 are particles with diameters less than or equal to 10 microns that, when inhaled, can enter the lungs. PM10 particles are generated by combustion and non-combustion processes.&#10;Smaller than PM10 particles are those with diameters less than or equal to 2.5 microns (referred to as PM2.5). These particles, typically generated by combustion processes, can pass from the lungs into the bloodstream. Both PM10 and PM2.5 can cause negative health effects when exposed to them over long periods of time."/>
                <wp:cNvGraphicFramePr/>
                <a:graphic xmlns:a="http://schemas.openxmlformats.org/drawingml/2006/main">
                  <a:graphicData uri="http://schemas.microsoft.com/office/word/2010/wordprocessingShape">
                    <wps:wsp>
                      <wps:cNvSpPr/>
                      <wps:spPr>
                        <a:xfrm>
                          <a:off x="0" y="0"/>
                          <a:ext cx="5759450" cy="2819400"/>
                        </a:xfrm>
                        <a:prstGeom prst="roundRect">
                          <a:avLst/>
                        </a:prstGeom>
                        <a:solidFill>
                          <a:schemeClr val="tx2">
                            <a:lumMod val="10000"/>
                            <a:lumOff val="9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583E939" w14:textId="77777777" w:rsidR="00DA5B8D" w:rsidRDefault="00DA5B8D" w:rsidP="00DA5B8D">
                            <w:pPr>
                              <w:pStyle w:val="PullOutBoxHeading"/>
                            </w:pPr>
                            <w:r>
                              <w:t xml:space="preserve">Air pollutants </w:t>
                            </w:r>
                          </w:p>
                          <w:p w14:paraId="0096E13D" w14:textId="77777777" w:rsidR="00DA5B8D" w:rsidRPr="00207DBC" w:rsidRDefault="00DA5B8D" w:rsidP="00DA5B8D">
                            <w:pPr>
                              <w:pStyle w:val="PullOutBoxText"/>
                              <w:rPr>
                                <w:b/>
                                <w:bCs/>
                              </w:rPr>
                            </w:pPr>
                            <w:r w:rsidRPr="00207DBC">
                              <w:rPr>
                                <w:b/>
                                <w:bCs/>
                              </w:rPr>
                              <w:t xml:space="preserve">Total Suspended Particulates: </w:t>
                            </w:r>
                            <w:r w:rsidRPr="007E5891">
                              <w:t>mass concentration of particulate matter comprising</w:t>
                            </w:r>
                            <w:r>
                              <w:rPr>
                                <w:b/>
                                <w:bCs/>
                              </w:rPr>
                              <w:t xml:space="preserve"> </w:t>
                            </w:r>
                            <w:r w:rsidRPr="00207DBC">
                              <w:t>particles with diameters less than or equal to approximately 50 microns.</w:t>
                            </w:r>
                          </w:p>
                          <w:p w14:paraId="374B971C" w14:textId="77777777" w:rsidR="00DA5B8D" w:rsidRPr="00207DBC" w:rsidRDefault="00DA5B8D" w:rsidP="00DA5B8D">
                            <w:pPr>
                              <w:pStyle w:val="PullOutBoxText"/>
                              <w:rPr>
                                <w:b/>
                                <w:bCs/>
                              </w:rPr>
                            </w:pPr>
                            <w:r w:rsidRPr="00207DBC">
                              <w:rPr>
                                <w:b/>
                                <w:bCs/>
                              </w:rPr>
                              <w:t>Respirable crystalline silica:</w:t>
                            </w:r>
                            <w:r>
                              <w:rPr>
                                <w:b/>
                                <w:bCs/>
                              </w:rPr>
                              <w:t xml:space="preserve"> </w:t>
                            </w:r>
                            <w:r w:rsidRPr="00207DBC">
                              <w:t>created during activities such as cutting, grinding, and drilling of materials such as stone, rock, concrete and mortar that contain silica.</w:t>
                            </w:r>
                            <w:r w:rsidRPr="00207DBC">
                              <w:rPr>
                                <w:b/>
                                <w:bCs/>
                              </w:rPr>
                              <w:t xml:space="preserve"> </w:t>
                            </w:r>
                            <w:r w:rsidRPr="00207DBC">
                              <w:t>Respirable crystalline silica is able enter to lungs and can cause lung damage.</w:t>
                            </w:r>
                            <w:r w:rsidRPr="00207DBC">
                              <w:rPr>
                                <w:b/>
                                <w:bCs/>
                              </w:rPr>
                              <w:t xml:space="preserve"> </w:t>
                            </w:r>
                          </w:p>
                          <w:p w14:paraId="69F0DE9E" w14:textId="77777777" w:rsidR="00DA5B8D" w:rsidRDefault="00DA5B8D" w:rsidP="00DA5B8D">
                            <w:pPr>
                              <w:pStyle w:val="PullOutBoxText"/>
                            </w:pPr>
                            <w:r w:rsidRPr="00207DBC">
                              <w:rPr>
                                <w:b/>
                                <w:bCs/>
                              </w:rPr>
                              <w:t xml:space="preserve">Particulate Matter (PM): </w:t>
                            </w:r>
                            <w:r w:rsidRPr="00D40CA1">
                              <w:t>PM</w:t>
                            </w:r>
                            <w:r w:rsidRPr="00D40CA1">
                              <w:rPr>
                                <w:vertAlign w:val="subscript"/>
                              </w:rPr>
                              <w:t>10</w:t>
                            </w:r>
                            <w:r w:rsidRPr="00D40CA1">
                              <w:t xml:space="preserve"> are</w:t>
                            </w:r>
                            <w:r w:rsidRPr="00207DBC">
                              <w:t xml:space="preserve"> particles with diameters less than or equal to 10 microns that, when inhaled, can enter the lungs. PM</w:t>
                            </w:r>
                            <w:r w:rsidRPr="00207DBC">
                              <w:rPr>
                                <w:vertAlign w:val="subscript"/>
                              </w:rPr>
                              <w:t>10</w:t>
                            </w:r>
                            <w:r w:rsidRPr="00207DBC">
                              <w:t xml:space="preserve"> particles are generated by combustion and non-combustion processes.</w:t>
                            </w:r>
                          </w:p>
                          <w:p w14:paraId="589949B6" w14:textId="77777777" w:rsidR="00DA5B8D" w:rsidRPr="001A35A2" w:rsidRDefault="00DA5B8D" w:rsidP="00DA5B8D">
                            <w:pPr>
                              <w:pStyle w:val="PullOutBoxText"/>
                            </w:pPr>
                            <w:r w:rsidRPr="00AE369C">
                              <w:t xml:space="preserve">Smaller than </w:t>
                            </w:r>
                            <w:r w:rsidRPr="00207DBC">
                              <w:t>PM</w:t>
                            </w:r>
                            <w:r w:rsidRPr="00207DBC">
                              <w:rPr>
                                <w:vertAlign w:val="subscript"/>
                              </w:rPr>
                              <w:t>10</w:t>
                            </w:r>
                            <w:r w:rsidRPr="00AE369C">
                              <w:t xml:space="preserve"> particles are those with diameters less than or equal to 2.5 microns (referred to as </w:t>
                            </w:r>
                            <w:r w:rsidRPr="00D40CA1">
                              <w:t>PM</w:t>
                            </w:r>
                            <w:r w:rsidRPr="00D40CA1">
                              <w:rPr>
                                <w:vertAlign w:val="subscript"/>
                              </w:rPr>
                              <w:t>2.5</w:t>
                            </w:r>
                            <w:r w:rsidRPr="00AE369C">
                              <w:t>). These particles</w:t>
                            </w:r>
                            <w:r>
                              <w:t>, typically generated by combustion processes,</w:t>
                            </w:r>
                            <w:r w:rsidRPr="00AE369C">
                              <w:t xml:space="preserve"> can pass from the lungs into the bloodstream. Both </w:t>
                            </w:r>
                            <w:r w:rsidRPr="00207DBC">
                              <w:t>PM</w:t>
                            </w:r>
                            <w:r w:rsidRPr="00207DBC">
                              <w:rPr>
                                <w:vertAlign w:val="subscript"/>
                              </w:rPr>
                              <w:t>10</w:t>
                            </w:r>
                            <w:r>
                              <w:rPr>
                                <w:vertAlign w:val="subscript"/>
                              </w:rPr>
                              <w:t xml:space="preserve"> </w:t>
                            </w:r>
                            <w:r w:rsidRPr="00207DBC">
                              <w:t>and PM</w:t>
                            </w:r>
                            <w:r>
                              <w:rPr>
                                <w:vertAlign w:val="subscript"/>
                              </w:rPr>
                              <w:t xml:space="preserve">2.5 </w:t>
                            </w:r>
                            <w:r w:rsidRPr="00AE369C">
                              <w:t>can cause negative health effects when exposed</w:t>
                            </w:r>
                            <w:r>
                              <w:t xml:space="preserve"> to them</w:t>
                            </w:r>
                            <w:r w:rsidRPr="00AE369C">
                              <w:t xml:space="preserve"> over long periods of 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E874939" id="Rectangle: Rounded Corners 23" o:spid="_x0000_s1027" alt="Air pollutants &#10;Total Suspended Particulates: mass concentration of particulate matter comprising particles with diameters less than or equal to approximately 50 microns.&#10;Respirable crystalline silica: created during activities such as cutting, grinding, and drilling of materials such as stone, rock, concrete and mortar that contain silica. Respirable crystalline silica is able enter to lungs and can cause lung damage. &#10;Particulate Matter (PM): PM10 are particles with diameters less than or equal to 10 microns that, when inhaled, can enter the lungs. PM10 particles are generated by combustion and non-combustion processes.&#10;Smaller than PM10 particles are those with diameters less than or equal to 2.5 microns (referred to as PM2.5). These particles, typically generated by combustion processes, can pass from the lungs into the bloodstream. Both PM10 and PM2.5 can cause negative health effects when exposed to them over long periods of time." style="width:453.5pt;height:22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" fillcolor="#e3eaf1 [351]" strokecolor="#6a6d68 [1604]" strokeweight="1pt">
                <v:stroke joinstyle="miter"/>
                <v:textbox>
                  <w:txbxContent>
                    <w:p w14:paraId="1583E939" w14:textId="77777777" w:rsidR="00DA5B8D" w:rsidRDefault="00DA5B8D" w:rsidP="00DA5B8D">
                      <w:pPr>
                        <w:pStyle w:val="PullOutBoxHeading"/>
                      </w:pPr>
                      <w:r>
                        <w:t xml:space="preserve">Air pollutants </w:t>
                      </w:r>
                    </w:p>
                    <w:p w14:paraId="0096E13D" w14:textId="77777777" w:rsidR="00DA5B8D" w:rsidRPr="00207DBC" w:rsidRDefault="00DA5B8D" w:rsidP="00DA5B8D">
                      <w:pPr>
                        <w:pStyle w:val="PullOutBoxText"/>
                        <w:rPr>
                          <w:b/>
                          <w:bCs/>
                        </w:rPr>
                      </w:pPr>
                      <w:r w:rsidRPr="00207DBC">
                        <w:rPr>
                          <w:b/>
                          <w:bCs/>
                        </w:rPr>
                        <w:t xml:space="preserve">Total Suspended Particulates: </w:t>
                      </w:r>
                      <w:r w:rsidRPr="007E5891">
                        <w:t>mass concentration of particulate matter comprising</w:t>
                      </w:r>
                      <w:r>
                        <w:rPr>
                          <w:b/>
                          <w:bCs/>
                        </w:rPr>
                        <w:t xml:space="preserve"> </w:t>
                      </w:r>
                      <w:r w:rsidRPr="00207DBC">
                        <w:t>particles with diameters less than or equal to approximately 50 microns.</w:t>
                      </w:r>
                    </w:p>
                    <w:p w14:paraId="374B971C" w14:textId="77777777" w:rsidR="00DA5B8D" w:rsidRPr="00207DBC" w:rsidRDefault="00DA5B8D" w:rsidP="00DA5B8D">
                      <w:pPr>
                        <w:pStyle w:val="PullOutBoxText"/>
                        <w:rPr>
                          <w:b/>
                          <w:bCs/>
                        </w:rPr>
                      </w:pPr>
                      <w:r w:rsidRPr="00207DBC">
                        <w:rPr>
                          <w:b/>
                          <w:bCs/>
                        </w:rPr>
                        <w:t>Respirable crystalline silica:</w:t>
                      </w:r>
                      <w:r>
                        <w:rPr>
                          <w:b/>
                          <w:bCs/>
                        </w:rPr>
                        <w:t xml:space="preserve"> </w:t>
                      </w:r>
                      <w:r w:rsidRPr="00207DBC">
                        <w:t>created during activities such as cutting, grinding, and drilling of materials such as stone, rock, concrete and mortar that contain silica.</w:t>
                      </w:r>
                      <w:r w:rsidRPr="00207DBC">
                        <w:rPr>
                          <w:b/>
                          <w:bCs/>
                        </w:rPr>
                        <w:t xml:space="preserve"> </w:t>
                      </w:r>
                      <w:r w:rsidRPr="00207DBC">
                        <w:t>Respirable crystalline silica is able enter to lungs and can cause lung damage.</w:t>
                      </w:r>
                      <w:r w:rsidRPr="00207DBC">
                        <w:rPr>
                          <w:b/>
                          <w:bCs/>
                        </w:rPr>
                        <w:t xml:space="preserve"> </w:t>
                      </w:r>
                    </w:p>
                    <w:p w14:paraId="69F0DE9E" w14:textId="77777777" w:rsidR="00DA5B8D" w:rsidRDefault="00DA5B8D" w:rsidP="00DA5B8D">
                      <w:pPr>
                        <w:pStyle w:val="PullOutBoxText"/>
                      </w:pPr>
                      <w:r w:rsidRPr="00207DBC">
                        <w:rPr>
                          <w:b/>
                          <w:bCs/>
                        </w:rPr>
                        <w:t xml:space="preserve">Particulate Matter (PM): </w:t>
                      </w:r>
                      <w:r w:rsidRPr="00D40CA1">
                        <w:t>PM</w:t>
                      </w:r>
                      <w:r w:rsidRPr="00D40CA1">
                        <w:rPr>
                          <w:vertAlign w:val="subscript"/>
                        </w:rPr>
                        <w:t>10</w:t>
                      </w:r>
                      <w:r w:rsidRPr="00D40CA1">
                        <w:t xml:space="preserve"> are</w:t>
                      </w:r>
                      <w:r w:rsidRPr="00207DBC">
                        <w:t xml:space="preserve"> particles with diameters less than or equal to 10 microns that, when inhaled, can enter the lungs. PM</w:t>
                      </w:r>
                      <w:r w:rsidRPr="00207DBC">
                        <w:rPr>
                          <w:vertAlign w:val="subscript"/>
                        </w:rPr>
                        <w:t>10</w:t>
                      </w:r>
                      <w:r w:rsidRPr="00207DBC">
                        <w:t xml:space="preserve"> particles are generated by combustion and non-combustion processes.</w:t>
                      </w:r>
                    </w:p>
                    <w:p w14:paraId="589949B6" w14:textId="77777777" w:rsidR="00DA5B8D" w:rsidRPr="001A35A2" w:rsidRDefault="00DA5B8D" w:rsidP="00DA5B8D">
                      <w:pPr>
                        <w:pStyle w:val="PullOutBoxText"/>
                      </w:pPr>
                      <w:r w:rsidRPr="00AE369C">
                        <w:t xml:space="preserve">Smaller than </w:t>
                      </w:r>
                      <w:r w:rsidRPr="00207DBC">
                        <w:t>PM</w:t>
                      </w:r>
                      <w:r w:rsidRPr="00207DBC">
                        <w:rPr>
                          <w:vertAlign w:val="subscript"/>
                        </w:rPr>
                        <w:t>10</w:t>
                      </w:r>
                      <w:r w:rsidRPr="00AE369C">
                        <w:t xml:space="preserve"> particles are those with diameters less than or equal to 2.5 microns (referred to as </w:t>
                      </w:r>
                      <w:r w:rsidRPr="00D40CA1">
                        <w:t>PM</w:t>
                      </w:r>
                      <w:r w:rsidRPr="00D40CA1">
                        <w:rPr>
                          <w:vertAlign w:val="subscript"/>
                        </w:rPr>
                        <w:t>2.5</w:t>
                      </w:r>
                      <w:r w:rsidRPr="00AE369C">
                        <w:t>). These particles</w:t>
                      </w:r>
                      <w:r>
                        <w:t>, typically generated by combustion processes,</w:t>
                      </w:r>
                      <w:r w:rsidRPr="00AE369C">
                        <w:t xml:space="preserve"> can pass from the lungs into the bloodstream. Both </w:t>
                      </w:r>
                      <w:r w:rsidRPr="00207DBC">
                        <w:t>PM</w:t>
                      </w:r>
                      <w:r w:rsidRPr="00207DBC">
                        <w:rPr>
                          <w:vertAlign w:val="subscript"/>
                        </w:rPr>
                        <w:t>10</w:t>
                      </w:r>
                      <w:r>
                        <w:rPr>
                          <w:vertAlign w:val="subscript"/>
                        </w:rPr>
                        <w:t xml:space="preserve"> </w:t>
                      </w:r>
                      <w:r w:rsidRPr="00207DBC">
                        <w:t>and PM</w:t>
                      </w:r>
                      <w:r>
                        <w:rPr>
                          <w:vertAlign w:val="subscript"/>
                        </w:rPr>
                        <w:t xml:space="preserve">2.5 </w:t>
                      </w:r>
                      <w:r w:rsidRPr="00AE369C">
                        <w:t>can cause negative health effects when exposed</w:t>
                      </w:r>
                      <w:r>
                        <w:t xml:space="preserve"> to them</w:t>
                      </w:r>
                      <w:r w:rsidRPr="00AE369C">
                        <w:t xml:space="preserve"> over long periods of time.</w:t>
                      </w:r>
                    </w:p>
                  </w:txbxContent>
                </v:textbox>
                <w10:anchorlock/>
              </v:roundrect>
            </w:pict>
          </mc:Fallback>
        </mc:AlternateContent>
      </w:r>
    </w:p>
    <w:p w14:paraId="084A507F" w14:textId="79288601" w:rsidR="00B241C2" w:rsidRDefault="00B241C2" w:rsidP="009056B9">
      <w:pPr>
        <w:pStyle w:val="BodyText"/>
        <w:keepNext/>
      </w:pPr>
      <w:r w:rsidRPr="008A4608">
        <w:lastRenderedPageBreak/>
        <w:t xml:space="preserve">Key legislation, </w:t>
      </w:r>
      <w:proofErr w:type="gramStart"/>
      <w:r w:rsidRPr="008A4608">
        <w:t>policies</w:t>
      </w:r>
      <w:proofErr w:type="gramEnd"/>
      <w:r w:rsidRPr="008A4608">
        <w:t xml:space="preserve"> and guidelines relevant to air quality for the project are summarised in</w:t>
      </w:r>
      <w:r>
        <w:t xml:space="preserve"> </w:t>
      </w:r>
      <w:r>
        <w:fldChar w:fldCharType="begin"/>
      </w:r>
      <w:r>
        <w:instrText xml:space="preserve"> REF _Ref86053634 \h </w:instrText>
      </w:r>
      <w:r>
        <w:fldChar w:fldCharType="separate"/>
      </w:r>
      <w:r w:rsidR="009056B9" w:rsidRPr="00B241C2">
        <w:t xml:space="preserve">Table </w:t>
      </w:r>
      <w:r w:rsidR="009056B9">
        <w:rPr>
          <w:noProof/>
        </w:rPr>
        <w:t>20</w:t>
      </w:r>
      <w:r w:rsidR="009056B9" w:rsidRPr="00B241C2">
        <w:t>.</w:t>
      </w:r>
      <w:r w:rsidR="009056B9">
        <w:rPr>
          <w:noProof/>
        </w:rPr>
        <w:t>2</w:t>
      </w:r>
      <w:r>
        <w:fldChar w:fldCharType="end"/>
      </w:r>
      <w:r>
        <w:t>.</w:t>
      </w:r>
    </w:p>
    <w:p w14:paraId="592D3708" w14:textId="01DB8612" w:rsidR="00B241C2" w:rsidRPr="00B241C2" w:rsidRDefault="00B241C2" w:rsidP="00B241C2">
      <w:pPr>
        <w:pStyle w:val="Caption"/>
      </w:pPr>
      <w:bookmarkStart w:id="16" w:name="_Ref74321191"/>
      <w:bookmarkStart w:id="17" w:name="_Ref86053634"/>
      <w:bookmarkStart w:id="18" w:name="_Toc84595786"/>
      <w:bookmarkStart w:id="19" w:name="_Toc105144193"/>
      <w:r w:rsidRPr="00B241C2">
        <w:t xml:space="preserve">Table </w:t>
      </w:r>
      <w:fldSimple w:instr=" STYLEREF 1 \s ">
        <w:r w:rsidR="009056B9">
          <w:rPr>
            <w:noProof/>
          </w:rPr>
          <w:t>20</w:t>
        </w:r>
      </w:fldSimple>
      <w:r w:rsidRPr="00B241C2">
        <w:t>.</w:t>
      </w:r>
      <w:fldSimple w:instr=" SEQ Table \* ARABIC \s 1 ">
        <w:r w:rsidR="009056B9">
          <w:rPr>
            <w:noProof/>
          </w:rPr>
          <w:t>2</w:t>
        </w:r>
      </w:fldSimple>
      <w:bookmarkEnd w:id="16"/>
      <w:bookmarkEnd w:id="17"/>
      <w:r w:rsidRPr="00B241C2">
        <w:tab/>
        <w:t>Relevant legislation and guidelines</w:t>
      </w:r>
      <w:bookmarkEnd w:id="18"/>
      <w:bookmarkEnd w:id="19"/>
    </w:p>
    <w:tbl>
      <w:tblPr>
        <w:tblStyle w:val="Table1"/>
        <w:tblW w:w="5000" w:type="pct"/>
        <w:tblLook w:val="0420" w:firstRow="1" w:lastRow="0" w:firstColumn="0" w:lastColumn="0" w:noHBand="0" w:noVBand="1"/>
      </w:tblPr>
      <w:tblGrid>
        <w:gridCol w:w="1848"/>
        <w:gridCol w:w="3113"/>
        <w:gridCol w:w="4109"/>
      </w:tblGrid>
      <w:tr w:rsidR="00B241C2" w:rsidRPr="008A4608" w14:paraId="29D4BA18" w14:textId="77777777" w:rsidTr="005D0DF3">
        <w:trPr>
          <w:cnfStyle w:val="100000000000" w:firstRow="1" w:lastRow="0" w:firstColumn="0" w:lastColumn="0" w:oddVBand="0" w:evenVBand="0" w:oddHBand="0" w:evenHBand="0" w:firstRowFirstColumn="0" w:firstRowLastColumn="0" w:lastRowFirstColumn="0" w:lastRowLastColumn="0"/>
          <w:cantSplit/>
          <w:tblHeader/>
        </w:trPr>
        <w:tc>
          <w:tcPr>
            <w:tcW w:w="1019" w:type="pct"/>
            <w:hideMark/>
          </w:tcPr>
          <w:p w14:paraId="36A50D84" w14:textId="3DA80A4F" w:rsidR="00B241C2" w:rsidRPr="008A4608" w:rsidRDefault="00B241C2" w:rsidP="002C53C9">
            <w:pPr>
              <w:pStyle w:val="TableHeading"/>
            </w:pPr>
            <w:r w:rsidRPr="008A4608">
              <w:t>Legislation/ guideline</w:t>
            </w:r>
          </w:p>
        </w:tc>
        <w:tc>
          <w:tcPr>
            <w:tcW w:w="1716" w:type="pct"/>
            <w:hideMark/>
          </w:tcPr>
          <w:p w14:paraId="75045219" w14:textId="77777777" w:rsidR="00B241C2" w:rsidRPr="008A4608" w:rsidRDefault="00B241C2" w:rsidP="002C53C9">
            <w:pPr>
              <w:pStyle w:val="TableHeading"/>
            </w:pPr>
            <w:r w:rsidRPr="008A4608">
              <w:t>Description</w:t>
            </w:r>
          </w:p>
        </w:tc>
        <w:tc>
          <w:tcPr>
            <w:tcW w:w="2265" w:type="pct"/>
            <w:hideMark/>
          </w:tcPr>
          <w:p w14:paraId="41CE7E6C" w14:textId="77777777" w:rsidR="00B241C2" w:rsidRPr="008A4608" w:rsidRDefault="00B241C2" w:rsidP="002C53C9">
            <w:pPr>
              <w:pStyle w:val="TableHeading"/>
            </w:pPr>
            <w:r w:rsidRPr="008A4608">
              <w:t>Relevance to project</w:t>
            </w:r>
          </w:p>
        </w:tc>
      </w:tr>
      <w:tr w:rsidR="00B241C2" w:rsidRPr="00B241C2" w14:paraId="0BF55869" w14:textId="77777777" w:rsidTr="00B241C2">
        <w:trPr>
          <w:cantSplit/>
        </w:trPr>
        <w:tc>
          <w:tcPr>
            <w:tcW w:w="5000" w:type="pct"/>
            <w:gridSpan w:val="3"/>
            <w:shd w:val="clear" w:color="auto" w:fill="E6EFE1"/>
          </w:tcPr>
          <w:p w14:paraId="60F401C9" w14:textId="77777777" w:rsidR="00B241C2" w:rsidRPr="00B241C2" w:rsidRDefault="00B241C2" w:rsidP="002C53C9">
            <w:pPr>
              <w:pStyle w:val="TableText"/>
              <w:rPr>
                <w:b/>
                <w:iCs/>
              </w:rPr>
            </w:pPr>
            <w:r w:rsidRPr="00B241C2">
              <w:rPr>
                <w:b/>
                <w:iCs/>
              </w:rPr>
              <w:t>Commonwealth</w:t>
            </w:r>
          </w:p>
        </w:tc>
      </w:tr>
      <w:tr w:rsidR="00B241C2" w:rsidRPr="008A4608" w14:paraId="6FA6E47E" w14:textId="77777777" w:rsidTr="005D0DF3">
        <w:trPr>
          <w:cantSplit/>
        </w:trPr>
        <w:tc>
          <w:tcPr>
            <w:tcW w:w="1019" w:type="pct"/>
          </w:tcPr>
          <w:p w14:paraId="5E4D6632" w14:textId="77777777" w:rsidR="00B241C2" w:rsidRPr="008A4608" w:rsidRDefault="00B241C2" w:rsidP="002C53C9">
            <w:pPr>
              <w:pStyle w:val="TableText"/>
            </w:pPr>
            <w:r w:rsidRPr="008A4608">
              <w:t>National Environmental Protection (Ambient Air Quality) Measure</w:t>
            </w:r>
          </w:p>
        </w:tc>
        <w:tc>
          <w:tcPr>
            <w:tcW w:w="1716" w:type="pct"/>
          </w:tcPr>
          <w:p w14:paraId="5A5672E4" w14:textId="77777777" w:rsidR="00B241C2" w:rsidRPr="008A4608" w:rsidRDefault="00B241C2" w:rsidP="002C53C9">
            <w:pPr>
              <w:pStyle w:val="TableText"/>
              <w:rPr>
                <w:highlight w:val="yellow"/>
              </w:rPr>
            </w:pPr>
            <w:r w:rsidRPr="008A4608">
              <w:t xml:space="preserve">The National Environment Protection (Ambient Air Quality) Measure provides a national framework for monitoring and reporting of ambient air quality. This is achieved through the establishment of air quality standards for measuring six common pollutants. </w:t>
            </w:r>
          </w:p>
        </w:tc>
        <w:tc>
          <w:tcPr>
            <w:tcW w:w="2265" w:type="pct"/>
          </w:tcPr>
          <w:p w14:paraId="440785DA" w14:textId="1B6CD67C" w:rsidR="00B241C2" w:rsidRPr="008A4608" w:rsidRDefault="00B241C2" w:rsidP="009056B9">
            <w:pPr>
              <w:pStyle w:val="TableText"/>
              <w:rPr>
                <w:highlight w:val="yellow"/>
              </w:rPr>
            </w:pPr>
            <w:r w:rsidRPr="008A4608">
              <w:t>Key air pollutants relevant to the project include carbon monoxide, sulphur dioxide, nitrogen oxides, and particulates PM</w:t>
            </w:r>
            <w:r w:rsidRPr="008A4608">
              <w:rPr>
                <w:vertAlign w:val="subscript"/>
              </w:rPr>
              <w:t>10</w:t>
            </w:r>
            <w:r w:rsidRPr="008A4608">
              <w:t xml:space="preserve"> and PM</w:t>
            </w:r>
            <w:r w:rsidRPr="008A4608">
              <w:rPr>
                <w:vertAlign w:val="subscript"/>
              </w:rPr>
              <w:t>2.5</w:t>
            </w:r>
            <w:r w:rsidRPr="008A4608">
              <w:t>.</w:t>
            </w:r>
          </w:p>
        </w:tc>
      </w:tr>
      <w:tr w:rsidR="00B241C2" w:rsidRPr="008A4608" w14:paraId="72D25305" w14:textId="77777777" w:rsidTr="005D0DF3">
        <w:trPr>
          <w:cantSplit/>
        </w:trPr>
        <w:tc>
          <w:tcPr>
            <w:tcW w:w="1019" w:type="pct"/>
          </w:tcPr>
          <w:p w14:paraId="7098AFFB" w14:textId="77777777" w:rsidR="00B241C2" w:rsidRPr="008A4608" w:rsidRDefault="00B241C2" w:rsidP="002C53C9">
            <w:pPr>
              <w:pStyle w:val="TableText"/>
            </w:pPr>
            <w:r w:rsidRPr="008A4608">
              <w:t xml:space="preserve">National Pollutant Inventory, Department of Sustainability, Environment, Water, Population and Communities (2012) </w:t>
            </w:r>
            <w:r w:rsidRPr="008A4608">
              <w:rPr>
                <w:i/>
              </w:rPr>
              <w:t>Emission Estimation Technique Manual for Mining</w:t>
            </w:r>
          </w:p>
        </w:tc>
        <w:tc>
          <w:tcPr>
            <w:tcW w:w="1716" w:type="pct"/>
          </w:tcPr>
          <w:p w14:paraId="2CA413EA" w14:textId="77777777" w:rsidR="00B241C2" w:rsidRPr="008A4608" w:rsidRDefault="00B241C2" w:rsidP="002C53C9">
            <w:pPr>
              <w:pStyle w:val="TableText"/>
            </w:pPr>
            <w:r w:rsidRPr="008A4608">
              <w:t xml:space="preserve">The National Pollutant Inventory (2012) </w:t>
            </w:r>
            <w:r w:rsidRPr="008A4608">
              <w:rPr>
                <w:i/>
              </w:rPr>
              <w:t>Emission Estimation Technique Manual for Mining</w:t>
            </w:r>
            <w:r w:rsidRPr="008A4608">
              <w:t xml:space="preserve"> outlines procedures and recommended approaches for estimating emissions from facilities involved in mining of coal and metallic minerals, as well as dust control techniques.</w:t>
            </w:r>
          </w:p>
        </w:tc>
        <w:tc>
          <w:tcPr>
            <w:tcW w:w="2265" w:type="pct"/>
          </w:tcPr>
          <w:p w14:paraId="2D9CC8DB" w14:textId="77777777" w:rsidR="00B241C2" w:rsidRPr="008A4608" w:rsidRDefault="00B241C2" w:rsidP="002C53C9">
            <w:pPr>
              <w:pStyle w:val="TableText"/>
            </w:pPr>
            <w:r w:rsidRPr="008A4608">
              <w:t xml:space="preserve">Dust emissions were estimated considering emission factors published in the </w:t>
            </w:r>
            <w:r w:rsidRPr="008A4608">
              <w:rPr>
                <w:i/>
              </w:rPr>
              <w:t>Emission Estimation Technique Manual for Mining</w:t>
            </w:r>
            <w:r w:rsidRPr="008A4608">
              <w:t>.</w:t>
            </w:r>
          </w:p>
        </w:tc>
      </w:tr>
      <w:tr w:rsidR="00B241C2" w:rsidRPr="00B241C2" w14:paraId="54444495" w14:textId="77777777" w:rsidTr="00B241C2">
        <w:trPr>
          <w:cantSplit/>
        </w:trPr>
        <w:tc>
          <w:tcPr>
            <w:tcW w:w="5000" w:type="pct"/>
            <w:gridSpan w:val="3"/>
            <w:shd w:val="clear" w:color="auto" w:fill="E6EFE1"/>
          </w:tcPr>
          <w:p w14:paraId="09C7E260" w14:textId="77777777" w:rsidR="00B241C2" w:rsidRPr="00B241C2" w:rsidRDefault="00B241C2" w:rsidP="002C53C9">
            <w:pPr>
              <w:pStyle w:val="TableText"/>
              <w:rPr>
                <w:b/>
                <w:iCs/>
              </w:rPr>
            </w:pPr>
            <w:r w:rsidRPr="00B241C2">
              <w:rPr>
                <w:b/>
                <w:iCs/>
              </w:rPr>
              <w:t>State</w:t>
            </w:r>
          </w:p>
        </w:tc>
      </w:tr>
      <w:tr w:rsidR="00B241C2" w:rsidRPr="008A4608" w14:paraId="070B20CF" w14:textId="77777777" w:rsidTr="005D0DF3">
        <w:trPr>
          <w:cantSplit/>
        </w:trPr>
        <w:tc>
          <w:tcPr>
            <w:tcW w:w="1019" w:type="pct"/>
            <w:vMerge w:val="restart"/>
          </w:tcPr>
          <w:p w14:paraId="5A07DB73" w14:textId="77777777" w:rsidR="00B241C2" w:rsidRPr="008A4608" w:rsidRDefault="00B241C2" w:rsidP="002C53C9">
            <w:pPr>
              <w:pStyle w:val="TableText"/>
            </w:pPr>
            <w:r w:rsidRPr="008A4608">
              <w:rPr>
                <w:i/>
              </w:rPr>
              <w:t xml:space="preserve">Environment Protection Act 2017 </w:t>
            </w:r>
          </w:p>
          <w:p w14:paraId="7A7AA404" w14:textId="0C4453A3" w:rsidR="00B241C2" w:rsidRPr="008A4608" w:rsidRDefault="00B241C2" w:rsidP="002C53C9">
            <w:pPr>
              <w:pStyle w:val="TableText"/>
              <w:rPr>
                <w:i/>
              </w:rPr>
            </w:pPr>
          </w:p>
        </w:tc>
        <w:tc>
          <w:tcPr>
            <w:tcW w:w="1716" w:type="pct"/>
          </w:tcPr>
          <w:p w14:paraId="4DF3141B" w14:textId="19F8B994" w:rsidR="00B241C2" w:rsidRPr="008A4608" w:rsidRDefault="00B241C2" w:rsidP="002C53C9">
            <w:pPr>
              <w:pStyle w:val="TableText"/>
            </w:pPr>
            <w:r w:rsidRPr="008A4608">
              <w:t xml:space="preserve">The </w:t>
            </w:r>
            <w:r w:rsidRPr="008A4608">
              <w:rPr>
                <w:i/>
              </w:rPr>
              <w:t>Environment Protection Act 2017</w:t>
            </w:r>
            <w:r w:rsidRPr="008A4608">
              <w:t xml:space="preserve"> establish the legislative framework for protecting the environment in Victoria. The </w:t>
            </w:r>
            <w:r w:rsidRPr="008A4608">
              <w:rPr>
                <w:i/>
              </w:rPr>
              <w:t>Environment Protection Amendment Act 2018</w:t>
            </w:r>
            <w:r w:rsidRPr="008A4608">
              <w:t xml:space="preserve"> amended the </w:t>
            </w:r>
            <w:r w:rsidRPr="008A4608">
              <w:rPr>
                <w:i/>
              </w:rPr>
              <w:t>Environment Protection Act 2017</w:t>
            </w:r>
            <w:r w:rsidRPr="008A4608">
              <w:t xml:space="preserve"> and introduced the general environmental duty.</w:t>
            </w:r>
          </w:p>
        </w:tc>
        <w:tc>
          <w:tcPr>
            <w:tcW w:w="2265" w:type="pct"/>
          </w:tcPr>
          <w:p w14:paraId="015723F5" w14:textId="3B5FDA86" w:rsidR="00B241C2" w:rsidRPr="008A4608" w:rsidRDefault="00B241C2" w:rsidP="002C53C9">
            <w:pPr>
              <w:pStyle w:val="TableText"/>
              <w:rPr>
                <w:u w:val="single"/>
              </w:rPr>
            </w:pPr>
            <w:r w:rsidRPr="008A4608">
              <w:t xml:space="preserve">The project is being developed under the </w:t>
            </w:r>
            <w:r w:rsidR="001F727C" w:rsidRPr="001F727C">
              <w:t>new environmental regulatory regim</w:t>
            </w:r>
            <w:r w:rsidR="001F727C">
              <w:t>e</w:t>
            </w:r>
            <w:r w:rsidR="00182820">
              <w:t>,</w:t>
            </w:r>
            <w:r w:rsidR="001F727C">
              <w:t xml:space="preserve"> </w:t>
            </w:r>
            <w:r w:rsidR="001F727C" w:rsidRPr="00FE6524">
              <w:t>including the</w:t>
            </w:r>
            <w:r w:rsidRPr="008A4608">
              <w:t xml:space="preserve"> general environmental duty</w:t>
            </w:r>
            <w:r w:rsidR="00182820">
              <w:t>. The project</w:t>
            </w:r>
            <w:r w:rsidRPr="008A4608">
              <w:t xml:space="preserve"> is required to demonstrate it is implementing measures so far as ‘reasonably practicable’ to meet the general environmental duty (refer to Chapter 3 – </w:t>
            </w:r>
            <w:r w:rsidRPr="00B241C2">
              <w:rPr>
                <w:i/>
                <w:iCs/>
              </w:rPr>
              <w:t>Legislation and policy framework</w:t>
            </w:r>
            <w:r w:rsidRPr="008A4608">
              <w:t>, Section</w:t>
            </w:r>
            <w:r>
              <w:t> </w:t>
            </w:r>
            <w:r w:rsidRPr="008A4608">
              <w:t>3.3.2).</w:t>
            </w:r>
          </w:p>
        </w:tc>
      </w:tr>
      <w:tr w:rsidR="00B241C2" w:rsidRPr="008A4608" w14:paraId="341756C7" w14:textId="77777777" w:rsidTr="005D0DF3">
        <w:trPr>
          <w:cantSplit/>
        </w:trPr>
        <w:tc>
          <w:tcPr>
            <w:tcW w:w="1019" w:type="pct"/>
            <w:vMerge/>
          </w:tcPr>
          <w:p w14:paraId="50F65E85" w14:textId="77777777" w:rsidR="00B241C2" w:rsidRPr="008A4608" w:rsidRDefault="00B241C2" w:rsidP="002C53C9">
            <w:pPr>
              <w:rPr>
                <w:i/>
              </w:rPr>
            </w:pPr>
          </w:p>
        </w:tc>
        <w:tc>
          <w:tcPr>
            <w:tcW w:w="1716" w:type="pct"/>
          </w:tcPr>
          <w:p w14:paraId="1694F7F0" w14:textId="77777777" w:rsidR="00B241C2" w:rsidRPr="008A4608" w:rsidRDefault="00B241C2" w:rsidP="002C53C9">
            <w:pPr>
              <w:pStyle w:val="TableText"/>
            </w:pPr>
            <w:r w:rsidRPr="008A4608">
              <w:t>State Environment Protection Policies (SEPPs)</w:t>
            </w:r>
          </w:p>
        </w:tc>
        <w:tc>
          <w:tcPr>
            <w:tcW w:w="2265" w:type="pct"/>
          </w:tcPr>
          <w:p w14:paraId="6BF86549" w14:textId="77777777" w:rsidR="00B241C2" w:rsidRPr="008A4608" w:rsidRDefault="00B241C2" w:rsidP="002C53C9">
            <w:pPr>
              <w:pStyle w:val="TableText"/>
            </w:pPr>
            <w:r w:rsidRPr="008A4608">
              <w:t>Prior to 1 July 2021, air quality in Victoria was evaluated using processes and criteria set out in Victoria’s State Environment Protection Policy (Ambient Air Quality) (SEPP (AAQ)), which sets out ambient air quality standards for ‘criteria’ air pollutants, including PM</w:t>
            </w:r>
            <w:r w:rsidRPr="008A4608">
              <w:rPr>
                <w:vertAlign w:val="subscript"/>
              </w:rPr>
              <w:t>10</w:t>
            </w:r>
            <w:r w:rsidRPr="008A4608">
              <w:t xml:space="preserve"> and PM</w:t>
            </w:r>
            <w:r w:rsidRPr="008A4608">
              <w:rPr>
                <w:vertAlign w:val="subscript"/>
              </w:rPr>
              <w:t>2.5,</w:t>
            </w:r>
            <w:r w:rsidRPr="008A4608">
              <w:t xml:space="preserve"> based on national standards of the National Environment Protection (Ambient Air Quality) Measure. The new National Environment Protection Measure was registered on 26 May 2021, but with no changes to the standards for particulate matter.</w:t>
            </w:r>
          </w:p>
          <w:p w14:paraId="33529D14" w14:textId="684E2586" w:rsidR="00B241C2" w:rsidRPr="008A4608" w:rsidRDefault="00B241C2" w:rsidP="002C53C9">
            <w:pPr>
              <w:pStyle w:val="TableText"/>
            </w:pPr>
            <w:r w:rsidRPr="008A4608">
              <w:t>The SEPP (Air Quality Management) (SEPP</w:t>
            </w:r>
            <w:r w:rsidR="009056B9">
              <w:t> </w:t>
            </w:r>
            <w:r w:rsidRPr="008A4608">
              <w:t xml:space="preserve">(AQM)) sets out design criteria for air pollutants for use in modelling assessments. This SEPP identifies beneficial uses of the air environment. </w:t>
            </w:r>
          </w:p>
          <w:p w14:paraId="0360CFFA" w14:textId="77777777" w:rsidR="00B241C2" w:rsidRPr="008A4608" w:rsidRDefault="00B241C2" w:rsidP="002C53C9">
            <w:pPr>
              <w:pStyle w:val="TableText"/>
            </w:pPr>
            <w:r w:rsidRPr="008A4608">
              <w:t xml:space="preserve">The air quality impact assessment was undertaken in accordance with SEPP (AQM). </w:t>
            </w:r>
          </w:p>
        </w:tc>
      </w:tr>
      <w:tr w:rsidR="00B241C2" w:rsidRPr="008A4608" w14:paraId="0F2006DA" w14:textId="77777777" w:rsidTr="005D0DF3">
        <w:trPr>
          <w:cantSplit/>
        </w:trPr>
        <w:tc>
          <w:tcPr>
            <w:tcW w:w="1019" w:type="pct"/>
            <w:vMerge/>
          </w:tcPr>
          <w:p w14:paraId="7E68E987" w14:textId="77777777" w:rsidR="00B241C2" w:rsidRPr="008A4608" w:rsidRDefault="00B241C2" w:rsidP="002C53C9">
            <w:pPr>
              <w:rPr>
                <w:i/>
              </w:rPr>
            </w:pPr>
          </w:p>
        </w:tc>
        <w:tc>
          <w:tcPr>
            <w:tcW w:w="1716" w:type="pct"/>
          </w:tcPr>
          <w:p w14:paraId="19D3ED10" w14:textId="49B8C3BE" w:rsidR="00B241C2" w:rsidRPr="00283F74" w:rsidRDefault="00B241C2" w:rsidP="002C53C9">
            <w:pPr>
              <w:pStyle w:val="TableText"/>
            </w:pPr>
            <w:r w:rsidRPr="00283F74">
              <w:t xml:space="preserve">Environment Reference Standard </w:t>
            </w:r>
          </w:p>
        </w:tc>
        <w:tc>
          <w:tcPr>
            <w:tcW w:w="2265" w:type="pct"/>
          </w:tcPr>
          <w:p w14:paraId="723A2C97" w14:textId="5B4CCE39" w:rsidR="00B241C2" w:rsidRPr="00283F74" w:rsidRDefault="00B241C2" w:rsidP="002C53C9">
            <w:pPr>
              <w:pStyle w:val="TableText"/>
            </w:pPr>
            <w:r w:rsidRPr="00283F74">
              <w:t xml:space="preserve">The Environment Reference Standard, made under the </w:t>
            </w:r>
            <w:r w:rsidRPr="00283F74">
              <w:rPr>
                <w:i/>
              </w:rPr>
              <w:t>Environment Protection Act 2017</w:t>
            </w:r>
            <w:r w:rsidRPr="00283F74">
              <w:t xml:space="preserve">, identifies environmental values to be achieved and maintained, and how these values are to be assessed. The Environment Reference Standard is comprised of many ‘reference standards’, including several for the ambient air environment (Part 2 of the Environment Reference Standard). </w:t>
            </w:r>
          </w:p>
          <w:p w14:paraId="3CCD9C62" w14:textId="40BF36E8" w:rsidR="00B241C2" w:rsidRPr="00283F74" w:rsidRDefault="00B241C2" w:rsidP="002C53C9">
            <w:pPr>
              <w:pStyle w:val="TableText"/>
            </w:pPr>
            <w:r w:rsidRPr="00283F74">
              <w:t xml:space="preserve">The Environment Reference Standard, combined with EPA Victoria Publication 1961: </w:t>
            </w:r>
            <w:r w:rsidRPr="00283F74">
              <w:rPr>
                <w:i/>
              </w:rPr>
              <w:t>Guideline for assessing and minimising air pollution in Victoria</w:t>
            </w:r>
            <w:r w:rsidRPr="00283F74">
              <w:t xml:space="preserve"> has replaced the SEPP (AQM) and generally adopts the objectives in the National Environmental Protection (Ambient Air Quality) Measure, with some modifications. </w:t>
            </w:r>
          </w:p>
          <w:p w14:paraId="78F5F760" w14:textId="501ED82E" w:rsidR="00B241C2" w:rsidRPr="003154B2" w:rsidRDefault="00B241C2" w:rsidP="002C53C9">
            <w:pPr>
              <w:pStyle w:val="TableText"/>
            </w:pPr>
            <w:r w:rsidRPr="00283F74">
              <w:t xml:space="preserve">The project design and construction </w:t>
            </w:r>
            <w:r w:rsidR="00F912F2" w:rsidRPr="00283F74">
              <w:t>would</w:t>
            </w:r>
            <w:r w:rsidRPr="003154B2">
              <w:t xml:space="preserve"> need to consider and apply the Environment Reference Standard relevant to the project. </w:t>
            </w:r>
          </w:p>
        </w:tc>
      </w:tr>
      <w:tr w:rsidR="00B241C2" w:rsidRPr="008A4608" w14:paraId="54924FE4" w14:textId="77777777" w:rsidTr="005D0DF3">
        <w:trPr>
          <w:cantSplit/>
        </w:trPr>
        <w:tc>
          <w:tcPr>
            <w:tcW w:w="1019" w:type="pct"/>
            <w:hideMark/>
          </w:tcPr>
          <w:p w14:paraId="5AB39F1A" w14:textId="77777777" w:rsidR="00B241C2" w:rsidRPr="008A4608" w:rsidRDefault="00B241C2" w:rsidP="002C53C9">
            <w:pPr>
              <w:pStyle w:val="TableText"/>
              <w:rPr>
                <w:i/>
              </w:rPr>
            </w:pPr>
            <w:r w:rsidRPr="008A4608">
              <w:rPr>
                <w:i/>
              </w:rPr>
              <w:t xml:space="preserve">Planning and Environment Act 1987 </w:t>
            </w:r>
          </w:p>
        </w:tc>
        <w:tc>
          <w:tcPr>
            <w:tcW w:w="1716" w:type="pct"/>
            <w:hideMark/>
          </w:tcPr>
          <w:p w14:paraId="37EB9458" w14:textId="77777777" w:rsidR="00B241C2" w:rsidRPr="008A4608" w:rsidRDefault="00B241C2" w:rsidP="002C53C9">
            <w:pPr>
              <w:pStyle w:val="TableText"/>
            </w:pPr>
            <w:r w:rsidRPr="008A4608">
              <w:t>The Moyne Shire Planning Scheme contains a Victoria Planning Provision within the Planning Policy Framework relevant to air quality.</w:t>
            </w:r>
          </w:p>
        </w:tc>
        <w:tc>
          <w:tcPr>
            <w:tcW w:w="2265" w:type="pct"/>
            <w:hideMark/>
          </w:tcPr>
          <w:p w14:paraId="63A6BD06" w14:textId="77777777" w:rsidR="00B241C2" w:rsidRPr="008A4608" w:rsidRDefault="00B241C2" w:rsidP="00B241C2">
            <w:pPr>
              <w:pStyle w:val="TableText"/>
            </w:pPr>
            <w:r w:rsidRPr="008A4608">
              <w:t>Victoria Planning Provision 13.06-1S Air quality management objective is “</w:t>
            </w:r>
            <w:r w:rsidRPr="008A4608">
              <w:rPr>
                <w:i/>
              </w:rPr>
              <w:t>to assist the protection and improvement of air quality</w:t>
            </w:r>
            <w:r w:rsidRPr="008A4608">
              <w:t>”.</w:t>
            </w:r>
          </w:p>
          <w:p w14:paraId="0EAE6CD8" w14:textId="77777777" w:rsidR="00B241C2" w:rsidRPr="008A4608" w:rsidRDefault="00B241C2" w:rsidP="00B241C2">
            <w:pPr>
              <w:pStyle w:val="TableText"/>
            </w:pPr>
            <w:r w:rsidRPr="008A4608">
              <w:t>One of the strategies within the provision is to “ensure, wherever possible, that there is suitable separation between land uses that reduce air amenity and sensitive land uses” and to “consider as relevant” EPA Victoria Publication 1518 (see below).</w:t>
            </w:r>
          </w:p>
        </w:tc>
      </w:tr>
      <w:tr w:rsidR="00B241C2" w:rsidRPr="008A4608" w14:paraId="2446C8E5" w14:textId="77777777" w:rsidTr="005D0DF3">
        <w:trPr>
          <w:cantSplit/>
        </w:trPr>
        <w:tc>
          <w:tcPr>
            <w:tcW w:w="1019" w:type="pct"/>
          </w:tcPr>
          <w:p w14:paraId="0C0FCB3A" w14:textId="77777777" w:rsidR="00B241C2" w:rsidRPr="008A4608" w:rsidRDefault="00B241C2" w:rsidP="002C53C9">
            <w:pPr>
              <w:pStyle w:val="TableText"/>
            </w:pPr>
            <w:r w:rsidRPr="008A4608">
              <w:rPr>
                <w:i/>
              </w:rPr>
              <w:t>Mineral Resources (Sustainable Development) Act 1990</w:t>
            </w:r>
          </w:p>
        </w:tc>
        <w:tc>
          <w:tcPr>
            <w:tcW w:w="1716" w:type="pct"/>
          </w:tcPr>
          <w:p w14:paraId="54F42B0A" w14:textId="77777777" w:rsidR="00B241C2" w:rsidRPr="008A4608" w:rsidRDefault="00B241C2" w:rsidP="002C53C9">
            <w:pPr>
              <w:pStyle w:val="TableText"/>
            </w:pPr>
            <w:r w:rsidRPr="008A4608">
              <w:t>The</w:t>
            </w:r>
            <w:r w:rsidRPr="008A4608">
              <w:rPr>
                <w:i/>
              </w:rPr>
              <w:t xml:space="preserve"> Mineral Resources (Sustainable Development) Act 1990 </w:t>
            </w:r>
            <w:r w:rsidRPr="008A4608">
              <w:t xml:space="preserve">regulates mineral exploration, mining and extractive activities in Victoria including quarrying. </w:t>
            </w:r>
          </w:p>
          <w:p w14:paraId="3623F699" w14:textId="5DFD1000" w:rsidR="00B241C2" w:rsidRPr="008A4608" w:rsidRDefault="00193650" w:rsidP="002C53C9">
            <w:pPr>
              <w:pStyle w:val="TableText"/>
            </w:pPr>
            <w:r w:rsidRPr="008A4608">
              <w:t>To</w:t>
            </w:r>
            <w:r w:rsidR="00B241C2" w:rsidRPr="008A4608">
              <w:t xml:space="preserve"> obtain a work authority from Earth Resources Regulation under section 77I of the </w:t>
            </w:r>
            <w:r w:rsidR="00B241C2" w:rsidRPr="008A4608">
              <w:rPr>
                <w:i/>
              </w:rPr>
              <w:t>Mineral Resources (Sustainable Development) Act 1990</w:t>
            </w:r>
            <w:r w:rsidR="00B241C2" w:rsidRPr="008A4608">
              <w:t>, the project must prepare a work plan for the proposed quarry that includes a rehabilitation plan and a community consultation plan.</w:t>
            </w:r>
          </w:p>
          <w:p w14:paraId="1CB82EDD" w14:textId="77777777" w:rsidR="00B241C2" w:rsidRPr="008A4608" w:rsidRDefault="00B241C2" w:rsidP="002C53C9">
            <w:pPr>
              <w:pStyle w:val="TableText"/>
            </w:pPr>
            <w:r w:rsidRPr="008A4608">
              <w:t>Quarry work plans require statutory endorsement by Earth Resources Regulation, in consultation with relevant agencies, before any quarrying can commence.</w:t>
            </w:r>
          </w:p>
        </w:tc>
        <w:tc>
          <w:tcPr>
            <w:tcW w:w="2265" w:type="pct"/>
          </w:tcPr>
          <w:p w14:paraId="3BE8DF48" w14:textId="4B12E15E" w:rsidR="00B241C2" w:rsidRDefault="00B241C2" w:rsidP="002C53C9">
            <w:pPr>
              <w:pStyle w:val="TableText"/>
            </w:pPr>
            <w:r w:rsidRPr="008A4608">
              <w:t xml:space="preserve">A </w:t>
            </w:r>
            <w:r w:rsidR="00A967F5">
              <w:t xml:space="preserve">preliminary </w:t>
            </w:r>
            <w:r w:rsidR="00F912F2">
              <w:t xml:space="preserve">draft </w:t>
            </w:r>
            <w:r w:rsidRPr="008A4608">
              <w:t xml:space="preserve">quarry work plan </w:t>
            </w:r>
            <w:r w:rsidR="00F912F2">
              <w:t>has</w:t>
            </w:r>
            <w:r w:rsidR="00F912F2" w:rsidRPr="008A4608">
              <w:t xml:space="preserve"> </w:t>
            </w:r>
            <w:r w:rsidRPr="008A4608">
              <w:t>be</w:t>
            </w:r>
            <w:r w:rsidR="00F912F2">
              <w:t>en</w:t>
            </w:r>
            <w:r w:rsidRPr="008A4608">
              <w:t xml:space="preserve"> prepared for the project quarry site</w:t>
            </w:r>
            <w:r w:rsidR="0034509C">
              <w:t xml:space="preserve"> (see Attachment II of this EES)</w:t>
            </w:r>
            <w:r w:rsidRPr="008A4608">
              <w:t>. This plan outline</w:t>
            </w:r>
            <w:r w:rsidR="00F912F2">
              <w:t>s</w:t>
            </w:r>
            <w:r w:rsidRPr="008A4608">
              <w:t xml:space="preserve"> measures for the control of emissions and dust from the work authority area.</w:t>
            </w:r>
          </w:p>
          <w:p w14:paraId="60EAA19C" w14:textId="538C6041" w:rsidR="00F912F2" w:rsidRPr="008A4608" w:rsidRDefault="00F912F2" w:rsidP="002C53C9">
            <w:pPr>
              <w:pStyle w:val="TableText"/>
            </w:pPr>
            <w:r>
              <w:t>The quarry work plan will be submitted to Earth Resources Regulation, separate to this EES process.</w:t>
            </w:r>
          </w:p>
        </w:tc>
      </w:tr>
      <w:tr w:rsidR="00B241C2" w:rsidRPr="008A4608" w14:paraId="2D890341" w14:textId="77777777" w:rsidTr="005D0DF3">
        <w:trPr>
          <w:cantSplit/>
        </w:trPr>
        <w:tc>
          <w:tcPr>
            <w:tcW w:w="1019" w:type="pct"/>
          </w:tcPr>
          <w:p w14:paraId="4A95D042" w14:textId="235B9E03" w:rsidR="00B241C2" w:rsidRPr="008A4608" w:rsidRDefault="00B241C2" w:rsidP="002C53C9">
            <w:pPr>
              <w:pStyle w:val="TableText"/>
              <w:rPr>
                <w:i/>
              </w:rPr>
            </w:pPr>
            <w:r w:rsidRPr="008A4608">
              <w:t>EPA Victoria (2020</w:t>
            </w:r>
            <w:r w:rsidR="008544B9">
              <w:t>d</w:t>
            </w:r>
            <w:r w:rsidRPr="008A4608">
              <w:t xml:space="preserve">) </w:t>
            </w:r>
            <w:r w:rsidRPr="008A4608">
              <w:rPr>
                <w:i/>
              </w:rPr>
              <w:t>Publication 1834: Civil construction, building and demolition guide</w:t>
            </w:r>
          </w:p>
        </w:tc>
        <w:tc>
          <w:tcPr>
            <w:tcW w:w="1716" w:type="pct"/>
          </w:tcPr>
          <w:p w14:paraId="7063505C" w14:textId="77777777" w:rsidR="00B241C2" w:rsidRPr="008A4608" w:rsidRDefault="00B241C2" w:rsidP="002C53C9">
            <w:pPr>
              <w:pStyle w:val="TableText"/>
            </w:pPr>
            <w:r w:rsidRPr="008A4608">
              <w:t>EPA Victoria Publication 1834 outlines controls for civil construction and earthworks to manage risks and obligations under the general environmental duty in relation to air, noise, land and water. This includes controls regarding minimising dust, managing stockpiles and working within waterways.</w:t>
            </w:r>
          </w:p>
        </w:tc>
        <w:tc>
          <w:tcPr>
            <w:tcW w:w="2265" w:type="pct"/>
          </w:tcPr>
          <w:p w14:paraId="2D0ED834" w14:textId="4F82A052" w:rsidR="00B241C2" w:rsidRPr="008A4608" w:rsidRDefault="00B241C2" w:rsidP="002C53C9">
            <w:pPr>
              <w:pStyle w:val="TableText"/>
            </w:pPr>
            <w:r w:rsidRPr="008A4608">
              <w:t xml:space="preserve">Measures for the management of dust and potential impacts </w:t>
            </w:r>
            <w:r w:rsidR="00F912F2">
              <w:t>would</w:t>
            </w:r>
            <w:r w:rsidRPr="008A4608">
              <w:t xml:space="preserve"> be developed in accordance with controls contained in EPA</w:t>
            </w:r>
            <w:r w:rsidR="009056B9">
              <w:t> </w:t>
            </w:r>
            <w:r w:rsidRPr="008A4608">
              <w:t>Victoria Publication 1834.</w:t>
            </w:r>
          </w:p>
        </w:tc>
      </w:tr>
      <w:tr w:rsidR="00B241C2" w:rsidRPr="008A4608" w14:paraId="7EF74FB2" w14:textId="77777777" w:rsidTr="005D0DF3">
        <w:trPr>
          <w:cantSplit/>
        </w:trPr>
        <w:tc>
          <w:tcPr>
            <w:tcW w:w="1019" w:type="pct"/>
          </w:tcPr>
          <w:p w14:paraId="71B287DF" w14:textId="018CE486" w:rsidR="00B241C2" w:rsidRPr="008A4608" w:rsidRDefault="00B241C2" w:rsidP="00B241C2">
            <w:pPr>
              <w:pStyle w:val="TableText"/>
            </w:pPr>
            <w:r w:rsidRPr="008A4608">
              <w:lastRenderedPageBreak/>
              <w:t xml:space="preserve">EPA Victoria (2007) </w:t>
            </w:r>
            <w:r w:rsidRPr="008A4608">
              <w:rPr>
                <w:i/>
              </w:rPr>
              <w:t>Publication 1191:</w:t>
            </w:r>
            <w:r w:rsidRPr="008A4608">
              <w:t xml:space="preserve"> </w:t>
            </w:r>
            <w:r w:rsidRPr="008A4608">
              <w:rPr>
                <w:i/>
              </w:rPr>
              <w:t>Protocol for Environmental Management: Mining and Extractive Industries</w:t>
            </w:r>
            <w:r w:rsidRPr="008A4608">
              <w:t xml:space="preserve"> </w:t>
            </w:r>
          </w:p>
        </w:tc>
        <w:tc>
          <w:tcPr>
            <w:tcW w:w="1716" w:type="pct"/>
          </w:tcPr>
          <w:p w14:paraId="69135E62" w14:textId="77777777" w:rsidR="00B241C2" w:rsidRPr="008A4608" w:rsidRDefault="00B241C2" w:rsidP="002C53C9">
            <w:pPr>
              <w:pStyle w:val="TableText"/>
            </w:pPr>
            <w:r w:rsidRPr="008A4608">
              <w:t>EPA Victoria Publication 1191 is an incorporated document of SEPP (AQM) and provides guidance regarding the assessment of potential emission impacts arising from mining and extractive industries on air quality.</w:t>
            </w:r>
          </w:p>
        </w:tc>
        <w:tc>
          <w:tcPr>
            <w:tcW w:w="2265" w:type="pct"/>
          </w:tcPr>
          <w:p w14:paraId="2718D6DB" w14:textId="77777777" w:rsidR="00B241C2" w:rsidRPr="008A4608" w:rsidRDefault="00B241C2" w:rsidP="002C53C9">
            <w:pPr>
              <w:pStyle w:val="TableText"/>
              <w:rPr>
                <w:highlight w:val="yellow"/>
              </w:rPr>
            </w:pPr>
            <w:r w:rsidRPr="008A4608">
              <w:t>The assessment of potential dust impacts from the project quarry was undertaken in accordance with the requirements of EPA Victoria Publication 1191.</w:t>
            </w:r>
          </w:p>
        </w:tc>
      </w:tr>
      <w:tr w:rsidR="00B241C2" w:rsidRPr="008A4608" w14:paraId="13B2859F" w14:textId="77777777" w:rsidTr="005D0DF3">
        <w:trPr>
          <w:cantSplit/>
        </w:trPr>
        <w:tc>
          <w:tcPr>
            <w:tcW w:w="1019" w:type="pct"/>
          </w:tcPr>
          <w:p w14:paraId="70B94C15" w14:textId="24FAA8C1" w:rsidR="00B241C2" w:rsidRPr="008A4608" w:rsidRDefault="00B241C2" w:rsidP="002C53C9">
            <w:pPr>
              <w:pStyle w:val="TableText"/>
            </w:pPr>
            <w:r w:rsidRPr="008A4608">
              <w:t>EPA Victoria (202</w:t>
            </w:r>
            <w:r w:rsidR="008544B9">
              <w:t>2b</w:t>
            </w:r>
            <w:r w:rsidRPr="008A4608">
              <w:t xml:space="preserve">) </w:t>
            </w:r>
            <w:r w:rsidRPr="008A4608">
              <w:rPr>
                <w:i/>
              </w:rPr>
              <w:t>Publication 1961:</w:t>
            </w:r>
            <w:r w:rsidRPr="008A4608">
              <w:t xml:space="preserve"> </w:t>
            </w:r>
            <w:r w:rsidRPr="008A4608">
              <w:rPr>
                <w:i/>
              </w:rPr>
              <w:t>Guideline for assessing and minimising air pollution in Victoria</w:t>
            </w:r>
          </w:p>
        </w:tc>
        <w:tc>
          <w:tcPr>
            <w:tcW w:w="1716" w:type="pct"/>
          </w:tcPr>
          <w:p w14:paraId="0FA8BB8A" w14:textId="02A639B3" w:rsidR="00B241C2" w:rsidRPr="008A4608" w:rsidRDefault="00B241C2" w:rsidP="002C53C9">
            <w:pPr>
              <w:pStyle w:val="TableText"/>
            </w:pPr>
            <w:r w:rsidRPr="008A4608">
              <w:t>EPA Victoria Publication 1961</w:t>
            </w:r>
            <w:r w:rsidR="009056B9">
              <w:t xml:space="preserve"> </w:t>
            </w:r>
            <w:r w:rsidRPr="008A4608">
              <w:t>outlines air quality assessment criteria for the assessment and management of air emissions. The criteria contained in this publication supersede</w:t>
            </w:r>
            <w:r w:rsidR="008544B9">
              <w:t>s</w:t>
            </w:r>
            <w:r w:rsidRPr="008A4608">
              <w:t xml:space="preserve"> those in EPA Victoria Publication 1191 and SEPP (AQM).</w:t>
            </w:r>
          </w:p>
        </w:tc>
        <w:tc>
          <w:tcPr>
            <w:tcW w:w="2265" w:type="pct"/>
          </w:tcPr>
          <w:p w14:paraId="572F64FD" w14:textId="1B6CA4E9" w:rsidR="00B241C2" w:rsidRPr="008A4608" w:rsidRDefault="00B241C2" w:rsidP="002C53C9">
            <w:pPr>
              <w:pStyle w:val="TableText"/>
            </w:pPr>
            <w:r w:rsidRPr="008A4608">
              <w:t>The air quality impact assessment included consideration of EPA Victoria Publication 1961.</w:t>
            </w:r>
          </w:p>
          <w:p w14:paraId="50421F2B" w14:textId="7BB0A4A0" w:rsidR="00B241C2" w:rsidRPr="008A4608" w:rsidRDefault="00B241C2" w:rsidP="002C53C9">
            <w:pPr>
              <w:pStyle w:val="TableText"/>
              <w:rPr>
                <w:highlight w:val="yellow"/>
              </w:rPr>
            </w:pPr>
            <w:r w:rsidRPr="008A4608">
              <w:t>For assessment of dust, the criteria for PM</w:t>
            </w:r>
            <w:r w:rsidRPr="008A4608">
              <w:rPr>
                <w:vertAlign w:val="subscript"/>
              </w:rPr>
              <w:t>10</w:t>
            </w:r>
            <w:r w:rsidRPr="008A4608">
              <w:t xml:space="preserve"> and PM</w:t>
            </w:r>
            <w:r w:rsidRPr="008A4608">
              <w:rPr>
                <w:vertAlign w:val="subscript"/>
              </w:rPr>
              <w:t>2.5</w:t>
            </w:r>
            <w:r w:rsidRPr="008A4608">
              <w:t xml:space="preserve"> in EPA Victoria Publication 1961 refers to the Environment Reference Standard. These values generally align with those of the National Environmental Protection (Ambient Air Quality) issued in May 2021, except for the annual PM</w:t>
            </w:r>
            <w:r w:rsidRPr="008A4608">
              <w:rPr>
                <w:vertAlign w:val="subscript"/>
              </w:rPr>
              <w:t>10</w:t>
            </w:r>
            <w:r w:rsidRPr="008A4608">
              <w:t xml:space="preserve"> standard. For the project air quality assessment, the lowest (most conservative) assessment standards were adopted.</w:t>
            </w:r>
          </w:p>
        </w:tc>
      </w:tr>
      <w:tr w:rsidR="00B241C2" w:rsidRPr="008A4608" w14:paraId="1808D17F" w14:textId="77777777" w:rsidTr="005D0DF3">
        <w:trPr>
          <w:cantSplit/>
        </w:trPr>
        <w:tc>
          <w:tcPr>
            <w:tcW w:w="1019" w:type="pct"/>
          </w:tcPr>
          <w:p w14:paraId="42BCE5CD" w14:textId="77777777" w:rsidR="00B241C2" w:rsidRPr="008A4608" w:rsidRDefault="00B241C2" w:rsidP="002C53C9">
            <w:pPr>
              <w:pStyle w:val="TableText"/>
            </w:pPr>
            <w:r w:rsidRPr="008A4608">
              <w:t xml:space="preserve">EPA Victoria (2019) </w:t>
            </w:r>
            <w:r w:rsidRPr="008A4608">
              <w:rPr>
                <w:i/>
              </w:rPr>
              <w:t>Publication 1806: Reducing risk in the premixed concrete industry</w:t>
            </w:r>
          </w:p>
        </w:tc>
        <w:tc>
          <w:tcPr>
            <w:tcW w:w="1716" w:type="pct"/>
          </w:tcPr>
          <w:p w14:paraId="63C8B66C" w14:textId="77777777" w:rsidR="00B241C2" w:rsidRPr="008A4608" w:rsidRDefault="00B241C2" w:rsidP="002C53C9">
            <w:pPr>
              <w:pStyle w:val="TableText"/>
            </w:pPr>
            <w:r w:rsidRPr="008A4608">
              <w:t>EPA Victoria Publication 1806 provides guidance for concrete batching plant operators on assessing, managing and controlling potential risks to human health and the environment.</w:t>
            </w:r>
          </w:p>
        </w:tc>
        <w:tc>
          <w:tcPr>
            <w:tcW w:w="2265" w:type="pct"/>
          </w:tcPr>
          <w:p w14:paraId="260B3BFB" w14:textId="05AF9BA9" w:rsidR="00B241C2" w:rsidRPr="008A4608" w:rsidRDefault="00B241C2" w:rsidP="002C53C9">
            <w:pPr>
              <w:pStyle w:val="TableText"/>
              <w:rPr>
                <w:highlight w:val="yellow"/>
              </w:rPr>
            </w:pPr>
            <w:r w:rsidRPr="008A4608">
              <w:t xml:space="preserve">The concrete batching plants </w:t>
            </w:r>
            <w:r w:rsidR="00F912F2">
              <w:t>would</w:t>
            </w:r>
            <w:r w:rsidRPr="008A4608">
              <w:t xml:space="preserve"> be designed and operated to adequately control dust emissions as per guidelines set out in EPA</w:t>
            </w:r>
            <w:r w:rsidR="009056B9">
              <w:t> </w:t>
            </w:r>
            <w:r w:rsidRPr="008A4608">
              <w:t>Victoria Publication 1806.</w:t>
            </w:r>
          </w:p>
        </w:tc>
      </w:tr>
      <w:tr w:rsidR="00B241C2" w:rsidRPr="008A4608" w14:paraId="0FBE00A5" w14:textId="77777777" w:rsidTr="005D0DF3">
        <w:trPr>
          <w:cantSplit/>
        </w:trPr>
        <w:tc>
          <w:tcPr>
            <w:tcW w:w="1019" w:type="pct"/>
          </w:tcPr>
          <w:p w14:paraId="2559A94A" w14:textId="77777777" w:rsidR="00B241C2" w:rsidRPr="008A4608" w:rsidRDefault="00B241C2" w:rsidP="002C53C9">
            <w:pPr>
              <w:pStyle w:val="TableText"/>
            </w:pPr>
            <w:r w:rsidRPr="008A4608">
              <w:t xml:space="preserve">EPA Victoria (2013) </w:t>
            </w:r>
            <w:r w:rsidRPr="008A4608">
              <w:rPr>
                <w:i/>
              </w:rPr>
              <w:t>Publication 1518: Recommended separation distances for industrial residual air emissions</w:t>
            </w:r>
            <w:r w:rsidRPr="008A4608">
              <w:t xml:space="preserve"> </w:t>
            </w:r>
          </w:p>
        </w:tc>
        <w:tc>
          <w:tcPr>
            <w:tcW w:w="1716" w:type="pct"/>
          </w:tcPr>
          <w:p w14:paraId="7BC03F8A" w14:textId="77777777" w:rsidR="00B241C2" w:rsidRPr="008A4608" w:rsidRDefault="00B241C2" w:rsidP="002C53C9">
            <w:pPr>
              <w:pStyle w:val="TableText"/>
            </w:pPr>
            <w:r w:rsidRPr="008A4608">
              <w:t>EPA Victoria Publication 1518 provides recommendations for separation distance between industrial land uses (e.g., quarries and concrete batch plants) and sensitive land uses to minimise off-site impacts arising from unintended, industry-generated dust emissions.</w:t>
            </w:r>
          </w:p>
        </w:tc>
        <w:tc>
          <w:tcPr>
            <w:tcW w:w="2265" w:type="pct"/>
          </w:tcPr>
          <w:p w14:paraId="19529229" w14:textId="4CBF8FAD" w:rsidR="00B241C2" w:rsidRPr="008A4608" w:rsidRDefault="00B241C2" w:rsidP="002C53C9">
            <w:pPr>
              <w:pStyle w:val="TableText"/>
              <w:rPr>
                <w:highlight w:val="yellow"/>
              </w:rPr>
            </w:pPr>
            <w:r w:rsidRPr="008A4608">
              <w:t>The project has considered the siting of the quarry and concrete batch plants in accordance with EPA Victoria Publication 1518. The closest sensitive receptor to the quarry is 1.4 kilometres and to any of the concrete batch plants is approximately 1</w:t>
            </w:r>
            <w:r w:rsidR="0034509C">
              <w:t>.2</w:t>
            </w:r>
            <w:r>
              <w:t> </w:t>
            </w:r>
            <w:r w:rsidRPr="008A4608">
              <w:t>kilometre</w:t>
            </w:r>
            <w:r w:rsidR="0034509C">
              <w:t>s</w:t>
            </w:r>
            <w:r w:rsidRPr="008A4608">
              <w:t>, which are greater than the minimum separation distance of 500</w:t>
            </w:r>
            <w:r w:rsidR="009056B9">
              <w:t> </w:t>
            </w:r>
            <w:r w:rsidRPr="008A4608">
              <w:t>metres and 100 metres, respectively, under this guideline.</w:t>
            </w:r>
          </w:p>
        </w:tc>
      </w:tr>
      <w:tr w:rsidR="00B241C2" w:rsidRPr="008A4608" w14:paraId="39A23855" w14:textId="77777777" w:rsidTr="005D0DF3">
        <w:trPr>
          <w:cantSplit/>
        </w:trPr>
        <w:tc>
          <w:tcPr>
            <w:tcW w:w="1019" w:type="pct"/>
          </w:tcPr>
          <w:p w14:paraId="072B73F1" w14:textId="312B2C78" w:rsidR="00B241C2" w:rsidRPr="008A4608" w:rsidRDefault="00B241C2" w:rsidP="002C53C9">
            <w:pPr>
              <w:pStyle w:val="TableText"/>
            </w:pPr>
            <w:r w:rsidRPr="008A4608">
              <w:t>EPA Victoria (2021</w:t>
            </w:r>
            <w:r w:rsidR="008544B9">
              <w:t>c</w:t>
            </w:r>
            <w:r w:rsidRPr="008A4608">
              <w:t xml:space="preserve">) </w:t>
            </w:r>
            <w:r w:rsidRPr="008A4608">
              <w:rPr>
                <w:i/>
              </w:rPr>
              <w:t>Publication 1823: Mining and quarrying – Guide to preventing harm to people and the environment</w:t>
            </w:r>
            <w:r w:rsidRPr="008A4608">
              <w:t xml:space="preserve"> </w:t>
            </w:r>
          </w:p>
        </w:tc>
        <w:tc>
          <w:tcPr>
            <w:tcW w:w="1716" w:type="pct"/>
          </w:tcPr>
          <w:p w14:paraId="290B884B" w14:textId="77777777" w:rsidR="00B241C2" w:rsidRPr="008A4608" w:rsidRDefault="00B241C2" w:rsidP="002C53C9">
            <w:pPr>
              <w:pStyle w:val="TableText"/>
            </w:pPr>
            <w:r w:rsidRPr="008A4608">
              <w:t>This guide outlines how to manage risks, and requirements under the general environment duty, and addresses managing risks from dust.</w:t>
            </w:r>
          </w:p>
        </w:tc>
        <w:tc>
          <w:tcPr>
            <w:tcW w:w="2265" w:type="pct"/>
          </w:tcPr>
          <w:p w14:paraId="3A787160" w14:textId="53768F2E" w:rsidR="00B241C2" w:rsidRPr="008A4608" w:rsidRDefault="00B241C2" w:rsidP="002C53C9">
            <w:pPr>
              <w:pStyle w:val="TableText"/>
              <w:rPr>
                <w:highlight w:val="yellow"/>
              </w:rPr>
            </w:pPr>
            <w:r w:rsidRPr="008A4608">
              <w:t xml:space="preserve">The project Construction Environmental Management Plan </w:t>
            </w:r>
            <w:r w:rsidR="00F912F2">
              <w:t>would</w:t>
            </w:r>
            <w:r w:rsidRPr="008A4608">
              <w:t xml:space="preserve"> align with the four-step risk management process to identify hazards, assess the risk, implement suitable control measures and check controls regularly, as outlined in EPA Victoria Publication 1823.</w:t>
            </w:r>
          </w:p>
        </w:tc>
      </w:tr>
      <w:tr w:rsidR="00B241C2" w:rsidRPr="008A4608" w14:paraId="620CACBC" w14:textId="77777777" w:rsidTr="005D0DF3">
        <w:trPr>
          <w:cantSplit/>
        </w:trPr>
        <w:tc>
          <w:tcPr>
            <w:tcW w:w="1019" w:type="pct"/>
          </w:tcPr>
          <w:p w14:paraId="1F57E129" w14:textId="77777777" w:rsidR="00B241C2" w:rsidRPr="008A4608" w:rsidRDefault="00B241C2" w:rsidP="002C53C9">
            <w:pPr>
              <w:pStyle w:val="TableText"/>
            </w:pPr>
            <w:r w:rsidRPr="008A4608">
              <w:t>EPA Victoria AERMOD guidelines (2014):</w:t>
            </w:r>
          </w:p>
          <w:p w14:paraId="096591ED" w14:textId="77777777" w:rsidR="00B241C2" w:rsidRPr="008A4608" w:rsidRDefault="00B241C2" w:rsidP="00B241C2">
            <w:pPr>
              <w:pStyle w:val="TableBullet1"/>
            </w:pPr>
            <w:r w:rsidRPr="008A4608">
              <w:t>Publication 1550: Construction of input meteorological data files for EPA Victoria's regulatory air pollution model (AERMOD)</w:t>
            </w:r>
          </w:p>
          <w:p w14:paraId="189BF523" w14:textId="3073E86D" w:rsidR="00B241C2" w:rsidRPr="008A4608" w:rsidRDefault="00B241C2" w:rsidP="00B241C2">
            <w:pPr>
              <w:pStyle w:val="TableBullet1"/>
            </w:pPr>
            <w:r w:rsidRPr="008A4608">
              <w:t>Publication 1551: Guidance notes for using the regulatory air model AERMOD in Victoria</w:t>
            </w:r>
            <w:r>
              <w:t>.</w:t>
            </w:r>
          </w:p>
        </w:tc>
        <w:tc>
          <w:tcPr>
            <w:tcW w:w="1716" w:type="pct"/>
          </w:tcPr>
          <w:p w14:paraId="3217F07F" w14:textId="77777777" w:rsidR="00B241C2" w:rsidRPr="008A4608" w:rsidRDefault="00B241C2" w:rsidP="002C53C9">
            <w:pPr>
              <w:pStyle w:val="TableText"/>
            </w:pPr>
            <w:r w:rsidRPr="008A4608">
              <w:t>EPA Victoria Publication 1550 outlines the methods to be used when building the meteorological input data files for AERMOD modelling for air impact assessments in Victoria.</w:t>
            </w:r>
          </w:p>
          <w:p w14:paraId="5B71F521" w14:textId="77777777" w:rsidR="00B241C2" w:rsidRPr="008A4608" w:rsidRDefault="00B241C2" w:rsidP="002C53C9">
            <w:pPr>
              <w:pStyle w:val="TableText"/>
            </w:pPr>
            <w:r w:rsidRPr="008A4608">
              <w:t>This publication specifies that where no measured data is available, required data may be generated by the prognostic meteorological model, The Air Pollution Model (TAPM).</w:t>
            </w:r>
          </w:p>
          <w:p w14:paraId="3DD5C748" w14:textId="77777777" w:rsidR="00B241C2" w:rsidRPr="008A4608" w:rsidRDefault="00B241C2" w:rsidP="002C53C9">
            <w:pPr>
              <w:pStyle w:val="TableText"/>
            </w:pPr>
            <w:r w:rsidRPr="008A4608">
              <w:t>EPA Victoria Publication 1551 provides guidance on the recommended use of AERMOD, in conjunction with SEPP (AQM).</w:t>
            </w:r>
          </w:p>
        </w:tc>
        <w:tc>
          <w:tcPr>
            <w:tcW w:w="2265" w:type="pct"/>
          </w:tcPr>
          <w:p w14:paraId="4D4AFC42" w14:textId="136167E5" w:rsidR="00B241C2" w:rsidRPr="008A4608" w:rsidRDefault="00B241C2" w:rsidP="002C53C9">
            <w:pPr>
              <w:pStyle w:val="TableText"/>
            </w:pPr>
            <w:r w:rsidRPr="008A4608">
              <w:t xml:space="preserve">The air dispersion modelling for the project quarry activities was undertaken using AERMOD in accordance with EPA </w:t>
            </w:r>
            <w:r w:rsidR="0034509C">
              <w:t xml:space="preserve">Victoria </w:t>
            </w:r>
            <w:r w:rsidRPr="008A4608">
              <w:t xml:space="preserve">Publications 1550 and 1551. </w:t>
            </w:r>
          </w:p>
          <w:p w14:paraId="50BC476B" w14:textId="77777777" w:rsidR="00B241C2" w:rsidRPr="008A4608" w:rsidRDefault="00B241C2" w:rsidP="002C53C9">
            <w:pPr>
              <w:pStyle w:val="TableText"/>
            </w:pPr>
            <w:r w:rsidRPr="008A4608">
              <w:t>As there is no Bureau of Meteorology station within 25 kilometres of the project site, the meteorological model input data was generated by TAPM.</w:t>
            </w:r>
          </w:p>
        </w:tc>
      </w:tr>
      <w:tr w:rsidR="00B241C2" w:rsidRPr="008A4608" w14:paraId="12276A7D" w14:textId="77777777" w:rsidTr="005D0DF3">
        <w:trPr>
          <w:cantSplit/>
        </w:trPr>
        <w:tc>
          <w:tcPr>
            <w:tcW w:w="1019" w:type="pct"/>
          </w:tcPr>
          <w:p w14:paraId="1B4B9279" w14:textId="759A2D28" w:rsidR="00B241C2" w:rsidRPr="008A4608" w:rsidRDefault="00B241C2" w:rsidP="002C53C9">
            <w:pPr>
              <w:pStyle w:val="TableText"/>
            </w:pPr>
            <w:bookmarkStart w:id="20" w:name="_Hlk78291993"/>
            <w:r w:rsidRPr="008A4608">
              <w:lastRenderedPageBreak/>
              <w:t xml:space="preserve">Construction Material Processors Association (2016) </w:t>
            </w:r>
            <w:r w:rsidRPr="008A4608">
              <w:rPr>
                <w:i/>
              </w:rPr>
              <w:t>Dust Management Guideline</w:t>
            </w:r>
            <w:r w:rsidRPr="008A4608">
              <w:t xml:space="preserve"> </w:t>
            </w:r>
            <w:bookmarkEnd w:id="20"/>
          </w:p>
        </w:tc>
        <w:tc>
          <w:tcPr>
            <w:tcW w:w="1716" w:type="pct"/>
          </w:tcPr>
          <w:p w14:paraId="3D3EEE32" w14:textId="77777777" w:rsidR="00B241C2" w:rsidRPr="008A4608" w:rsidRDefault="00B241C2" w:rsidP="002C53C9">
            <w:pPr>
              <w:pStyle w:val="TableText"/>
            </w:pPr>
            <w:r w:rsidRPr="008A4608">
              <w:t xml:space="preserve">The </w:t>
            </w:r>
            <w:r w:rsidRPr="008A4608">
              <w:rPr>
                <w:i/>
              </w:rPr>
              <w:t>Dust Management Guideline</w:t>
            </w:r>
            <w:r w:rsidRPr="008A4608">
              <w:t xml:space="preserve"> provides practical guidelines, including various mitigation options, for the effective management of airborne dust arising from extractive industries.</w:t>
            </w:r>
          </w:p>
        </w:tc>
        <w:tc>
          <w:tcPr>
            <w:tcW w:w="2265" w:type="pct"/>
          </w:tcPr>
          <w:p w14:paraId="3244BD85" w14:textId="77777777" w:rsidR="00B241C2" w:rsidRPr="008A4608" w:rsidRDefault="00B241C2" w:rsidP="002C53C9">
            <w:pPr>
              <w:pStyle w:val="TableText"/>
              <w:rPr>
                <w:highlight w:val="yellow"/>
              </w:rPr>
            </w:pPr>
            <w:r w:rsidRPr="008A4608">
              <w:t xml:space="preserve">The recommendations outlined in the </w:t>
            </w:r>
            <w:r w:rsidRPr="008A4608">
              <w:rPr>
                <w:i/>
              </w:rPr>
              <w:t xml:space="preserve">Dust Management Guideline </w:t>
            </w:r>
            <w:r w:rsidRPr="008A4608">
              <w:t>would be considered in the design of dust management controls.</w:t>
            </w:r>
          </w:p>
        </w:tc>
      </w:tr>
    </w:tbl>
    <w:p w14:paraId="13B41D04" w14:textId="77777777" w:rsidR="00B241C2" w:rsidRPr="00B241C2" w:rsidRDefault="00B241C2" w:rsidP="00B241C2">
      <w:pPr>
        <w:pStyle w:val="Heading2"/>
      </w:pPr>
      <w:bookmarkStart w:id="21" w:name="_Toc84595763"/>
      <w:bookmarkStart w:id="22" w:name="_Toc105144177"/>
      <w:r w:rsidRPr="00B241C2">
        <w:t>Method</w:t>
      </w:r>
      <w:bookmarkEnd w:id="21"/>
      <w:bookmarkEnd w:id="22"/>
    </w:p>
    <w:p w14:paraId="7FC9CF55" w14:textId="2D1314BD" w:rsidR="00B241C2" w:rsidRPr="008A4608" w:rsidRDefault="00B241C2" w:rsidP="00B241C2">
      <w:pPr>
        <w:pStyle w:val="BodyText"/>
      </w:pPr>
      <w:r w:rsidRPr="008A4608">
        <w:t xml:space="preserve">The air quality impact assessment was undertaken in accordance with the SEPP (AQM) and is consistent with EPA Victoria Publication 1191: </w:t>
      </w:r>
      <w:r w:rsidRPr="008A4608">
        <w:rPr>
          <w:i/>
        </w:rPr>
        <w:t>Protocol for Environmental Management: Mining and Extractive Industries</w:t>
      </w:r>
      <w:r w:rsidRPr="008A4608">
        <w:t xml:space="preserve">. EPA Victoria Publication 1961: </w:t>
      </w:r>
      <w:r w:rsidRPr="008A4608">
        <w:rPr>
          <w:i/>
        </w:rPr>
        <w:t>Guideline for assessing and minimising air pollution in Victoria</w:t>
      </w:r>
      <w:r w:rsidRPr="008A4608">
        <w:t xml:space="preserve"> and the Environment Reference Standard were also considered in the establishment of standards suitable for the project air quality assessment. A conservative approach was applied whereby the lowest regulated limits between the two publications were adopted for the assessment. </w:t>
      </w:r>
    </w:p>
    <w:p w14:paraId="7C23E883" w14:textId="4EB85AED" w:rsidR="00B241C2" w:rsidRPr="008A4608" w:rsidRDefault="00B241C2" w:rsidP="00B241C2">
      <w:pPr>
        <w:pStyle w:val="BodyText"/>
      </w:pPr>
      <w:r w:rsidRPr="008A4608">
        <w:t xml:space="preserve">Air dispersion modelling (a quantitative assessment) was undertaken to quantify the potential air quality impacts from the quarry, with dust emissions being the primary focus of the assessment. In addition to the dispersion modelling, a qualitative assessment was also undertaken for the wider project construction, operation and decommissioning activities (i.e., outside of the quarry activities). Quantitative assessment of the quarry is needed since it </w:t>
      </w:r>
      <w:r w:rsidR="00F912F2">
        <w:t>would</w:t>
      </w:r>
      <w:r w:rsidRPr="008A4608">
        <w:t xml:space="preserve"> operate throughout the construction phase (of approximately two years), whereas other areas of the site </w:t>
      </w:r>
      <w:r w:rsidR="00F912F2">
        <w:t>would</w:t>
      </w:r>
      <w:r w:rsidRPr="008A4608">
        <w:t xml:space="preserve"> see shorter periods of excavation and construction.</w:t>
      </w:r>
    </w:p>
    <w:p w14:paraId="089BD484" w14:textId="77777777" w:rsidR="00B241C2" w:rsidRPr="00B241C2" w:rsidRDefault="00B241C2" w:rsidP="00B241C2">
      <w:pPr>
        <w:pStyle w:val="Heading3"/>
      </w:pPr>
      <w:bookmarkStart w:id="23" w:name="_Toc84595764"/>
      <w:bookmarkStart w:id="24" w:name="_Toc105144178"/>
      <w:r w:rsidRPr="00B241C2">
        <w:t>Desktop assessment</w:t>
      </w:r>
      <w:bookmarkEnd w:id="23"/>
      <w:bookmarkEnd w:id="24"/>
    </w:p>
    <w:p w14:paraId="5D348738" w14:textId="77777777" w:rsidR="00B241C2" w:rsidRPr="008A4608" w:rsidRDefault="00B241C2" w:rsidP="00B241C2">
      <w:pPr>
        <w:pStyle w:val="BodyText"/>
      </w:pPr>
      <w:r w:rsidRPr="008A4608">
        <w:t>A desktop review of local meteorology and existing air quality of the project investigation area was undertaken to identify any existing air quality issues and the meteorological conditions that influence local air quality. This information was obtained through a review of:</w:t>
      </w:r>
    </w:p>
    <w:p w14:paraId="4334632F" w14:textId="77777777" w:rsidR="00B241C2" w:rsidRPr="008A4608" w:rsidRDefault="00B241C2" w:rsidP="00B241C2">
      <w:pPr>
        <w:pStyle w:val="ListBullet"/>
        <w:contextualSpacing/>
      </w:pPr>
      <w:r w:rsidRPr="008A4608">
        <w:t>topographic maps</w:t>
      </w:r>
    </w:p>
    <w:p w14:paraId="4BCDD4DF" w14:textId="77777777" w:rsidR="00B241C2" w:rsidRPr="008A4608" w:rsidRDefault="00B241C2" w:rsidP="00B241C2">
      <w:pPr>
        <w:pStyle w:val="ListBullet"/>
        <w:contextualSpacing/>
      </w:pPr>
      <w:r w:rsidRPr="008A4608">
        <w:t xml:space="preserve">aerial imagery and the proponent’s knowledge of the project site and surrounds to identify existing land uses and the location of sensitive receptors (e.g., dwellings) </w:t>
      </w:r>
    </w:p>
    <w:p w14:paraId="326C3DD6" w14:textId="77777777" w:rsidR="00B241C2" w:rsidRPr="008A4608" w:rsidRDefault="00B241C2" w:rsidP="00B241C2">
      <w:pPr>
        <w:pStyle w:val="ListBullet"/>
        <w:contextualSpacing/>
      </w:pPr>
      <w:r w:rsidRPr="008A4608">
        <w:t xml:space="preserve">long-term Bureau of Meteorology observations for rainfall, temperature, relative humidity and wind speed </w:t>
      </w:r>
    </w:p>
    <w:p w14:paraId="7D8D17E0" w14:textId="77777777" w:rsidR="00B241C2" w:rsidRPr="008A4608" w:rsidRDefault="00B241C2" w:rsidP="00B241C2">
      <w:pPr>
        <w:pStyle w:val="ListBullet"/>
        <w:contextualSpacing/>
      </w:pPr>
      <w:bookmarkStart w:id="25" w:name="_Hlk78292045"/>
      <w:r w:rsidRPr="008A4608">
        <w:t>local wind speed and direction observations collected by the project meteorological monitoring mast (near the project quarry site) from 2018 to 2020 at a height of 11 metres</w:t>
      </w:r>
    </w:p>
    <w:bookmarkEnd w:id="25"/>
    <w:p w14:paraId="28D9E41D" w14:textId="77777777" w:rsidR="00B241C2" w:rsidRPr="008A4608" w:rsidRDefault="00B241C2" w:rsidP="00B241C2">
      <w:pPr>
        <w:pStyle w:val="ListBullet"/>
        <w:contextualSpacing/>
      </w:pPr>
      <w:r w:rsidRPr="008A4608">
        <w:t>historical EPA Victoria monitoring data for ambient air levels of PM</w:t>
      </w:r>
      <w:r w:rsidRPr="008A4608">
        <w:rPr>
          <w:vertAlign w:val="subscript"/>
        </w:rPr>
        <w:t>10</w:t>
      </w:r>
      <w:r w:rsidRPr="008A4608">
        <w:t xml:space="preserve"> and PM</w:t>
      </w:r>
      <w:r w:rsidRPr="008A4608">
        <w:rPr>
          <w:vertAlign w:val="subscript"/>
        </w:rPr>
        <w:t>2.5</w:t>
      </w:r>
      <w:r w:rsidRPr="008A4608">
        <w:t xml:space="preserve">. </w:t>
      </w:r>
    </w:p>
    <w:p w14:paraId="4A10EA33" w14:textId="77777777" w:rsidR="00B241C2" w:rsidRPr="00B241C2" w:rsidRDefault="00B241C2" w:rsidP="00B241C2">
      <w:pPr>
        <w:pStyle w:val="Heading3"/>
      </w:pPr>
      <w:bookmarkStart w:id="26" w:name="_Toc77766088"/>
      <w:bookmarkStart w:id="27" w:name="_Toc77766236"/>
      <w:bookmarkStart w:id="28" w:name="_Toc78293683"/>
      <w:bookmarkStart w:id="29" w:name="_Toc77766089"/>
      <w:bookmarkStart w:id="30" w:name="_Toc77766237"/>
      <w:bookmarkStart w:id="31" w:name="_Toc78293684"/>
      <w:bookmarkStart w:id="32" w:name="_Toc77766090"/>
      <w:bookmarkStart w:id="33" w:name="_Toc77766238"/>
      <w:bookmarkStart w:id="34" w:name="_Toc78293685"/>
      <w:bookmarkStart w:id="35" w:name="_Ref76556097"/>
      <w:bookmarkStart w:id="36" w:name="_Toc84595765"/>
      <w:bookmarkStart w:id="37" w:name="_Toc105144179"/>
      <w:bookmarkEnd w:id="26"/>
      <w:bookmarkEnd w:id="27"/>
      <w:bookmarkEnd w:id="28"/>
      <w:bookmarkEnd w:id="29"/>
      <w:bookmarkEnd w:id="30"/>
      <w:bookmarkEnd w:id="31"/>
      <w:bookmarkEnd w:id="32"/>
      <w:bookmarkEnd w:id="33"/>
      <w:bookmarkEnd w:id="34"/>
      <w:r w:rsidRPr="00B241C2">
        <w:t>Meteorological modelling</w:t>
      </w:r>
      <w:bookmarkEnd w:id="35"/>
      <w:bookmarkEnd w:id="36"/>
      <w:bookmarkEnd w:id="37"/>
    </w:p>
    <w:p w14:paraId="05F5932D" w14:textId="7D327B7E" w:rsidR="00B241C2" w:rsidRPr="008A4608" w:rsidRDefault="00B241C2" w:rsidP="00B241C2">
      <w:pPr>
        <w:pStyle w:val="BodyText"/>
      </w:pPr>
      <w:r w:rsidRPr="008A4608">
        <w:t xml:space="preserve">Meteorological conditions are important for determining the direction and rate at which air pollutant emissions </w:t>
      </w:r>
      <w:r w:rsidR="00F912F2">
        <w:t>would</w:t>
      </w:r>
      <w:r w:rsidRPr="008A4608">
        <w:t xml:space="preserve"> disperse from a source. Typically, meteorological parameters used for modelling assessments include factors such as wind speed and wind direction, temperature, humidity and rainfall.</w:t>
      </w:r>
      <w:r>
        <w:t xml:space="preserve"> </w:t>
      </w:r>
    </w:p>
    <w:p w14:paraId="391BE75C" w14:textId="1CC27152" w:rsidR="00B241C2" w:rsidRPr="008A4608" w:rsidRDefault="00B241C2" w:rsidP="00B241C2">
      <w:pPr>
        <w:pStyle w:val="BodyText"/>
      </w:pPr>
      <w:r w:rsidRPr="008A4608">
        <w:t xml:space="preserve">Victoria’s regulatory air dispersion model, AERMOD, was used to assess pollutants emitted to the air from quarry activities. To develop this model, site-specific meteorological data (defined as within a 25-kilometre radius of the site) is required. The nearest Bureau of Meteorology stations are the Warrnambool Airport NDB Bureau of Meteorology station (number 090186) located 33 kilometres south-east of the quarry location and Mortlake Racecourse Bureau of Meteorology station (number 090176) located approximately 58 kilometres east north-east of the quarry site. As there is no Bureau of Meteorology station within the </w:t>
      </w:r>
      <w:r w:rsidR="00283F74" w:rsidRPr="008A4608">
        <w:t>25</w:t>
      </w:r>
      <w:r w:rsidR="009056B9">
        <w:noBreakHyphen/>
      </w:r>
      <w:r w:rsidR="00283F74">
        <w:t>kilometre</w:t>
      </w:r>
      <w:r w:rsidRPr="008A4608">
        <w:t xml:space="preserve"> radius, the meteorological model input data was generated by TAPM, which predicts meteorology and air pollution concentrations. TAPM was used in conjunction with hourly average wind speed and wind direction observation data measured at the project’s temporary meteorological mast located near the proposed project quarry site (refer to </w:t>
      </w:r>
      <w:r w:rsidRPr="008A4608">
        <w:fldChar w:fldCharType="begin"/>
      </w:r>
      <w:r w:rsidRPr="008A4608">
        <w:instrText xml:space="preserve"> REF _Ref76462118 \h </w:instrText>
      </w:r>
      <w:r w:rsidRPr="008A4608">
        <w:fldChar w:fldCharType="separate"/>
      </w:r>
      <w:r w:rsidR="009056B9" w:rsidRPr="00B241C2">
        <w:t xml:space="preserve">Figure </w:t>
      </w:r>
      <w:r w:rsidR="009056B9">
        <w:rPr>
          <w:noProof/>
        </w:rPr>
        <w:t>20</w:t>
      </w:r>
      <w:r w:rsidR="009056B9" w:rsidRPr="00B241C2">
        <w:t>.</w:t>
      </w:r>
      <w:r w:rsidR="009056B9">
        <w:rPr>
          <w:noProof/>
        </w:rPr>
        <w:t>1</w:t>
      </w:r>
      <w:r w:rsidRPr="008A4608">
        <w:fldChar w:fldCharType="end"/>
      </w:r>
      <w:r w:rsidRPr="008A4608">
        <w:t xml:space="preserve">), and incorporated land use and terrain data for the region. This data was compared against the data at each of the </w:t>
      </w:r>
      <w:r w:rsidR="008633D6" w:rsidRPr="008A4608">
        <w:t>Bureau of Meteorology</w:t>
      </w:r>
      <w:r w:rsidRPr="008A4608">
        <w:t xml:space="preserve"> stations to ensure it was valid and suitable for use in the modelling.</w:t>
      </w:r>
    </w:p>
    <w:p w14:paraId="7E878F3B" w14:textId="0D1B2635" w:rsidR="00B241C2" w:rsidRPr="008A4608" w:rsidRDefault="00B241C2" w:rsidP="00B241C2">
      <w:pPr>
        <w:pStyle w:val="BodyText"/>
      </w:pPr>
      <w:r w:rsidRPr="008A4608">
        <w:lastRenderedPageBreak/>
        <w:t>Meteorological data from 2018 was selected as the model year as the ambient background air quality data as this year was considered to be most representative of typical conditions</w:t>
      </w:r>
      <w:r w:rsidRPr="008A4608">
        <w:rPr>
          <w:rStyle w:val="FootnoteReference"/>
        </w:rPr>
        <w:footnoteReference w:id="1"/>
      </w:r>
      <w:r w:rsidRPr="008A4608">
        <w:t xml:space="preserve">, and the percentage of strong winds blowing towards the direction of the nearest sensitive receptor site was highest for year 2018. It therefore provided a worst-case scenario out of the three years of available meteorological data </w:t>
      </w:r>
      <w:r>
        <w:br/>
      </w:r>
      <w:r w:rsidRPr="008A4608">
        <w:t>(2016</w:t>
      </w:r>
      <w:r>
        <w:t>–</w:t>
      </w:r>
      <w:r w:rsidRPr="008A4608">
        <w:t>2018) recorded at the project’s temporary meteorological mast near the proposed quarry site.</w:t>
      </w:r>
      <w:r>
        <w:t xml:space="preserve"> </w:t>
      </w:r>
    </w:p>
    <w:p w14:paraId="318ED055" w14:textId="3FC35608" w:rsidR="00B241C2" w:rsidRPr="008A4608" w:rsidRDefault="00B241C2" w:rsidP="00B241C2">
      <w:pPr>
        <w:pStyle w:val="BodyText"/>
      </w:pPr>
      <w:r w:rsidRPr="008A4608">
        <w:t xml:space="preserve">Meteorological conditions are described in more detail in Section </w:t>
      </w:r>
      <w:r w:rsidRPr="008A4608">
        <w:fldChar w:fldCharType="begin"/>
      </w:r>
      <w:r w:rsidRPr="008A4608">
        <w:instrText xml:space="preserve"> REF _Ref84431834 \r \h </w:instrText>
      </w:r>
      <w:r w:rsidRPr="008A4608">
        <w:fldChar w:fldCharType="separate"/>
      </w:r>
      <w:r w:rsidR="009056B9">
        <w:t>20.6.2</w:t>
      </w:r>
      <w:r w:rsidRPr="008A4608">
        <w:fldChar w:fldCharType="end"/>
      </w:r>
      <w:r w:rsidRPr="008A4608">
        <w:t>.</w:t>
      </w:r>
    </w:p>
    <w:p w14:paraId="4EDB1722" w14:textId="77777777" w:rsidR="00B241C2" w:rsidRPr="00B241C2" w:rsidRDefault="00B241C2" w:rsidP="00B241C2">
      <w:pPr>
        <w:pStyle w:val="Heading3"/>
      </w:pPr>
      <w:bookmarkStart w:id="38" w:name="_Toc84595766"/>
      <w:bookmarkStart w:id="39" w:name="_Toc105144180"/>
      <w:r w:rsidRPr="00B241C2">
        <w:t>Air dispersion modelling</w:t>
      </w:r>
      <w:bookmarkEnd w:id="38"/>
      <w:bookmarkEnd w:id="39"/>
    </w:p>
    <w:p w14:paraId="46134D6A" w14:textId="25D64FF4" w:rsidR="00B241C2" w:rsidRPr="008A4608" w:rsidRDefault="00B241C2" w:rsidP="00B241C2">
      <w:pPr>
        <w:pStyle w:val="BodyText"/>
      </w:pPr>
      <w:r w:rsidRPr="008A4608">
        <w:t>AERMOD was used to predict ground-level concentrations of PM</w:t>
      </w:r>
      <w:r w:rsidRPr="008A4608">
        <w:rPr>
          <w:vertAlign w:val="subscript"/>
        </w:rPr>
        <w:t>10</w:t>
      </w:r>
      <w:r w:rsidRPr="008A4608">
        <w:t>, PM</w:t>
      </w:r>
      <w:r w:rsidRPr="008A4608">
        <w:rPr>
          <w:vertAlign w:val="subscript"/>
        </w:rPr>
        <w:t>2.5</w:t>
      </w:r>
      <w:r w:rsidRPr="008A4608">
        <w:t>, respirable crystalline silica and dust deposition resulting from project quarry activities, using the meteorological data generated for the model year 2018. The AERMOD predictions were compared with air quality standards, defined by legislation, to assess the potential impacts of the project on the existing ambient air quality environment. To</w:t>
      </w:r>
      <w:r w:rsidR="009056B9">
        <w:t> </w:t>
      </w:r>
      <w:r w:rsidRPr="008A4608">
        <w:t xml:space="preserve">define the standards, the lowest (i.e., most conservative) assessment standards from the current and new legislation were adopted. </w:t>
      </w:r>
    </w:p>
    <w:p w14:paraId="6D8DC215" w14:textId="77777777" w:rsidR="00B241C2" w:rsidRPr="00B241C2" w:rsidRDefault="00B241C2" w:rsidP="00B241C2">
      <w:pPr>
        <w:pStyle w:val="Heading4"/>
      </w:pPr>
      <w:r w:rsidRPr="00B241C2">
        <w:t>Standard pollutant concentrations</w:t>
      </w:r>
    </w:p>
    <w:p w14:paraId="725B9304" w14:textId="77777777" w:rsidR="00B241C2" w:rsidRPr="008A4608" w:rsidRDefault="00B241C2" w:rsidP="00B241C2">
      <w:pPr>
        <w:pStyle w:val="BodyText"/>
      </w:pPr>
      <w:r w:rsidRPr="008A4608">
        <w:t xml:space="preserve">The project has adopted a ‘project standard’ for the assessment of air quality performance of the project throughout construction. </w:t>
      </w:r>
      <w:bookmarkStart w:id="40" w:name="_Hlk84407322"/>
      <w:r w:rsidRPr="008A4608">
        <w:t>The project standard has adopted the lowest (i.e., most conservative) assessment standards from the legislation</w:t>
      </w:r>
      <w:bookmarkEnd w:id="40"/>
      <w:r w:rsidRPr="008A4608">
        <w:t xml:space="preserve"> that was in place when the air quality impact assessment was undertaken, and the legislation that has come into effect shortly after the assessment.</w:t>
      </w:r>
    </w:p>
    <w:p w14:paraId="3E23F62A" w14:textId="302F2D67" w:rsidR="00B241C2" w:rsidRPr="008A4608" w:rsidRDefault="00B241C2" w:rsidP="00B241C2">
      <w:pPr>
        <w:spacing w:before="0" w:after="160" w:line="259" w:lineRule="auto"/>
      </w:pPr>
      <w:r w:rsidRPr="008A4608">
        <w:t xml:space="preserve">The standards used in the air quality modelling to assess compliance for the project are presented in </w:t>
      </w:r>
      <w:r>
        <w:fldChar w:fldCharType="begin"/>
      </w:r>
      <w:r>
        <w:instrText xml:space="preserve"> REF _Ref86054157 \h </w:instrText>
      </w:r>
      <w:r>
        <w:fldChar w:fldCharType="separate"/>
      </w:r>
      <w:r w:rsidR="009056B9" w:rsidRPr="00B241C2">
        <w:t>Table</w:t>
      </w:r>
      <w:r w:rsidR="009056B9">
        <w:t> </w:t>
      </w:r>
      <w:r w:rsidR="009056B9">
        <w:rPr>
          <w:noProof/>
        </w:rPr>
        <w:t>20</w:t>
      </w:r>
      <w:r w:rsidR="009056B9" w:rsidRPr="00B241C2">
        <w:t>.</w:t>
      </w:r>
      <w:r w:rsidR="009056B9">
        <w:rPr>
          <w:noProof/>
        </w:rPr>
        <w:t>3</w:t>
      </w:r>
      <w:r>
        <w:fldChar w:fldCharType="end"/>
      </w:r>
      <w:r w:rsidRPr="008A4608">
        <w:t xml:space="preserve"> below. These standards relate to total air pollutant concentrations, meaning they include background (without project) levels. </w:t>
      </w:r>
    </w:p>
    <w:p w14:paraId="04A790E3" w14:textId="762A0438" w:rsidR="00B241C2" w:rsidRPr="00B241C2" w:rsidRDefault="00B241C2" w:rsidP="009056B9">
      <w:pPr>
        <w:pStyle w:val="Caption"/>
      </w:pPr>
      <w:bookmarkStart w:id="41" w:name="_Ref76132342"/>
      <w:bookmarkStart w:id="42" w:name="_Ref86054157"/>
      <w:bookmarkStart w:id="43" w:name="_Toc84595787"/>
      <w:bookmarkStart w:id="44" w:name="_Toc105144194"/>
      <w:r w:rsidRPr="00B241C2">
        <w:t>Table</w:t>
      </w:r>
      <w:r>
        <w:t> </w:t>
      </w:r>
      <w:fldSimple w:instr=" STYLEREF 1 \s ">
        <w:r w:rsidR="009056B9">
          <w:rPr>
            <w:noProof/>
          </w:rPr>
          <w:t>20</w:t>
        </w:r>
      </w:fldSimple>
      <w:r w:rsidRPr="00B241C2">
        <w:t>.</w:t>
      </w:r>
      <w:fldSimple w:instr=" SEQ Table \* ARABIC \s 1 ">
        <w:r w:rsidR="009056B9">
          <w:rPr>
            <w:noProof/>
          </w:rPr>
          <w:t>3</w:t>
        </w:r>
      </w:fldSimple>
      <w:bookmarkEnd w:id="41"/>
      <w:bookmarkEnd w:id="42"/>
      <w:r w:rsidRPr="00B241C2">
        <w:tab/>
        <w:t>Air quality standards used in modelling assessment</w:t>
      </w:r>
      <w:bookmarkEnd w:id="43"/>
      <w:bookmarkEnd w:id="44"/>
    </w:p>
    <w:tbl>
      <w:tblPr>
        <w:tblStyle w:val="Table1"/>
        <w:tblW w:w="5000" w:type="pct"/>
        <w:tblLayout w:type="fixed"/>
        <w:tblLook w:val="04A0" w:firstRow="1" w:lastRow="0" w:firstColumn="1" w:lastColumn="0" w:noHBand="0" w:noVBand="1"/>
      </w:tblPr>
      <w:tblGrid>
        <w:gridCol w:w="1560"/>
        <w:gridCol w:w="1134"/>
        <w:gridCol w:w="1910"/>
        <w:gridCol w:w="4466"/>
      </w:tblGrid>
      <w:tr w:rsidR="00B241C2" w:rsidRPr="008A4608" w14:paraId="2E34C5F0" w14:textId="77777777" w:rsidTr="00B241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 w:type="pct"/>
          </w:tcPr>
          <w:p w14:paraId="2B6E0FF6" w14:textId="77777777" w:rsidR="00B241C2" w:rsidRPr="008A4608" w:rsidRDefault="00B241C2" w:rsidP="002C53C9">
            <w:pPr>
              <w:pStyle w:val="TableHeading"/>
            </w:pPr>
            <w:r w:rsidRPr="008A4608">
              <w:t>Parameter</w:t>
            </w:r>
          </w:p>
        </w:tc>
        <w:tc>
          <w:tcPr>
            <w:tcW w:w="625" w:type="pct"/>
          </w:tcPr>
          <w:p w14:paraId="38670C63" w14:textId="77777777" w:rsidR="00B241C2" w:rsidRPr="008A4608" w:rsidRDefault="00B241C2" w:rsidP="002C53C9">
            <w:pPr>
              <w:pStyle w:val="TableHeading"/>
              <w:cnfStyle w:val="100000000000" w:firstRow="1" w:lastRow="0" w:firstColumn="0" w:lastColumn="0" w:oddVBand="0" w:evenVBand="0" w:oddHBand="0" w:evenHBand="0" w:firstRowFirstColumn="0" w:firstRowLastColumn="0" w:lastRowFirstColumn="0" w:lastRowLastColumn="0"/>
            </w:pPr>
            <w:r w:rsidRPr="008A4608">
              <w:t>Averaging time</w:t>
            </w:r>
          </w:p>
        </w:tc>
        <w:tc>
          <w:tcPr>
            <w:tcW w:w="1053" w:type="pct"/>
          </w:tcPr>
          <w:p w14:paraId="6452F865" w14:textId="766BE738" w:rsidR="00B241C2" w:rsidRPr="008A4608" w:rsidRDefault="00B241C2" w:rsidP="002C53C9">
            <w:pPr>
              <w:pStyle w:val="TableHeading"/>
              <w:cnfStyle w:val="100000000000" w:firstRow="1" w:lastRow="0" w:firstColumn="0" w:lastColumn="0" w:oddVBand="0" w:evenVBand="0" w:oddHBand="0" w:evenHBand="0" w:firstRowFirstColumn="0" w:firstRowLastColumn="0" w:lastRowFirstColumn="0" w:lastRowLastColumn="0"/>
            </w:pPr>
            <w:r w:rsidRPr="008A4608">
              <w:t xml:space="preserve">Project </w:t>
            </w:r>
            <w:r>
              <w:t>s</w:t>
            </w:r>
            <w:r w:rsidRPr="008A4608">
              <w:t>tandard (maximum)</w:t>
            </w:r>
            <w:r w:rsidRPr="00B241C2">
              <w:rPr>
                <w:vertAlign w:val="superscript"/>
              </w:rPr>
              <w:t>#</w:t>
            </w:r>
          </w:p>
        </w:tc>
        <w:tc>
          <w:tcPr>
            <w:tcW w:w="2462" w:type="pct"/>
          </w:tcPr>
          <w:p w14:paraId="5E103100" w14:textId="77777777" w:rsidR="00B241C2" w:rsidRPr="008A4608" w:rsidRDefault="00B241C2" w:rsidP="002C53C9">
            <w:pPr>
              <w:pStyle w:val="TableHeading"/>
              <w:cnfStyle w:val="100000000000" w:firstRow="1" w:lastRow="0" w:firstColumn="0" w:lastColumn="0" w:oddVBand="0" w:evenVBand="0" w:oddHBand="0" w:evenHBand="0" w:firstRowFirstColumn="0" w:firstRowLastColumn="0" w:lastRowFirstColumn="0" w:lastRowLastColumn="0"/>
            </w:pPr>
            <w:r w:rsidRPr="008A4608">
              <w:t>Reference</w:t>
            </w:r>
          </w:p>
        </w:tc>
      </w:tr>
      <w:tr w:rsidR="00B241C2" w:rsidRPr="008A4608" w14:paraId="298BA418" w14:textId="77777777" w:rsidTr="00B241C2">
        <w:tc>
          <w:tcPr>
            <w:cnfStyle w:val="001000000000" w:firstRow="0" w:lastRow="0" w:firstColumn="1" w:lastColumn="0" w:oddVBand="0" w:evenVBand="0" w:oddHBand="0" w:evenHBand="0" w:firstRowFirstColumn="0" w:firstRowLastColumn="0" w:lastRowFirstColumn="0" w:lastRowLastColumn="0"/>
            <w:tcW w:w="860" w:type="pct"/>
            <w:vMerge w:val="restart"/>
          </w:tcPr>
          <w:p w14:paraId="399A421C" w14:textId="77777777" w:rsidR="00B241C2" w:rsidRPr="008A4608" w:rsidRDefault="00B241C2" w:rsidP="002C53C9">
            <w:pPr>
              <w:pStyle w:val="TableText"/>
            </w:pPr>
            <w:r w:rsidRPr="008A4608">
              <w:t>PM</w:t>
            </w:r>
            <w:r w:rsidRPr="008A4608">
              <w:rPr>
                <w:vertAlign w:val="subscript"/>
              </w:rPr>
              <w:t>10</w:t>
            </w:r>
          </w:p>
        </w:tc>
        <w:tc>
          <w:tcPr>
            <w:tcW w:w="625" w:type="pct"/>
          </w:tcPr>
          <w:p w14:paraId="6DE6EF4E" w14:textId="77777777" w:rsidR="00B241C2" w:rsidRPr="008A4608" w:rsidRDefault="00B241C2" w:rsidP="002C53C9">
            <w:pPr>
              <w:pStyle w:val="TableText"/>
              <w:cnfStyle w:val="000000000000" w:firstRow="0" w:lastRow="0" w:firstColumn="0" w:lastColumn="0" w:oddVBand="0" w:evenVBand="0" w:oddHBand="0" w:evenHBand="0" w:firstRowFirstColumn="0" w:firstRowLastColumn="0" w:lastRowFirstColumn="0" w:lastRowLastColumn="0"/>
            </w:pPr>
            <w:r w:rsidRPr="008A4608">
              <w:t>24 hours</w:t>
            </w:r>
          </w:p>
        </w:tc>
        <w:tc>
          <w:tcPr>
            <w:tcW w:w="1053" w:type="pct"/>
          </w:tcPr>
          <w:p w14:paraId="4F7779F2" w14:textId="77777777" w:rsidR="00B241C2" w:rsidRPr="008A4608" w:rsidRDefault="00B241C2" w:rsidP="002C53C9">
            <w:pPr>
              <w:pStyle w:val="TableText"/>
              <w:cnfStyle w:val="000000000000" w:firstRow="0" w:lastRow="0" w:firstColumn="0" w:lastColumn="0" w:oddVBand="0" w:evenVBand="0" w:oddHBand="0" w:evenHBand="0" w:firstRowFirstColumn="0" w:firstRowLastColumn="0" w:lastRowFirstColumn="0" w:lastRowLastColumn="0"/>
            </w:pPr>
            <w:r w:rsidRPr="008A4608">
              <w:t>50 µg/m</w:t>
            </w:r>
            <w:r w:rsidRPr="008A4608">
              <w:rPr>
                <w:vertAlign w:val="superscript"/>
              </w:rPr>
              <w:t>3</w:t>
            </w:r>
          </w:p>
        </w:tc>
        <w:tc>
          <w:tcPr>
            <w:tcW w:w="2462" w:type="pct"/>
          </w:tcPr>
          <w:p w14:paraId="358E276F" w14:textId="7EE1446F" w:rsidR="00B241C2" w:rsidRPr="008A4608" w:rsidRDefault="00B241C2" w:rsidP="002C53C9">
            <w:pPr>
              <w:pStyle w:val="TableText"/>
              <w:cnfStyle w:val="000000000000" w:firstRow="0" w:lastRow="0" w:firstColumn="0" w:lastColumn="0" w:oddVBand="0" w:evenVBand="0" w:oddHBand="0" w:evenHBand="0" w:firstRowFirstColumn="0" w:firstRowLastColumn="0" w:lastRowFirstColumn="0" w:lastRowLastColumn="0"/>
            </w:pPr>
            <w:r w:rsidRPr="008A4608">
              <w:t>Environment Reference Standard</w:t>
            </w:r>
          </w:p>
        </w:tc>
      </w:tr>
      <w:tr w:rsidR="00B241C2" w:rsidRPr="008A4608" w14:paraId="1296B7AC" w14:textId="77777777" w:rsidTr="00B241C2">
        <w:tc>
          <w:tcPr>
            <w:cnfStyle w:val="001000000000" w:firstRow="0" w:lastRow="0" w:firstColumn="1" w:lastColumn="0" w:oddVBand="0" w:evenVBand="0" w:oddHBand="0" w:evenHBand="0" w:firstRowFirstColumn="0" w:firstRowLastColumn="0" w:lastRowFirstColumn="0" w:lastRowLastColumn="0"/>
            <w:tcW w:w="860" w:type="pct"/>
            <w:vMerge/>
          </w:tcPr>
          <w:p w14:paraId="6D22ED3B" w14:textId="77777777" w:rsidR="00B241C2" w:rsidRPr="008A4608" w:rsidRDefault="00B241C2" w:rsidP="002C53C9"/>
        </w:tc>
        <w:tc>
          <w:tcPr>
            <w:tcW w:w="625" w:type="pct"/>
          </w:tcPr>
          <w:p w14:paraId="6FF3D955" w14:textId="77777777" w:rsidR="00B241C2" w:rsidRPr="008A4608" w:rsidRDefault="00B241C2" w:rsidP="002C53C9">
            <w:pPr>
              <w:pStyle w:val="TableText"/>
              <w:cnfStyle w:val="000000000000" w:firstRow="0" w:lastRow="0" w:firstColumn="0" w:lastColumn="0" w:oddVBand="0" w:evenVBand="0" w:oddHBand="0" w:evenHBand="0" w:firstRowFirstColumn="0" w:firstRowLastColumn="0" w:lastRowFirstColumn="0" w:lastRowLastColumn="0"/>
            </w:pPr>
            <w:r w:rsidRPr="008A4608">
              <w:t>Annual</w:t>
            </w:r>
          </w:p>
        </w:tc>
        <w:tc>
          <w:tcPr>
            <w:tcW w:w="1053" w:type="pct"/>
          </w:tcPr>
          <w:p w14:paraId="78E5771B" w14:textId="77777777" w:rsidR="00B241C2" w:rsidRPr="008A4608" w:rsidRDefault="00B241C2" w:rsidP="002C53C9">
            <w:pPr>
              <w:pStyle w:val="TableText"/>
              <w:cnfStyle w:val="000000000000" w:firstRow="0" w:lastRow="0" w:firstColumn="0" w:lastColumn="0" w:oddVBand="0" w:evenVBand="0" w:oddHBand="0" w:evenHBand="0" w:firstRowFirstColumn="0" w:firstRowLastColumn="0" w:lastRowFirstColumn="0" w:lastRowLastColumn="0"/>
            </w:pPr>
            <w:r w:rsidRPr="008A4608">
              <w:t xml:space="preserve">20 </w:t>
            </w:r>
            <w:bookmarkStart w:id="45" w:name="_Hlk77667106"/>
            <w:r w:rsidRPr="008A4608">
              <w:t>µg/m</w:t>
            </w:r>
            <w:r w:rsidRPr="008A4608">
              <w:rPr>
                <w:vertAlign w:val="superscript"/>
              </w:rPr>
              <w:t>3</w:t>
            </w:r>
            <w:bookmarkEnd w:id="45"/>
          </w:p>
        </w:tc>
        <w:tc>
          <w:tcPr>
            <w:tcW w:w="2462" w:type="pct"/>
          </w:tcPr>
          <w:p w14:paraId="16172FF0" w14:textId="60F7AE54" w:rsidR="00B241C2" w:rsidRPr="008A4608" w:rsidRDefault="00B241C2" w:rsidP="002C53C9">
            <w:pPr>
              <w:pStyle w:val="TableText"/>
              <w:cnfStyle w:val="000000000000" w:firstRow="0" w:lastRow="0" w:firstColumn="0" w:lastColumn="0" w:oddVBand="0" w:evenVBand="0" w:oddHBand="0" w:evenHBand="0" w:firstRowFirstColumn="0" w:firstRowLastColumn="0" w:lastRowFirstColumn="0" w:lastRowLastColumn="0"/>
            </w:pPr>
            <w:r w:rsidRPr="008A4608">
              <w:t>Environment Reference Standard</w:t>
            </w:r>
          </w:p>
        </w:tc>
      </w:tr>
      <w:tr w:rsidR="00B241C2" w:rsidRPr="008A4608" w14:paraId="39C97ADF" w14:textId="77777777" w:rsidTr="00B241C2">
        <w:tc>
          <w:tcPr>
            <w:cnfStyle w:val="001000000000" w:firstRow="0" w:lastRow="0" w:firstColumn="1" w:lastColumn="0" w:oddVBand="0" w:evenVBand="0" w:oddHBand="0" w:evenHBand="0" w:firstRowFirstColumn="0" w:firstRowLastColumn="0" w:lastRowFirstColumn="0" w:lastRowLastColumn="0"/>
            <w:tcW w:w="860" w:type="pct"/>
            <w:vMerge w:val="restart"/>
          </w:tcPr>
          <w:p w14:paraId="3B10FEC7" w14:textId="77777777" w:rsidR="00B241C2" w:rsidRPr="008A4608" w:rsidRDefault="00B241C2" w:rsidP="002C53C9">
            <w:pPr>
              <w:pStyle w:val="TableText"/>
            </w:pPr>
            <w:r w:rsidRPr="008A4608">
              <w:t>PM</w:t>
            </w:r>
            <w:r w:rsidRPr="008A4608">
              <w:rPr>
                <w:vertAlign w:val="subscript"/>
              </w:rPr>
              <w:t>2.5</w:t>
            </w:r>
            <w:r w:rsidRPr="008A4608">
              <w:t>*</w:t>
            </w:r>
          </w:p>
        </w:tc>
        <w:tc>
          <w:tcPr>
            <w:tcW w:w="625" w:type="pct"/>
          </w:tcPr>
          <w:p w14:paraId="160AE21A" w14:textId="77777777" w:rsidR="00B241C2" w:rsidRPr="008A4608" w:rsidRDefault="00B241C2" w:rsidP="002C53C9">
            <w:pPr>
              <w:pStyle w:val="TableText"/>
              <w:cnfStyle w:val="000000000000" w:firstRow="0" w:lastRow="0" w:firstColumn="0" w:lastColumn="0" w:oddVBand="0" w:evenVBand="0" w:oddHBand="0" w:evenHBand="0" w:firstRowFirstColumn="0" w:firstRowLastColumn="0" w:lastRowFirstColumn="0" w:lastRowLastColumn="0"/>
            </w:pPr>
            <w:r w:rsidRPr="008A4608">
              <w:t>24 hours</w:t>
            </w:r>
          </w:p>
        </w:tc>
        <w:tc>
          <w:tcPr>
            <w:tcW w:w="1053" w:type="pct"/>
          </w:tcPr>
          <w:p w14:paraId="3A90AFB3" w14:textId="77777777" w:rsidR="00B241C2" w:rsidRPr="008A4608" w:rsidRDefault="00B241C2" w:rsidP="002C53C9">
            <w:pPr>
              <w:pStyle w:val="TableText"/>
              <w:cnfStyle w:val="000000000000" w:firstRow="0" w:lastRow="0" w:firstColumn="0" w:lastColumn="0" w:oddVBand="0" w:evenVBand="0" w:oddHBand="0" w:evenHBand="0" w:firstRowFirstColumn="0" w:firstRowLastColumn="0" w:lastRowFirstColumn="0" w:lastRowLastColumn="0"/>
            </w:pPr>
            <w:r w:rsidRPr="008A4608">
              <w:t>25 µg/m</w:t>
            </w:r>
            <w:r w:rsidRPr="008A4608">
              <w:rPr>
                <w:vertAlign w:val="superscript"/>
              </w:rPr>
              <w:t>3</w:t>
            </w:r>
          </w:p>
        </w:tc>
        <w:tc>
          <w:tcPr>
            <w:tcW w:w="2462" w:type="pct"/>
          </w:tcPr>
          <w:p w14:paraId="5BB13EF7" w14:textId="4F4E6233" w:rsidR="00B241C2" w:rsidRPr="008A4608" w:rsidRDefault="00B241C2" w:rsidP="002C53C9">
            <w:pPr>
              <w:pStyle w:val="TableText"/>
              <w:cnfStyle w:val="000000000000" w:firstRow="0" w:lastRow="0" w:firstColumn="0" w:lastColumn="0" w:oddVBand="0" w:evenVBand="0" w:oddHBand="0" w:evenHBand="0" w:firstRowFirstColumn="0" w:firstRowLastColumn="0" w:lastRowFirstColumn="0" w:lastRowLastColumn="0"/>
            </w:pPr>
            <w:r w:rsidRPr="008A4608">
              <w:t>Environment Reference Standard</w:t>
            </w:r>
          </w:p>
        </w:tc>
      </w:tr>
      <w:tr w:rsidR="00B241C2" w:rsidRPr="008A4608" w14:paraId="77212F06" w14:textId="77777777" w:rsidTr="00B241C2">
        <w:tc>
          <w:tcPr>
            <w:cnfStyle w:val="001000000000" w:firstRow="0" w:lastRow="0" w:firstColumn="1" w:lastColumn="0" w:oddVBand="0" w:evenVBand="0" w:oddHBand="0" w:evenHBand="0" w:firstRowFirstColumn="0" w:firstRowLastColumn="0" w:lastRowFirstColumn="0" w:lastRowLastColumn="0"/>
            <w:tcW w:w="860" w:type="pct"/>
            <w:vMerge/>
          </w:tcPr>
          <w:p w14:paraId="017BA17F" w14:textId="77777777" w:rsidR="00B241C2" w:rsidRPr="008A4608" w:rsidRDefault="00B241C2" w:rsidP="002C53C9"/>
        </w:tc>
        <w:tc>
          <w:tcPr>
            <w:tcW w:w="625" w:type="pct"/>
          </w:tcPr>
          <w:p w14:paraId="7EEF2880" w14:textId="77777777" w:rsidR="00B241C2" w:rsidRPr="008A4608" w:rsidRDefault="00B241C2" w:rsidP="002C53C9">
            <w:pPr>
              <w:pStyle w:val="TableText"/>
              <w:cnfStyle w:val="000000000000" w:firstRow="0" w:lastRow="0" w:firstColumn="0" w:lastColumn="0" w:oddVBand="0" w:evenVBand="0" w:oddHBand="0" w:evenHBand="0" w:firstRowFirstColumn="0" w:firstRowLastColumn="0" w:lastRowFirstColumn="0" w:lastRowLastColumn="0"/>
            </w:pPr>
            <w:r w:rsidRPr="008A4608">
              <w:t>Annual</w:t>
            </w:r>
          </w:p>
        </w:tc>
        <w:tc>
          <w:tcPr>
            <w:tcW w:w="1053" w:type="pct"/>
          </w:tcPr>
          <w:p w14:paraId="37F1AC84" w14:textId="77777777" w:rsidR="00B241C2" w:rsidRPr="008A4608" w:rsidRDefault="00B241C2" w:rsidP="002C53C9">
            <w:pPr>
              <w:pStyle w:val="TableText"/>
              <w:cnfStyle w:val="000000000000" w:firstRow="0" w:lastRow="0" w:firstColumn="0" w:lastColumn="0" w:oddVBand="0" w:evenVBand="0" w:oddHBand="0" w:evenHBand="0" w:firstRowFirstColumn="0" w:firstRowLastColumn="0" w:lastRowFirstColumn="0" w:lastRowLastColumn="0"/>
            </w:pPr>
            <w:r w:rsidRPr="008A4608">
              <w:t>8 µg/m</w:t>
            </w:r>
            <w:r w:rsidRPr="008A4608">
              <w:rPr>
                <w:vertAlign w:val="superscript"/>
              </w:rPr>
              <w:t>3</w:t>
            </w:r>
          </w:p>
        </w:tc>
        <w:tc>
          <w:tcPr>
            <w:tcW w:w="2462" w:type="pct"/>
          </w:tcPr>
          <w:p w14:paraId="4D740644" w14:textId="46AB5AD1" w:rsidR="00B241C2" w:rsidRPr="008A4608" w:rsidRDefault="00B241C2" w:rsidP="002C53C9">
            <w:pPr>
              <w:pStyle w:val="TableText"/>
              <w:cnfStyle w:val="000000000000" w:firstRow="0" w:lastRow="0" w:firstColumn="0" w:lastColumn="0" w:oddVBand="0" w:evenVBand="0" w:oddHBand="0" w:evenHBand="0" w:firstRowFirstColumn="0" w:firstRowLastColumn="0" w:lastRowFirstColumn="0" w:lastRowLastColumn="0"/>
            </w:pPr>
            <w:r w:rsidRPr="008A4608">
              <w:t>Environment Reference Standard</w:t>
            </w:r>
          </w:p>
        </w:tc>
      </w:tr>
      <w:tr w:rsidR="00B241C2" w:rsidRPr="008A4608" w14:paraId="5EAE80C5" w14:textId="77777777" w:rsidTr="00B241C2">
        <w:tc>
          <w:tcPr>
            <w:cnfStyle w:val="001000000000" w:firstRow="0" w:lastRow="0" w:firstColumn="1" w:lastColumn="0" w:oddVBand="0" w:evenVBand="0" w:oddHBand="0" w:evenHBand="0" w:firstRowFirstColumn="0" w:firstRowLastColumn="0" w:lastRowFirstColumn="0" w:lastRowLastColumn="0"/>
            <w:tcW w:w="860" w:type="pct"/>
          </w:tcPr>
          <w:p w14:paraId="4F15EE97" w14:textId="77777777" w:rsidR="00B241C2" w:rsidRPr="008A4608" w:rsidRDefault="00B241C2" w:rsidP="002C53C9">
            <w:pPr>
              <w:pStyle w:val="TableText"/>
            </w:pPr>
            <w:r w:rsidRPr="008A4608">
              <w:t>Respirable crystalline silica</w:t>
            </w:r>
          </w:p>
        </w:tc>
        <w:tc>
          <w:tcPr>
            <w:tcW w:w="625" w:type="pct"/>
          </w:tcPr>
          <w:p w14:paraId="176F08F9" w14:textId="77777777" w:rsidR="00B241C2" w:rsidRPr="008A4608" w:rsidRDefault="00B241C2" w:rsidP="002C53C9">
            <w:pPr>
              <w:pStyle w:val="TableText"/>
              <w:cnfStyle w:val="000000000000" w:firstRow="0" w:lastRow="0" w:firstColumn="0" w:lastColumn="0" w:oddVBand="0" w:evenVBand="0" w:oddHBand="0" w:evenHBand="0" w:firstRowFirstColumn="0" w:firstRowLastColumn="0" w:lastRowFirstColumn="0" w:lastRowLastColumn="0"/>
            </w:pPr>
            <w:r w:rsidRPr="008A4608">
              <w:t>Annual</w:t>
            </w:r>
          </w:p>
        </w:tc>
        <w:tc>
          <w:tcPr>
            <w:tcW w:w="1053" w:type="pct"/>
          </w:tcPr>
          <w:p w14:paraId="19B80470" w14:textId="77777777" w:rsidR="00B241C2" w:rsidRPr="008A4608" w:rsidRDefault="00B241C2" w:rsidP="002C53C9">
            <w:pPr>
              <w:pStyle w:val="TableText"/>
              <w:cnfStyle w:val="000000000000" w:firstRow="0" w:lastRow="0" w:firstColumn="0" w:lastColumn="0" w:oddVBand="0" w:evenVBand="0" w:oddHBand="0" w:evenHBand="0" w:firstRowFirstColumn="0" w:firstRowLastColumn="0" w:lastRowFirstColumn="0" w:lastRowLastColumn="0"/>
            </w:pPr>
            <w:r w:rsidRPr="008A4608">
              <w:t>3 µg/m</w:t>
            </w:r>
            <w:r w:rsidRPr="008A4608">
              <w:rPr>
                <w:vertAlign w:val="superscript"/>
              </w:rPr>
              <w:t>3</w:t>
            </w:r>
          </w:p>
        </w:tc>
        <w:tc>
          <w:tcPr>
            <w:tcW w:w="2462" w:type="pct"/>
          </w:tcPr>
          <w:p w14:paraId="438EF735" w14:textId="408D474A" w:rsidR="00B241C2" w:rsidRPr="008A4608" w:rsidRDefault="00B241C2" w:rsidP="002C53C9">
            <w:pPr>
              <w:pStyle w:val="TableText"/>
              <w:cnfStyle w:val="000000000000" w:firstRow="0" w:lastRow="0" w:firstColumn="0" w:lastColumn="0" w:oddVBand="0" w:evenVBand="0" w:oddHBand="0" w:evenHBand="0" w:firstRowFirstColumn="0" w:firstRowLastColumn="0" w:lastRowFirstColumn="0" w:lastRowLastColumn="0"/>
            </w:pPr>
            <w:r w:rsidRPr="008A4608">
              <w:t>EPA Victoria Publication 1961</w:t>
            </w:r>
            <w:r w:rsidRPr="008A4608">
              <w:rPr>
                <w:i/>
              </w:rPr>
              <w:t>:</w:t>
            </w:r>
            <w:r w:rsidRPr="008A4608">
              <w:t xml:space="preserve"> </w:t>
            </w:r>
            <w:r w:rsidRPr="008A4608">
              <w:rPr>
                <w:i/>
              </w:rPr>
              <w:t>Guideline for assessing and minimising air pollution in Victoria</w:t>
            </w:r>
          </w:p>
        </w:tc>
      </w:tr>
      <w:tr w:rsidR="00B241C2" w:rsidRPr="008A4608" w14:paraId="575E0ABC" w14:textId="77777777" w:rsidTr="00B241C2">
        <w:tc>
          <w:tcPr>
            <w:cnfStyle w:val="001000000000" w:firstRow="0" w:lastRow="0" w:firstColumn="1" w:lastColumn="0" w:oddVBand="0" w:evenVBand="0" w:oddHBand="0" w:evenHBand="0" w:firstRowFirstColumn="0" w:firstRowLastColumn="0" w:lastRowFirstColumn="0" w:lastRowLastColumn="0"/>
            <w:tcW w:w="860" w:type="pct"/>
            <w:vMerge w:val="restart"/>
          </w:tcPr>
          <w:p w14:paraId="678F0192" w14:textId="77777777" w:rsidR="00B241C2" w:rsidRPr="008A4608" w:rsidRDefault="00B241C2" w:rsidP="002C53C9">
            <w:pPr>
              <w:pStyle w:val="TableText"/>
            </w:pPr>
            <w:r w:rsidRPr="008A4608">
              <w:t>Deposited dust</w:t>
            </w:r>
          </w:p>
        </w:tc>
        <w:tc>
          <w:tcPr>
            <w:tcW w:w="625" w:type="pct"/>
          </w:tcPr>
          <w:p w14:paraId="743C2F7A" w14:textId="77777777" w:rsidR="00B241C2" w:rsidRPr="008A4608" w:rsidRDefault="00B241C2" w:rsidP="002C53C9">
            <w:pPr>
              <w:pStyle w:val="TableText"/>
              <w:cnfStyle w:val="000000000000" w:firstRow="0" w:lastRow="0" w:firstColumn="0" w:lastColumn="0" w:oddVBand="0" w:evenVBand="0" w:oddHBand="0" w:evenHBand="0" w:firstRowFirstColumn="0" w:firstRowLastColumn="0" w:lastRowFirstColumn="0" w:lastRowLastColumn="0"/>
            </w:pPr>
            <w:r w:rsidRPr="008A4608">
              <w:t>Monthly</w:t>
            </w:r>
          </w:p>
        </w:tc>
        <w:tc>
          <w:tcPr>
            <w:tcW w:w="1053" w:type="pct"/>
          </w:tcPr>
          <w:p w14:paraId="43F65BAC" w14:textId="77777777" w:rsidR="00B241C2" w:rsidRPr="008A4608" w:rsidRDefault="00B241C2" w:rsidP="002C53C9">
            <w:pPr>
              <w:pStyle w:val="TableText"/>
              <w:cnfStyle w:val="000000000000" w:firstRow="0" w:lastRow="0" w:firstColumn="0" w:lastColumn="0" w:oddVBand="0" w:evenVBand="0" w:oddHBand="0" w:evenHBand="0" w:firstRowFirstColumn="0" w:firstRowLastColumn="0" w:lastRowFirstColumn="0" w:lastRowLastColumn="0"/>
            </w:pPr>
            <w:r w:rsidRPr="008A4608">
              <w:t>2 g/m</w:t>
            </w:r>
            <w:r w:rsidRPr="008A4608">
              <w:rPr>
                <w:vertAlign w:val="superscript"/>
              </w:rPr>
              <w:t>2</w:t>
            </w:r>
            <w:r w:rsidRPr="008A4608">
              <w:t>/month</w:t>
            </w:r>
          </w:p>
        </w:tc>
        <w:tc>
          <w:tcPr>
            <w:tcW w:w="2462" w:type="pct"/>
          </w:tcPr>
          <w:p w14:paraId="5D27B52B" w14:textId="77777777" w:rsidR="00B241C2" w:rsidRPr="008A4608" w:rsidRDefault="00B241C2" w:rsidP="002C53C9">
            <w:pPr>
              <w:pStyle w:val="TableText"/>
              <w:cnfStyle w:val="000000000000" w:firstRow="0" w:lastRow="0" w:firstColumn="0" w:lastColumn="0" w:oddVBand="0" w:evenVBand="0" w:oddHBand="0" w:evenHBand="0" w:firstRowFirstColumn="0" w:firstRowLastColumn="0" w:lastRowFirstColumn="0" w:lastRowLastColumn="0"/>
            </w:pPr>
            <w:r w:rsidRPr="008A4608">
              <w:t>EPA Victoria Publication 1191</w:t>
            </w:r>
            <w:r w:rsidRPr="008A4608">
              <w:rPr>
                <w:i/>
              </w:rPr>
              <w:t>:</w:t>
            </w:r>
            <w:r w:rsidRPr="008A4608">
              <w:t xml:space="preserve"> </w:t>
            </w:r>
            <w:r w:rsidRPr="008A4608">
              <w:rPr>
                <w:i/>
              </w:rPr>
              <w:t>Protocol for Environmental Management: Mining and Extractive Industries</w:t>
            </w:r>
          </w:p>
        </w:tc>
      </w:tr>
      <w:tr w:rsidR="00B241C2" w:rsidRPr="008A4608" w14:paraId="3D982366" w14:textId="77777777" w:rsidTr="00B241C2">
        <w:tc>
          <w:tcPr>
            <w:cnfStyle w:val="001000000000" w:firstRow="0" w:lastRow="0" w:firstColumn="1" w:lastColumn="0" w:oddVBand="0" w:evenVBand="0" w:oddHBand="0" w:evenHBand="0" w:firstRowFirstColumn="0" w:firstRowLastColumn="0" w:lastRowFirstColumn="0" w:lastRowLastColumn="0"/>
            <w:tcW w:w="860" w:type="pct"/>
            <w:vMerge/>
          </w:tcPr>
          <w:p w14:paraId="4DCEBF83" w14:textId="77777777" w:rsidR="00B241C2" w:rsidRPr="008A4608" w:rsidRDefault="00B241C2" w:rsidP="002C53C9"/>
        </w:tc>
        <w:tc>
          <w:tcPr>
            <w:tcW w:w="625" w:type="pct"/>
          </w:tcPr>
          <w:p w14:paraId="0F95F00A" w14:textId="77777777" w:rsidR="00B241C2" w:rsidRPr="008A4608" w:rsidRDefault="00B241C2" w:rsidP="002C53C9">
            <w:pPr>
              <w:pStyle w:val="TableText"/>
              <w:cnfStyle w:val="000000000000" w:firstRow="0" w:lastRow="0" w:firstColumn="0" w:lastColumn="0" w:oddVBand="0" w:evenVBand="0" w:oddHBand="0" w:evenHBand="0" w:firstRowFirstColumn="0" w:firstRowLastColumn="0" w:lastRowFirstColumn="0" w:lastRowLastColumn="0"/>
            </w:pPr>
            <w:r w:rsidRPr="008A4608">
              <w:t>Monthly</w:t>
            </w:r>
          </w:p>
        </w:tc>
        <w:tc>
          <w:tcPr>
            <w:tcW w:w="1053" w:type="pct"/>
          </w:tcPr>
          <w:p w14:paraId="0626753F" w14:textId="77777777" w:rsidR="00B241C2" w:rsidRPr="008A4608" w:rsidRDefault="00B241C2" w:rsidP="002C53C9">
            <w:pPr>
              <w:pStyle w:val="TableText"/>
              <w:cnfStyle w:val="000000000000" w:firstRow="0" w:lastRow="0" w:firstColumn="0" w:lastColumn="0" w:oddVBand="0" w:evenVBand="0" w:oddHBand="0" w:evenHBand="0" w:firstRowFirstColumn="0" w:firstRowLastColumn="0" w:lastRowFirstColumn="0" w:lastRowLastColumn="0"/>
            </w:pPr>
            <w:r w:rsidRPr="008A4608">
              <w:t>4 g/m</w:t>
            </w:r>
            <w:r w:rsidRPr="008A4608">
              <w:rPr>
                <w:vertAlign w:val="superscript"/>
              </w:rPr>
              <w:t>2</w:t>
            </w:r>
            <w:r w:rsidRPr="008A4608">
              <w:t xml:space="preserve">/month </w:t>
            </w:r>
            <w:r w:rsidRPr="008A4608">
              <w:br/>
              <w:t>(including background)</w:t>
            </w:r>
          </w:p>
        </w:tc>
        <w:tc>
          <w:tcPr>
            <w:tcW w:w="2462" w:type="pct"/>
          </w:tcPr>
          <w:p w14:paraId="0C6C9B8D" w14:textId="77777777" w:rsidR="00B241C2" w:rsidRPr="008A4608" w:rsidRDefault="00B241C2" w:rsidP="002C53C9">
            <w:pPr>
              <w:pStyle w:val="TableText"/>
              <w:cnfStyle w:val="000000000000" w:firstRow="0" w:lastRow="0" w:firstColumn="0" w:lastColumn="0" w:oddVBand="0" w:evenVBand="0" w:oddHBand="0" w:evenHBand="0" w:firstRowFirstColumn="0" w:firstRowLastColumn="0" w:lastRowFirstColumn="0" w:lastRowLastColumn="0"/>
            </w:pPr>
            <w:r w:rsidRPr="008A4608">
              <w:t>EPA Victoria Publication 1191</w:t>
            </w:r>
            <w:r w:rsidRPr="008A4608">
              <w:rPr>
                <w:i/>
              </w:rPr>
              <w:t>:</w:t>
            </w:r>
            <w:r w:rsidRPr="008A4608">
              <w:t xml:space="preserve"> </w:t>
            </w:r>
            <w:r w:rsidRPr="008A4608">
              <w:rPr>
                <w:i/>
              </w:rPr>
              <w:t>Protocol for Environmental Management: Mining and Extractive Industries</w:t>
            </w:r>
          </w:p>
        </w:tc>
      </w:tr>
    </w:tbl>
    <w:p w14:paraId="1092DC38" w14:textId="77777777" w:rsidR="00B241C2" w:rsidRPr="008A4608" w:rsidRDefault="00B241C2" w:rsidP="00B241C2">
      <w:pPr>
        <w:pStyle w:val="Notes"/>
      </w:pPr>
      <w:r w:rsidRPr="008A4608">
        <w:rPr>
          <w:vertAlign w:val="superscript"/>
        </w:rPr>
        <w:t>#</w:t>
      </w:r>
      <w:r w:rsidRPr="008A4608">
        <w:t xml:space="preserve"> ‘Maximum’ means no model-predicted exceedances are allowed </w:t>
      </w:r>
    </w:p>
    <w:p w14:paraId="6D1713DA" w14:textId="79543FF2" w:rsidR="00B241C2" w:rsidRPr="008A4608" w:rsidRDefault="00B241C2" w:rsidP="00B241C2">
      <w:pPr>
        <w:pStyle w:val="Notes"/>
      </w:pPr>
      <w:r w:rsidRPr="008A4608">
        <w:t>* Modelling assessment based on current values of PM</w:t>
      </w:r>
      <w:r w:rsidRPr="008A4608">
        <w:rPr>
          <w:vertAlign w:val="subscript"/>
        </w:rPr>
        <w:t>2.5</w:t>
      </w:r>
      <w:r w:rsidRPr="008A4608">
        <w:t xml:space="preserve"> standards. In 2025 these </w:t>
      </w:r>
      <w:r w:rsidR="00F912F2">
        <w:t>would</w:t>
      </w:r>
      <w:r w:rsidRPr="008A4608">
        <w:t xml:space="preserve"> be reduced to 20 µg per m</w:t>
      </w:r>
      <w:r w:rsidRPr="008A4608">
        <w:rPr>
          <w:vertAlign w:val="superscript"/>
        </w:rPr>
        <w:t xml:space="preserve">3 </w:t>
      </w:r>
      <w:r w:rsidRPr="008A4608">
        <w:t>(maximum</w:t>
      </w:r>
      <w:r w:rsidR="009056B9">
        <w:t> </w:t>
      </w:r>
      <w:r w:rsidRPr="008A4608">
        <w:t>24-hour average) and 7 µg per m</w:t>
      </w:r>
      <w:r w:rsidRPr="008A4608">
        <w:rPr>
          <w:vertAlign w:val="superscript"/>
        </w:rPr>
        <w:t xml:space="preserve">3 </w:t>
      </w:r>
      <w:r w:rsidRPr="008A4608">
        <w:t>(annual average).</w:t>
      </w:r>
    </w:p>
    <w:p w14:paraId="29618549" w14:textId="77777777" w:rsidR="00B241C2" w:rsidRPr="00B241C2" w:rsidRDefault="00B241C2" w:rsidP="00B241C2">
      <w:pPr>
        <w:pStyle w:val="Heading4"/>
      </w:pPr>
      <w:r w:rsidRPr="00B241C2">
        <w:lastRenderedPageBreak/>
        <w:t>Quarry activities</w:t>
      </w:r>
    </w:p>
    <w:p w14:paraId="1D431B5C" w14:textId="4B80B8E8" w:rsidR="00B241C2" w:rsidRPr="008A4608" w:rsidRDefault="00B241C2" w:rsidP="00B241C2">
      <w:pPr>
        <w:pStyle w:val="BodyText"/>
      </w:pPr>
      <w:r w:rsidRPr="008A4608">
        <w:t xml:space="preserve">The dust emission rates were determined using published emission factors for mining operations, including from </w:t>
      </w:r>
      <w:r w:rsidRPr="008A4608">
        <w:rPr>
          <w:i/>
        </w:rPr>
        <w:t>Emission Estimation Technique Manual for Mining</w:t>
      </w:r>
      <w:r w:rsidRPr="008A4608">
        <w:t xml:space="preserve"> (National Pollutant Inventory 2012) and </w:t>
      </w:r>
      <w:r w:rsidRPr="008A4608">
        <w:rPr>
          <w:i/>
        </w:rPr>
        <w:t>Compilation</w:t>
      </w:r>
      <w:r w:rsidR="009056B9">
        <w:rPr>
          <w:i/>
        </w:rPr>
        <w:t> </w:t>
      </w:r>
      <w:r w:rsidRPr="008A4608">
        <w:rPr>
          <w:i/>
        </w:rPr>
        <w:t>of Air Pollutant Emission Factors, AP-42</w:t>
      </w:r>
      <w:r w:rsidRPr="008A4608">
        <w:t xml:space="preserve"> (US EPA 1985 and updates). Other input information included estimates for expected haul road distances and routes within the quarry work authority area, truck sizes, soil moisture content and activity operating hours.</w:t>
      </w:r>
    </w:p>
    <w:p w14:paraId="327D6A18" w14:textId="07A667C1" w:rsidR="00B241C2" w:rsidRPr="008A4608" w:rsidRDefault="00B241C2" w:rsidP="00B241C2">
      <w:pPr>
        <w:pStyle w:val="BodyText"/>
      </w:pPr>
      <w:r w:rsidRPr="008A4608">
        <w:t xml:space="preserve">The key inputs representing the worst-case expected dust emissions (at peak production) are shown in </w:t>
      </w:r>
      <w:r w:rsidRPr="008A4608">
        <w:rPr>
          <w:highlight w:val="yellow"/>
        </w:rPr>
        <w:fldChar w:fldCharType="begin"/>
      </w:r>
      <w:r w:rsidRPr="008A4608">
        <w:instrText xml:space="preserve"> REF _Ref76454918 \h </w:instrText>
      </w:r>
      <w:r w:rsidRPr="008A4608">
        <w:rPr>
          <w:highlight w:val="yellow"/>
        </w:rPr>
      </w:r>
      <w:r w:rsidRPr="008A4608">
        <w:rPr>
          <w:highlight w:val="yellow"/>
        </w:rPr>
        <w:fldChar w:fldCharType="separate"/>
      </w:r>
      <w:r w:rsidR="009056B9" w:rsidRPr="00B241C2">
        <w:t xml:space="preserve">Table </w:t>
      </w:r>
      <w:r w:rsidR="009056B9">
        <w:rPr>
          <w:noProof/>
        </w:rPr>
        <w:t>20</w:t>
      </w:r>
      <w:r w:rsidR="009056B9" w:rsidRPr="00B241C2">
        <w:t>.</w:t>
      </w:r>
      <w:r w:rsidR="009056B9">
        <w:rPr>
          <w:noProof/>
        </w:rPr>
        <w:t>4</w:t>
      </w:r>
      <w:r w:rsidRPr="008A4608">
        <w:rPr>
          <w:highlight w:val="yellow"/>
        </w:rPr>
        <w:fldChar w:fldCharType="end"/>
      </w:r>
      <w:r w:rsidRPr="008A4608">
        <w:t xml:space="preserve"> below.</w:t>
      </w:r>
    </w:p>
    <w:p w14:paraId="105BF41D" w14:textId="3907F006" w:rsidR="00B241C2" w:rsidRPr="00B241C2" w:rsidRDefault="00B241C2" w:rsidP="00B241C2">
      <w:pPr>
        <w:pStyle w:val="Caption"/>
      </w:pPr>
      <w:bookmarkStart w:id="46" w:name="_Ref76454918"/>
      <w:bookmarkStart w:id="47" w:name="_Toc84595788"/>
      <w:bookmarkStart w:id="48" w:name="_Toc105144195"/>
      <w:r w:rsidRPr="00B241C2">
        <w:t xml:space="preserve">Table </w:t>
      </w:r>
      <w:fldSimple w:instr=" STYLEREF 1 \s ">
        <w:r w:rsidR="009056B9">
          <w:rPr>
            <w:noProof/>
          </w:rPr>
          <w:t>20</w:t>
        </w:r>
      </w:fldSimple>
      <w:r w:rsidRPr="00B241C2">
        <w:t>.</w:t>
      </w:r>
      <w:fldSimple w:instr=" SEQ Table \* ARABIC \s 1 ">
        <w:r w:rsidR="009056B9">
          <w:rPr>
            <w:noProof/>
          </w:rPr>
          <w:t>4</w:t>
        </w:r>
      </w:fldSimple>
      <w:bookmarkEnd w:id="46"/>
      <w:r w:rsidRPr="00B241C2">
        <w:tab/>
        <w:t>Quarry dust emission estimate input parameters</w:t>
      </w:r>
      <w:bookmarkEnd w:id="47"/>
      <w:bookmarkEnd w:id="48"/>
    </w:p>
    <w:tbl>
      <w:tblPr>
        <w:tblStyle w:val="Table1"/>
        <w:tblW w:w="5000" w:type="pct"/>
        <w:tblLook w:val="04A0" w:firstRow="1" w:lastRow="0" w:firstColumn="1" w:lastColumn="0" w:noHBand="0" w:noVBand="1"/>
      </w:tblPr>
      <w:tblGrid>
        <w:gridCol w:w="3686"/>
        <w:gridCol w:w="5384"/>
      </w:tblGrid>
      <w:tr w:rsidR="00B241C2" w:rsidRPr="008A4608" w14:paraId="311BD92E" w14:textId="77777777" w:rsidTr="00B241C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32" w:type="pct"/>
          </w:tcPr>
          <w:p w14:paraId="32B0A466" w14:textId="77777777" w:rsidR="00B241C2" w:rsidRPr="008A4608" w:rsidRDefault="00B241C2" w:rsidP="002C53C9">
            <w:pPr>
              <w:pStyle w:val="TableHeading"/>
            </w:pPr>
            <w:r w:rsidRPr="008A4608">
              <w:t>Quarry model parameter</w:t>
            </w:r>
          </w:p>
        </w:tc>
        <w:tc>
          <w:tcPr>
            <w:tcW w:w="2968" w:type="pct"/>
          </w:tcPr>
          <w:p w14:paraId="3D9FA8CF" w14:textId="77777777" w:rsidR="00B241C2" w:rsidRPr="008A4608" w:rsidRDefault="00B241C2" w:rsidP="002C53C9">
            <w:pPr>
              <w:pStyle w:val="TableHeading"/>
              <w:cnfStyle w:val="100000000000" w:firstRow="1" w:lastRow="0" w:firstColumn="0" w:lastColumn="0" w:oddVBand="0" w:evenVBand="0" w:oddHBand="0" w:evenHBand="0" w:firstRowFirstColumn="0" w:firstRowLastColumn="0" w:lastRowFirstColumn="0" w:lastRowLastColumn="0"/>
            </w:pPr>
            <w:r w:rsidRPr="008A4608">
              <w:t>Value</w:t>
            </w:r>
          </w:p>
        </w:tc>
      </w:tr>
      <w:tr w:rsidR="00B241C2" w:rsidRPr="008A4608" w14:paraId="1B509949" w14:textId="77777777" w:rsidTr="00B241C2">
        <w:tc>
          <w:tcPr>
            <w:cnfStyle w:val="001000000000" w:firstRow="0" w:lastRow="0" w:firstColumn="1" w:lastColumn="0" w:oddVBand="0" w:evenVBand="0" w:oddHBand="0" w:evenHBand="0" w:firstRowFirstColumn="0" w:firstRowLastColumn="0" w:lastRowFirstColumn="0" w:lastRowLastColumn="0"/>
            <w:tcW w:w="2032" w:type="pct"/>
          </w:tcPr>
          <w:p w14:paraId="1467743C" w14:textId="77777777" w:rsidR="00B241C2" w:rsidRPr="008A4608" w:rsidRDefault="00B241C2" w:rsidP="002C53C9">
            <w:pPr>
              <w:pStyle w:val="TableText"/>
            </w:pPr>
            <w:r w:rsidRPr="008A4608">
              <w:t>Quarry lifetime production</w:t>
            </w:r>
          </w:p>
        </w:tc>
        <w:tc>
          <w:tcPr>
            <w:tcW w:w="2968" w:type="pct"/>
          </w:tcPr>
          <w:p w14:paraId="5FE2CFF3" w14:textId="77777777" w:rsidR="00B241C2" w:rsidRPr="008A4608" w:rsidRDefault="00B241C2" w:rsidP="002C53C9">
            <w:pPr>
              <w:pStyle w:val="TableText"/>
              <w:cnfStyle w:val="000000000000" w:firstRow="0" w:lastRow="0" w:firstColumn="0" w:lastColumn="0" w:oddVBand="0" w:evenVBand="0" w:oddHBand="0" w:evenHBand="0" w:firstRowFirstColumn="0" w:firstRowLastColumn="0" w:lastRowFirstColumn="0" w:lastRowLastColumn="0"/>
            </w:pPr>
            <w:r w:rsidRPr="008A4608">
              <w:t>1 million tonnes</w:t>
            </w:r>
          </w:p>
        </w:tc>
      </w:tr>
      <w:tr w:rsidR="00B241C2" w:rsidRPr="008A4608" w14:paraId="3177DBB9" w14:textId="77777777" w:rsidTr="00B241C2">
        <w:tc>
          <w:tcPr>
            <w:cnfStyle w:val="001000000000" w:firstRow="0" w:lastRow="0" w:firstColumn="1" w:lastColumn="0" w:oddVBand="0" w:evenVBand="0" w:oddHBand="0" w:evenHBand="0" w:firstRowFirstColumn="0" w:firstRowLastColumn="0" w:lastRowFirstColumn="0" w:lastRowLastColumn="0"/>
            <w:tcW w:w="2032" w:type="pct"/>
          </w:tcPr>
          <w:p w14:paraId="7E155098" w14:textId="77777777" w:rsidR="00B241C2" w:rsidRPr="008A4608" w:rsidRDefault="00B241C2" w:rsidP="002C53C9">
            <w:pPr>
              <w:pStyle w:val="TableText"/>
            </w:pPr>
            <w:r w:rsidRPr="008A4608">
              <w:t>Peak annual production rate</w:t>
            </w:r>
          </w:p>
        </w:tc>
        <w:tc>
          <w:tcPr>
            <w:tcW w:w="2968" w:type="pct"/>
          </w:tcPr>
          <w:p w14:paraId="12C1D793" w14:textId="77777777" w:rsidR="00B241C2" w:rsidRPr="008A4608" w:rsidRDefault="00B241C2" w:rsidP="002C53C9">
            <w:pPr>
              <w:pStyle w:val="TableText"/>
              <w:cnfStyle w:val="000000000000" w:firstRow="0" w:lastRow="0" w:firstColumn="0" w:lastColumn="0" w:oddVBand="0" w:evenVBand="0" w:oddHBand="0" w:evenHBand="0" w:firstRowFirstColumn="0" w:firstRowLastColumn="0" w:lastRowFirstColumn="0" w:lastRowLastColumn="0"/>
            </w:pPr>
            <w:r w:rsidRPr="008A4608">
              <w:t>600,000 tonnes per year</w:t>
            </w:r>
          </w:p>
        </w:tc>
      </w:tr>
      <w:tr w:rsidR="00B241C2" w:rsidRPr="008A4608" w14:paraId="424FA0D0" w14:textId="77777777" w:rsidTr="00B241C2">
        <w:tc>
          <w:tcPr>
            <w:cnfStyle w:val="001000000000" w:firstRow="0" w:lastRow="0" w:firstColumn="1" w:lastColumn="0" w:oddVBand="0" w:evenVBand="0" w:oddHBand="0" w:evenHBand="0" w:firstRowFirstColumn="0" w:firstRowLastColumn="0" w:lastRowFirstColumn="0" w:lastRowLastColumn="0"/>
            <w:tcW w:w="2032" w:type="pct"/>
          </w:tcPr>
          <w:p w14:paraId="5E352052" w14:textId="77777777" w:rsidR="00B241C2" w:rsidRPr="008A4608" w:rsidRDefault="00B241C2" w:rsidP="002C53C9">
            <w:pPr>
              <w:pStyle w:val="TableText"/>
            </w:pPr>
            <w:r w:rsidRPr="008A4608">
              <w:t>Maximum disturbance area</w:t>
            </w:r>
          </w:p>
        </w:tc>
        <w:tc>
          <w:tcPr>
            <w:tcW w:w="2968" w:type="pct"/>
          </w:tcPr>
          <w:p w14:paraId="3725DB02" w14:textId="77777777" w:rsidR="00B241C2" w:rsidRPr="008A4608" w:rsidRDefault="00B241C2" w:rsidP="002C53C9">
            <w:pPr>
              <w:pStyle w:val="TableText"/>
              <w:cnfStyle w:val="000000000000" w:firstRow="0" w:lastRow="0" w:firstColumn="0" w:lastColumn="0" w:oddVBand="0" w:evenVBand="0" w:oddHBand="0" w:evenHBand="0" w:firstRowFirstColumn="0" w:firstRowLastColumn="0" w:lastRowFirstColumn="0" w:lastRowLastColumn="0"/>
            </w:pPr>
            <w:r w:rsidRPr="008A4608">
              <w:t>20.0 hectares (area subject to wind erosion, that is, excluding footprint area of dams)</w:t>
            </w:r>
          </w:p>
        </w:tc>
      </w:tr>
      <w:tr w:rsidR="00B241C2" w:rsidRPr="008A4608" w14:paraId="48854744" w14:textId="77777777" w:rsidTr="00B241C2">
        <w:tc>
          <w:tcPr>
            <w:cnfStyle w:val="001000000000" w:firstRow="0" w:lastRow="0" w:firstColumn="1" w:lastColumn="0" w:oddVBand="0" w:evenVBand="0" w:oddHBand="0" w:evenHBand="0" w:firstRowFirstColumn="0" w:firstRowLastColumn="0" w:lastRowFirstColumn="0" w:lastRowLastColumn="0"/>
            <w:tcW w:w="2032" w:type="pct"/>
          </w:tcPr>
          <w:p w14:paraId="03D9112D" w14:textId="77777777" w:rsidR="00B241C2" w:rsidRPr="008A4608" w:rsidRDefault="00B241C2" w:rsidP="002C53C9">
            <w:pPr>
              <w:pStyle w:val="TableText"/>
            </w:pPr>
            <w:r w:rsidRPr="008A4608">
              <w:t>Crushed rock product stockpile area</w:t>
            </w:r>
          </w:p>
        </w:tc>
        <w:tc>
          <w:tcPr>
            <w:tcW w:w="2968" w:type="pct"/>
          </w:tcPr>
          <w:p w14:paraId="39749502" w14:textId="77777777" w:rsidR="00B241C2" w:rsidRPr="008A4608" w:rsidRDefault="00B241C2" w:rsidP="002C53C9">
            <w:pPr>
              <w:pStyle w:val="TableText"/>
              <w:cnfStyle w:val="000000000000" w:firstRow="0" w:lastRow="0" w:firstColumn="0" w:lastColumn="0" w:oddVBand="0" w:evenVBand="0" w:oddHBand="0" w:evenHBand="0" w:firstRowFirstColumn="0" w:firstRowLastColumn="0" w:lastRowFirstColumn="0" w:lastRowLastColumn="0"/>
            </w:pPr>
            <w:r w:rsidRPr="008A4608">
              <w:t>4.0 hectares</w:t>
            </w:r>
          </w:p>
        </w:tc>
      </w:tr>
      <w:tr w:rsidR="00B241C2" w:rsidRPr="008A4608" w14:paraId="1C02A8A0" w14:textId="77777777" w:rsidTr="00B241C2">
        <w:tc>
          <w:tcPr>
            <w:cnfStyle w:val="001000000000" w:firstRow="0" w:lastRow="0" w:firstColumn="1" w:lastColumn="0" w:oddVBand="0" w:evenVBand="0" w:oddHBand="0" w:evenHBand="0" w:firstRowFirstColumn="0" w:firstRowLastColumn="0" w:lastRowFirstColumn="0" w:lastRowLastColumn="0"/>
            <w:tcW w:w="2032" w:type="pct"/>
          </w:tcPr>
          <w:p w14:paraId="3C0BD7DE" w14:textId="77777777" w:rsidR="00B241C2" w:rsidRPr="008A4608" w:rsidRDefault="00B241C2" w:rsidP="002C53C9">
            <w:pPr>
              <w:pStyle w:val="TableText"/>
            </w:pPr>
            <w:r w:rsidRPr="008A4608">
              <w:t>Topsoil stockpile area</w:t>
            </w:r>
          </w:p>
        </w:tc>
        <w:tc>
          <w:tcPr>
            <w:tcW w:w="2968" w:type="pct"/>
          </w:tcPr>
          <w:p w14:paraId="2D652329" w14:textId="77777777" w:rsidR="00B241C2" w:rsidRPr="008A4608" w:rsidRDefault="00B241C2" w:rsidP="002C53C9">
            <w:pPr>
              <w:pStyle w:val="TableText"/>
              <w:cnfStyle w:val="000000000000" w:firstRow="0" w:lastRow="0" w:firstColumn="0" w:lastColumn="0" w:oddVBand="0" w:evenVBand="0" w:oddHBand="0" w:evenHBand="0" w:firstRowFirstColumn="0" w:firstRowLastColumn="0" w:lastRowFirstColumn="0" w:lastRowLastColumn="0"/>
            </w:pPr>
            <w:r w:rsidRPr="008A4608">
              <w:t>0.45 hectares</w:t>
            </w:r>
          </w:p>
        </w:tc>
      </w:tr>
      <w:tr w:rsidR="00B241C2" w:rsidRPr="008A4608" w14:paraId="58FED4C9" w14:textId="77777777" w:rsidTr="00B241C2">
        <w:tc>
          <w:tcPr>
            <w:cnfStyle w:val="001000000000" w:firstRow="0" w:lastRow="0" w:firstColumn="1" w:lastColumn="0" w:oddVBand="0" w:evenVBand="0" w:oddHBand="0" w:evenHBand="0" w:firstRowFirstColumn="0" w:firstRowLastColumn="0" w:lastRowFirstColumn="0" w:lastRowLastColumn="0"/>
            <w:tcW w:w="2032" w:type="pct"/>
          </w:tcPr>
          <w:p w14:paraId="2D0BB59A" w14:textId="77777777" w:rsidR="00B241C2" w:rsidRPr="008A4608" w:rsidRDefault="00B241C2" w:rsidP="002C53C9">
            <w:pPr>
              <w:pStyle w:val="TableText"/>
            </w:pPr>
            <w:r w:rsidRPr="008A4608">
              <w:t>Overburden stockpile area</w:t>
            </w:r>
          </w:p>
        </w:tc>
        <w:tc>
          <w:tcPr>
            <w:tcW w:w="2968" w:type="pct"/>
          </w:tcPr>
          <w:p w14:paraId="3542A69E" w14:textId="77777777" w:rsidR="00B241C2" w:rsidRPr="008A4608" w:rsidRDefault="00B241C2" w:rsidP="002C53C9">
            <w:pPr>
              <w:pStyle w:val="TableText"/>
              <w:cnfStyle w:val="000000000000" w:firstRow="0" w:lastRow="0" w:firstColumn="0" w:lastColumn="0" w:oddVBand="0" w:evenVBand="0" w:oddHBand="0" w:evenHBand="0" w:firstRowFirstColumn="0" w:firstRowLastColumn="0" w:lastRowFirstColumn="0" w:lastRowLastColumn="0"/>
            </w:pPr>
            <w:r w:rsidRPr="008A4608">
              <w:t>2.0 hectares</w:t>
            </w:r>
          </w:p>
        </w:tc>
      </w:tr>
      <w:tr w:rsidR="00B241C2" w:rsidRPr="008A4608" w14:paraId="333C2C93" w14:textId="77777777" w:rsidTr="00B241C2">
        <w:tc>
          <w:tcPr>
            <w:cnfStyle w:val="001000000000" w:firstRow="0" w:lastRow="0" w:firstColumn="1" w:lastColumn="0" w:oddVBand="0" w:evenVBand="0" w:oddHBand="0" w:evenHBand="0" w:firstRowFirstColumn="0" w:firstRowLastColumn="0" w:lastRowFirstColumn="0" w:lastRowLastColumn="0"/>
            <w:tcW w:w="2032" w:type="pct"/>
          </w:tcPr>
          <w:p w14:paraId="4336179C" w14:textId="77777777" w:rsidR="00B241C2" w:rsidRPr="008A4608" w:rsidRDefault="00B241C2" w:rsidP="002C53C9">
            <w:pPr>
              <w:pStyle w:val="TableText"/>
            </w:pPr>
            <w:r w:rsidRPr="008A4608">
              <w:t>Raw product stockpile area</w:t>
            </w:r>
          </w:p>
        </w:tc>
        <w:tc>
          <w:tcPr>
            <w:tcW w:w="2968" w:type="pct"/>
          </w:tcPr>
          <w:p w14:paraId="0D34876E" w14:textId="77777777" w:rsidR="00B241C2" w:rsidRPr="008A4608" w:rsidRDefault="00B241C2" w:rsidP="002C53C9">
            <w:pPr>
              <w:pStyle w:val="TableText"/>
              <w:cnfStyle w:val="000000000000" w:firstRow="0" w:lastRow="0" w:firstColumn="0" w:lastColumn="0" w:oddVBand="0" w:evenVBand="0" w:oddHBand="0" w:evenHBand="0" w:firstRowFirstColumn="0" w:firstRowLastColumn="0" w:lastRowFirstColumn="0" w:lastRowLastColumn="0"/>
            </w:pPr>
            <w:r w:rsidRPr="008A4608">
              <w:t>1.5 hectares</w:t>
            </w:r>
          </w:p>
        </w:tc>
      </w:tr>
      <w:tr w:rsidR="00B241C2" w:rsidRPr="008A4608" w14:paraId="6C2BEA46" w14:textId="77777777" w:rsidTr="00B241C2">
        <w:tc>
          <w:tcPr>
            <w:cnfStyle w:val="001000000000" w:firstRow="0" w:lastRow="0" w:firstColumn="1" w:lastColumn="0" w:oddVBand="0" w:evenVBand="0" w:oddHBand="0" w:evenHBand="0" w:firstRowFirstColumn="0" w:firstRowLastColumn="0" w:lastRowFirstColumn="0" w:lastRowLastColumn="0"/>
            <w:tcW w:w="2032" w:type="pct"/>
          </w:tcPr>
          <w:p w14:paraId="2686E449" w14:textId="77777777" w:rsidR="00B241C2" w:rsidRPr="008A4608" w:rsidRDefault="00B241C2" w:rsidP="002C53C9">
            <w:pPr>
              <w:pStyle w:val="TableText"/>
            </w:pPr>
            <w:r w:rsidRPr="008A4608">
              <w:t>Blast frequency</w:t>
            </w:r>
          </w:p>
        </w:tc>
        <w:tc>
          <w:tcPr>
            <w:tcW w:w="2968" w:type="pct"/>
          </w:tcPr>
          <w:p w14:paraId="1FF0990A" w14:textId="419DCA91" w:rsidR="00B241C2" w:rsidRPr="008A4608" w:rsidRDefault="00B241C2" w:rsidP="002C53C9">
            <w:pPr>
              <w:pStyle w:val="TableText"/>
              <w:cnfStyle w:val="000000000000" w:firstRow="0" w:lastRow="0" w:firstColumn="0" w:lastColumn="0" w:oddVBand="0" w:evenVBand="0" w:oddHBand="0" w:evenHBand="0" w:firstRowFirstColumn="0" w:firstRowLastColumn="0" w:lastRowFirstColumn="0" w:lastRowLastColumn="0"/>
            </w:pPr>
            <w:r w:rsidRPr="008A4608">
              <w:t>1 or less per week, 40–50 per year</w:t>
            </w:r>
          </w:p>
        </w:tc>
      </w:tr>
      <w:tr w:rsidR="00B241C2" w:rsidRPr="008A4608" w14:paraId="4666A06D" w14:textId="77777777" w:rsidTr="00B241C2">
        <w:tc>
          <w:tcPr>
            <w:cnfStyle w:val="001000000000" w:firstRow="0" w:lastRow="0" w:firstColumn="1" w:lastColumn="0" w:oddVBand="0" w:evenVBand="0" w:oddHBand="0" w:evenHBand="0" w:firstRowFirstColumn="0" w:firstRowLastColumn="0" w:lastRowFirstColumn="0" w:lastRowLastColumn="0"/>
            <w:tcW w:w="2032" w:type="pct"/>
          </w:tcPr>
          <w:p w14:paraId="6BC770DE" w14:textId="77777777" w:rsidR="00B241C2" w:rsidRPr="008A4608" w:rsidRDefault="00B241C2" w:rsidP="002C53C9">
            <w:pPr>
              <w:pStyle w:val="TableText"/>
            </w:pPr>
            <w:r w:rsidRPr="008A4608">
              <w:t>Blast area</w:t>
            </w:r>
          </w:p>
        </w:tc>
        <w:tc>
          <w:tcPr>
            <w:tcW w:w="2968" w:type="pct"/>
          </w:tcPr>
          <w:p w14:paraId="5D41F526" w14:textId="77777777" w:rsidR="00B241C2" w:rsidRPr="008A4608" w:rsidRDefault="00B241C2" w:rsidP="002C53C9">
            <w:pPr>
              <w:pStyle w:val="TableText"/>
              <w:cnfStyle w:val="000000000000" w:firstRow="0" w:lastRow="0" w:firstColumn="0" w:lastColumn="0" w:oddVBand="0" w:evenVBand="0" w:oddHBand="0" w:evenHBand="0" w:firstRowFirstColumn="0" w:firstRowLastColumn="0" w:lastRowFirstColumn="0" w:lastRowLastColumn="0"/>
            </w:pPr>
            <w:r w:rsidRPr="008A4608">
              <w:t>1,000 metres squared (approximately)</w:t>
            </w:r>
          </w:p>
        </w:tc>
      </w:tr>
      <w:tr w:rsidR="00B241C2" w:rsidRPr="008A4608" w14:paraId="62C0985A" w14:textId="77777777" w:rsidTr="00B241C2">
        <w:tc>
          <w:tcPr>
            <w:cnfStyle w:val="001000000000" w:firstRow="0" w:lastRow="0" w:firstColumn="1" w:lastColumn="0" w:oddVBand="0" w:evenVBand="0" w:oddHBand="0" w:evenHBand="0" w:firstRowFirstColumn="0" w:firstRowLastColumn="0" w:lastRowFirstColumn="0" w:lastRowLastColumn="0"/>
            <w:tcW w:w="2032" w:type="pct"/>
          </w:tcPr>
          <w:p w14:paraId="6A254578" w14:textId="77777777" w:rsidR="00B241C2" w:rsidRPr="008A4608" w:rsidRDefault="00B241C2" w:rsidP="002C53C9">
            <w:pPr>
              <w:pStyle w:val="TableText"/>
            </w:pPr>
            <w:r w:rsidRPr="008A4608">
              <w:t>Holes drilled per blast</w:t>
            </w:r>
          </w:p>
        </w:tc>
        <w:tc>
          <w:tcPr>
            <w:tcW w:w="2968" w:type="pct"/>
          </w:tcPr>
          <w:p w14:paraId="32E6FE90" w14:textId="77777777" w:rsidR="00B241C2" w:rsidRPr="008A4608" w:rsidRDefault="00B241C2" w:rsidP="002C53C9">
            <w:pPr>
              <w:pStyle w:val="TableText"/>
              <w:cnfStyle w:val="000000000000" w:firstRow="0" w:lastRow="0" w:firstColumn="0" w:lastColumn="0" w:oddVBand="0" w:evenVBand="0" w:oddHBand="0" w:evenHBand="0" w:firstRowFirstColumn="0" w:firstRowLastColumn="0" w:lastRowFirstColumn="0" w:lastRowLastColumn="0"/>
            </w:pPr>
            <w:r w:rsidRPr="008A4608">
              <w:t>150</w:t>
            </w:r>
          </w:p>
        </w:tc>
      </w:tr>
      <w:tr w:rsidR="00B241C2" w:rsidRPr="008A4608" w14:paraId="593BFD22" w14:textId="77777777" w:rsidTr="00B241C2">
        <w:tc>
          <w:tcPr>
            <w:cnfStyle w:val="001000000000" w:firstRow="0" w:lastRow="0" w:firstColumn="1" w:lastColumn="0" w:oddVBand="0" w:evenVBand="0" w:oddHBand="0" w:evenHBand="0" w:firstRowFirstColumn="0" w:firstRowLastColumn="0" w:lastRowFirstColumn="0" w:lastRowLastColumn="0"/>
            <w:tcW w:w="2032" w:type="pct"/>
          </w:tcPr>
          <w:p w14:paraId="11A19DD3" w14:textId="77777777" w:rsidR="00B241C2" w:rsidRPr="008A4608" w:rsidRDefault="00B241C2" w:rsidP="002C53C9">
            <w:pPr>
              <w:pStyle w:val="TableText"/>
            </w:pPr>
            <w:r w:rsidRPr="008A4608">
              <w:t>Number of crushing/screening trains</w:t>
            </w:r>
          </w:p>
        </w:tc>
        <w:tc>
          <w:tcPr>
            <w:tcW w:w="2968" w:type="pct"/>
          </w:tcPr>
          <w:p w14:paraId="00305510" w14:textId="77777777" w:rsidR="00B241C2" w:rsidRPr="008A4608" w:rsidRDefault="00B241C2" w:rsidP="002C53C9">
            <w:pPr>
              <w:pStyle w:val="TableText"/>
              <w:cnfStyle w:val="000000000000" w:firstRow="0" w:lastRow="0" w:firstColumn="0" w:lastColumn="0" w:oddVBand="0" w:evenVBand="0" w:oddHBand="0" w:evenHBand="0" w:firstRowFirstColumn="0" w:firstRowLastColumn="0" w:lastRowFirstColumn="0" w:lastRowLastColumn="0"/>
            </w:pPr>
            <w:r w:rsidRPr="008A4608">
              <w:t>2</w:t>
            </w:r>
          </w:p>
        </w:tc>
      </w:tr>
      <w:tr w:rsidR="00B241C2" w:rsidRPr="008A4608" w14:paraId="325CBDFF" w14:textId="77777777" w:rsidTr="00B241C2">
        <w:tc>
          <w:tcPr>
            <w:cnfStyle w:val="001000000000" w:firstRow="0" w:lastRow="0" w:firstColumn="1" w:lastColumn="0" w:oddVBand="0" w:evenVBand="0" w:oddHBand="0" w:evenHBand="0" w:firstRowFirstColumn="0" w:firstRowLastColumn="0" w:lastRowFirstColumn="0" w:lastRowLastColumn="0"/>
            <w:tcW w:w="2032" w:type="pct"/>
          </w:tcPr>
          <w:p w14:paraId="6D6AF5A4" w14:textId="77777777" w:rsidR="00B241C2" w:rsidRPr="008A4608" w:rsidRDefault="00B241C2" w:rsidP="002C53C9">
            <w:pPr>
              <w:pStyle w:val="TableText"/>
            </w:pPr>
            <w:r w:rsidRPr="008A4608">
              <w:t>Crushing and screening rate</w:t>
            </w:r>
          </w:p>
        </w:tc>
        <w:tc>
          <w:tcPr>
            <w:tcW w:w="2968" w:type="pct"/>
          </w:tcPr>
          <w:p w14:paraId="3B5E7935" w14:textId="77777777" w:rsidR="00B241C2" w:rsidRPr="008A4608" w:rsidRDefault="00B241C2" w:rsidP="002C53C9">
            <w:pPr>
              <w:pStyle w:val="TableText"/>
              <w:cnfStyle w:val="000000000000" w:firstRow="0" w:lastRow="0" w:firstColumn="0" w:lastColumn="0" w:oddVBand="0" w:evenVBand="0" w:oddHBand="0" w:evenHBand="0" w:firstRowFirstColumn="0" w:firstRowLastColumn="0" w:lastRowFirstColumn="0" w:lastRowLastColumn="0"/>
            </w:pPr>
            <w:r w:rsidRPr="008A4608">
              <w:t>600,000 tonnes per year</w:t>
            </w:r>
          </w:p>
        </w:tc>
      </w:tr>
      <w:tr w:rsidR="00B241C2" w:rsidRPr="008A4608" w14:paraId="5F7EF664" w14:textId="77777777" w:rsidTr="00B241C2">
        <w:tc>
          <w:tcPr>
            <w:cnfStyle w:val="001000000000" w:firstRow="0" w:lastRow="0" w:firstColumn="1" w:lastColumn="0" w:oddVBand="0" w:evenVBand="0" w:oddHBand="0" w:evenHBand="0" w:firstRowFirstColumn="0" w:firstRowLastColumn="0" w:lastRowFirstColumn="0" w:lastRowLastColumn="0"/>
            <w:tcW w:w="2032" w:type="pct"/>
          </w:tcPr>
          <w:p w14:paraId="2AF1AE03" w14:textId="77777777" w:rsidR="00B241C2" w:rsidRPr="008A4608" w:rsidRDefault="00B241C2" w:rsidP="002C53C9">
            <w:pPr>
              <w:pStyle w:val="TableText"/>
            </w:pPr>
            <w:r w:rsidRPr="008A4608">
              <w:t>Haul route distances</w:t>
            </w:r>
          </w:p>
        </w:tc>
        <w:tc>
          <w:tcPr>
            <w:tcW w:w="2968" w:type="pct"/>
          </w:tcPr>
          <w:p w14:paraId="14AD82C8" w14:textId="77777777" w:rsidR="00B241C2" w:rsidRPr="008A4608" w:rsidRDefault="00B241C2" w:rsidP="002C53C9">
            <w:pPr>
              <w:pStyle w:val="TableText"/>
              <w:cnfStyle w:val="000000000000" w:firstRow="0" w:lastRow="0" w:firstColumn="0" w:lastColumn="0" w:oddVBand="0" w:evenVBand="0" w:oddHBand="0" w:evenHBand="0" w:firstRowFirstColumn="0" w:firstRowLastColumn="0" w:lastRowFirstColumn="0" w:lastRowLastColumn="0"/>
            </w:pPr>
            <w:r w:rsidRPr="008A4608">
              <w:t>Approximately 1 kilometre</w:t>
            </w:r>
          </w:p>
        </w:tc>
      </w:tr>
      <w:tr w:rsidR="00B241C2" w:rsidRPr="008A4608" w14:paraId="69284643" w14:textId="77777777" w:rsidTr="00B241C2">
        <w:tc>
          <w:tcPr>
            <w:cnfStyle w:val="001000000000" w:firstRow="0" w:lastRow="0" w:firstColumn="1" w:lastColumn="0" w:oddVBand="0" w:evenVBand="0" w:oddHBand="0" w:evenHBand="0" w:firstRowFirstColumn="0" w:firstRowLastColumn="0" w:lastRowFirstColumn="0" w:lastRowLastColumn="0"/>
            <w:tcW w:w="2032" w:type="pct"/>
          </w:tcPr>
          <w:p w14:paraId="24BF3BF6" w14:textId="77777777" w:rsidR="00B241C2" w:rsidRPr="008A4608" w:rsidRDefault="00B241C2" w:rsidP="002C53C9">
            <w:pPr>
              <w:pStyle w:val="TableText"/>
            </w:pPr>
            <w:r w:rsidRPr="008A4608">
              <w:t>Moisture content of excavated material</w:t>
            </w:r>
          </w:p>
        </w:tc>
        <w:tc>
          <w:tcPr>
            <w:tcW w:w="2968" w:type="pct"/>
          </w:tcPr>
          <w:p w14:paraId="576C19D8" w14:textId="77777777" w:rsidR="00B241C2" w:rsidRPr="008A4608" w:rsidRDefault="00B241C2" w:rsidP="002C53C9">
            <w:pPr>
              <w:pStyle w:val="TableText"/>
              <w:cnfStyle w:val="000000000000" w:firstRow="0" w:lastRow="0" w:firstColumn="0" w:lastColumn="0" w:oddVBand="0" w:evenVBand="0" w:oddHBand="0" w:evenHBand="0" w:firstRowFirstColumn="0" w:firstRowLastColumn="0" w:lastRowFirstColumn="0" w:lastRowLastColumn="0"/>
            </w:pPr>
            <w:r w:rsidRPr="008A4608">
              <w:t>2% by mass</w:t>
            </w:r>
          </w:p>
        </w:tc>
      </w:tr>
      <w:tr w:rsidR="00B241C2" w:rsidRPr="008A4608" w14:paraId="5596F9EF" w14:textId="77777777" w:rsidTr="00B241C2">
        <w:tc>
          <w:tcPr>
            <w:cnfStyle w:val="001000000000" w:firstRow="0" w:lastRow="0" w:firstColumn="1" w:lastColumn="0" w:oddVBand="0" w:evenVBand="0" w:oddHBand="0" w:evenHBand="0" w:firstRowFirstColumn="0" w:firstRowLastColumn="0" w:lastRowFirstColumn="0" w:lastRowLastColumn="0"/>
            <w:tcW w:w="2032" w:type="pct"/>
          </w:tcPr>
          <w:p w14:paraId="491C6D87" w14:textId="77777777" w:rsidR="00B241C2" w:rsidRPr="008A4608" w:rsidRDefault="00B241C2" w:rsidP="002C53C9">
            <w:pPr>
              <w:pStyle w:val="TableText"/>
            </w:pPr>
            <w:r w:rsidRPr="008A4608">
              <w:t>Operating hours</w:t>
            </w:r>
          </w:p>
        </w:tc>
        <w:tc>
          <w:tcPr>
            <w:tcW w:w="2968" w:type="pct"/>
          </w:tcPr>
          <w:p w14:paraId="62A2B12D" w14:textId="77777777" w:rsidR="00B241C2" w:rsidRPr="008A4608" w:rsidRDefault="00B241C2" w:rsidP="002C53C9">
            <w:pPr>
              <w:pStyle w:val="TableText"/>
              <w:cnfStyle w:val="000000000000" w:firstRow="0" w:lastRow="0" w:firstColumn="0" w:lastColumn="0" w:oddVBand="0" w:evenVBand="0" w:oddHBand="0" w:evenHBand="0" w:firstRowFirstColumn="0" w:firstRowLastColumn="0" w:lastRowFirstColumn="0" w:lastRowLastColumn="0"/>
            </w:pPr>
            <w:r w:rsidRPr="008A4608">
              <w:t xml:space="preserve">7 am – 6 pm Monday to Friday </w:t>
            </w:r>
          </w:p>
          <w:p w14:paraId="16740316" w14:textId="77777777" w:rsidR="00B241C2" w:rsidRPr="008A4608" w:rsidRDefault="00B241C2" w:rsidP="002C53C9">
            <w:pPr>
              <w:pStyle w:val="TableText"/>
              <w:cnfStyle w:val="000000000000" w:firstRow="0" w:lastRow="0" w:firstColumn="0" w:lastColumn="0" w:oddVBand="0" w:evenVBand="0" w:oddHBand="0" w:evenHBand="0" w:firstRowFirstColumn="0" w:firstRowLastColumn="0" w:lastRowFirstColumn="0" w:lastRowLastColumn="0"/>
            </w:pPr>
            <w:r w:rsidRPr="008A4608">
              <w:t xml:space="preserve">7 am – 1 pm Saturday </w:t>
            </w:r>
          </w:p>
          <w:p w14:paraId="7BA72081" w14:textId="5B7CDCFD" w:rsidR="00B241C2" w:rsidRPr="008A4608" w:rsidRDefault="00B241C2" w:rsidP="002C53C9">
            <w:pPr>
              <w:pStyle w:val="TableText"/>
              <w:cnfStyle w:val="000000000000" w:firstRow="0" w:lastRow="0" w:firstColumn="0" w:lastColumn="0" w:oddVBand="0" w:evenVBand="0" w:oddHBand="0" w:evenHBand="0" w:firstRowFirstColumn="0" w:firstRowLastColumn="0" w:lastRowFirstColumn="0" w:lastRowLastColumn="0"/>
            </w:pPr>
            <w:r w:rsidRPr="008A4608">
              <w:t xml:space="preserve">365 days per year (in practice, operating days </w:t>
            </w:r>
            <w:r w:rsidR="00F912F2">
              <w:t>would</w:t>
            </w:r>
            <w:r w:rsidRPr="008A4608">
              <w:t xml:space="preserve"> be less than this due to no activity on Sundays and holidays)</w:t>
            </w:r>
          </w:p>
        </w:tc>
      </w:tr>
    </w:tbl>
    <w:p w14:paraId="28D8671E" w14:textId="77777777" w:rsidR="00B241C2" w:rsidRPr="00B241C2" w:rsidRDefault="00B241C2" w:rsidP="00B241C2">
      <w:pPr>
        <w:pStyle w:val="Heading2"/>
      </w:pPr>
      <w:bookmarkStart w:id="49" w:name="_Ref77437115"/>
      <w:bookmarkStart w:id="50" w:name="_Toc84595767"/>
      <w:bookmarkStart w:id="51" w:name="_Toc105144181"/>
      <w:r w:rsidRPr="00B241C2">
        <w:t>Investigation area</w:t>
      </w:r>
      <w:bookmarkEnd w:id="49"/>
      <w:bookmarkEnd w:id="50"/>
      <w:bookmarkEnd w:id="51"/>
    </w:p>
    <w:p w14:paraId="10F8AA1D" w14:textId="77777777" w:rsidR="00B241C2" w:rsidRPr="008A4608" w:rsidRDefault="00B241C2" w:rsidP="00B241C2">
      <w:pPr>
        <w:pStyle w:val="BodyText"/>
      </w:pPr>
      <w:r w:rsidRPr="008A4608">
        <w:t>Air dispersion modelling was undertaken for a 12 x 12 kilometre grid area (comprised of 121 x 121 grid points and 14,641 grid receptors, as well as 73 discrete receptors), centred on the quarry centre. The discrete receptors are the closest sensitive receptors to the project quarry site.</w:t>
      </w:r>
    </w:p>
    <w:p w14:paraId="4A68B2F2" w14:textId="618EAEB7" w:rsidR="00B241C2" w:rsidRDefault="00B241C2" w:rsidP="00B241C2">
      <w:r w:rsidRPr="008A4608">
        <w:t xml:space="preserve">The air quality investigation area is shown in </w:t>
      </w:r>
      <w:r w:rsidRPr="008A4608">
        <w:fldChar w:fldCharType="begin"/>
      </w:r>
      <w:r w:rsidRPr="008A4608">
        <w:instrText xml:space="preserve"> REF _Ref76462118 \h  \* MERGEFORMAT </w:instrText>
      </w:r>
      <w:r w:rsidRPr="008A4608">
        <w:fldChar w:fldCharType="separate"/>
      </w:r>
      <w:r w:rsidR="009056B9" w:rsidRPr="00B241C2">
        <w:t xml:space="preserve">Figure </w:t>
      </w:r>
      <w:r w:rsidR="009056B9">
        <w:t>20</w:t>
      </w:r>
      <w:r w:rsidR="009056B9" w:rsidRPr="00B241C2">
        <w:t>.</w:t>
      </w:r>
      <w:r w:rsidR="009056B9">
        <w:t>1</w:t>
      </w:r>
      <w:r w:rsidRPr="008A4608">
        <w:fldChar w:fldCharType="end"/>
      </w:r>
      <w:r w:rsidRPr="008A4608">
        <w:t>.</w:t>
      </w:r>
    </w:p>
    <w:p w14:paraId="06CBA804" w14:textId="77777777" w:rsidR="00283F74" w:rsidRPr="00B241C2" w:rsidRDefault="00283F74" w:rsidP="00283F74">
      <w:pPr>
        <w:pStyle w:val="Heading2"/>
      </w:pPr>
      <w:bookmarkStart w:id="52" w:name="_Ref71198829"/>
      <w:bookmarkStart w:id="53" w:name="_Toc105144182"/>
      <w:r w:rsidRPr="00B241C2">
        <w:lastRenderedPageBreak/>
        <w:t>Existing conditions</w:t>
      </w:r>
      <w:bookmarkEnd w:id="52"/>
      <w:bookmarkEnd w:id="53"/>
    </w:p>
    <w:p w14:paraId="4DF95FB8" w14:textId="77777777" w:rsidR="00283F74" w:rsidRPr="00B241C2" w:rsidRDefault="00283F74" w:rsidP="00283F74">
      <w:pPr>
        <w:pStyle w:val="Heading3"/>
      </w:pPr>
      <w:bookmarkStart w:id="54" w:name="_Toc105144183"/>
      <w:r w:rsidRPr="00B241C2">
        <w:t>Sensitive receptors</w:t>
      </w:r>
      <w:bookmarkEnd w:id="54"/>
    </w:p>
    <w:p w14:paraId="72D9ED82" w14:textId="56A6B622" w:rsidR="00283F74" w:rsidRPr="00F34280" w:rsidRDefault="00283F74" w:rsidP="00283F74">
      <w:pPr>
        <w:pStyle w:val="BodyText"/>
      </w:pPr>
      <w:r w:rsidRPr="00F34280">
        <w:rPr>
          <w:noProof/>
        </w:rPr>
        <mc:AlternateContent>
          <mc:Choice Requires="wps">
            <w:drawing>
              <wp:anchor distT="0" distB="107950" distL="114300" distR="114300" simplePos="0" relativeHeight="251664384" behindDoc="0" locked="0" layoutInCell="1" allowOverlap="1" wp14:anchorId="7A45B775" wp14:editId="4284447A">
                <wp:simplePos x="0" y="0"/>
                <wp:positionH relativeFrom="column">
                  <wp:posOffset>2871470</wp:posOffset>
                </wp:positionH>
                <wp:positionV relativeFrom="paragraph">
                  <wp:posOffset>33655</wp:posOffset>
                </wp:positionV>
                <wp:extent cx="2875915" cy="2038350"/>
                <wp:effectExtent l="0" t="0" r="19685" b="19050"/>
                <wp:wrapSquare wrapText="bothSides"/>
                <wp:docPr id="4" name="Rectangle: Rounded Corners 4" descr="Sensitive receptors or sensitive land use is defined by EPA Victoria as land uses that require protection of the air environment, such as for human health and wellbeing and local amenity. This includes places such as residential dwellings, education facilities and outdoor recreation sites."/>
                <wp:cNvGraphicFramePr/>
                <a:graphic xmlns:a="http://schemas.openxmlformats.org/drawingml/2006/main">
                  <a:graphicData uri="http://schemas.microsoft.com/office/word/2010/wordprocessingShape">
                    <wps:wsp>
                      <wps:cNvSpPr/>
                      <wps:spPr>
                        <a:xfrm>
                          <a:off x="0" y="0"/>
                          <a:ext cx="2875915" cy="2038350"/>
                        </a:xfrm>
                        <a:prstGeom prst="roundRect">
                          <a:avLst/>
                        </a:prstGeom>
                        <a:solidFill>
                          <a:schemeClr val="tx2">
                            <a:lumMod val="10000"/>
                            <a:lumOff val="9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F6AB8CF" w14:textId="77777777" w:rsidR="00283F74" w:rsidRDefault="00283F74" w:rsidP="00283F74">
                            <w:pPr>
                              <w:pStyle w:val="PullOutBoxText"/>
                            </w:pPr>
                            <w:r w:rsidRPr="00A905D2">
                              <w:rPr>
                                <w:b/>
                                <w:bCs/>
                              </w:rPr>
                              <w:t>Sensitive receptors</w:t>
                            </w:r>
                            <w:r>
                              <w:rPr>
                                <w:b/>
                                <w:bCs/>
                              </w:rPr>
                              <w:t xml:space="preserve"> </w:t>
                            </w:r>
                            <w:r w:rsidRPr="007E5891">
                              <w:t>or</w:t>
                            </w:r>
                            <w:r>
                              <w:rPr>
                                <w:b/>
                                <w:bCs/>
                              </w:rPr>
                              <w:t xml:space="preserve"> sensitive land use </w:t>
                            </w:r>
                            <w:r w:rsidRPr="007E5891">
                              <w:t xml:space="preserve">is defined by EPA </w:t>
                            </w:r>
                            <w:r>
                              <w:t xml:space="preserve">Victoria </w:t>
                            </w:r>
                            <w:r w:rsidRPr="007E5891">
                              <w:t>as</w:t>
                            </w:r>
                            <w:r>
                              <w:t xml:space="preserve"> land uses that require protection of the air environment, such as for human health and wellbeing and local amenity. This includes places such as residential dwellings, education facilities and </w:t>
                            </w:r>
                            <w:r w:rsidRPr="007E5891">
                              <w:t>outdoor recreation sites</w:t>
                            </w:r>
                            <w:r w:rsidRPr="00C076F3">
                              <w:t>.</w:t>
                            </w:r>
                          </w:p>
                          <w:p w14:paraId="4C40C32D" w14:textId="77777777" w:rsidR="00283F74" w:rsidRPr="00B241C2" w:rsidRDefault="00283F74" w:rsidP="00283F74">
                            <w:pPr>
                              <w:pStyle w:val="PullOutBoxText"/>
                              <w:jc w:val="right"/>
                              <w:rPr>
                                <w:i/>
                                <w:iCs/>
                                <w:sz w:val="18"/>
                              </w:rPr>
                            </w:pPr>
                            <w:r w:rsidRPr="00B241C2">
                              <w:rPr>
                                <w:i/>
                                <w:iCs/>
                                <w:sz w:val="18"/>
                              </w:rPr>
                              <w:t>Source: EPA Victoria (2013) Publication 1518: Recommended separation distances for industrial residual air emissions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45B775" id="Rectangle: Rounded Corners 4" o:spid="_x0000_s1028" alt="Sensitive receptors or sensitive land use is defined by EPA Victoria as land uses that require protection of the air environment, such as for human health and wellbeing and local amenity. This includes places such as residential dwellings, education facilities and outdoor recreation sites." style="position:absolute;margin-left:226.1pt;margin-top:2.65pt;width:226.45pt;height:160.5pt;z-index:251664384;visibility:visible;mso-wrap-style:square;mso-width-percent:0;mso-height-percent:0;mso-wrap-distance-left:9pt;mso-wrap-distance-top:0;mso-wrap-distance-right:9pt;mso-wrap-distance-bottom:8.5pt;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" fillcolor="#e3eaf1 [351]" strokecolor="#6a6d68 [1604]" strokeweight="1pt">
                <v:stroke joinstyle="miter"/>
                <v:textbox>
                  <w:txbxContent>
                    <w:p w14:paraId="4F6AB8CF" w14:textId="77777777" w:rsidR="00283F74" w:rsidRDefault="00283F74" w:rsidP="00283F74">
                      <w:pPr>
                        <w:pStyle w:val="PullOutBoxText"/>
                      </w:pPr>
                      <w:r w:rsidRPr="00A905D2">
                        <w:rPr>
                          <w:b/>
                          <w:bCs/>
                        </w:rPr>
                        <w:t>Sensitive receptors</w:t>
                      </w:r>
                      <w:r>
                        <w:rPr>
                          <w:b/>
                          <w:bCs/>
                        </w:rPr>
                        <w:t xml:space="preserve"> </w:t>
                      </w:r>
                      <w:r w:rsidRPr="007E5891">
                        <w:t>or</w:t>
                      </w:r>
                      <w:r>
                        <w:rPr>
                          <w:b/>
                          <w:bCs/>
                        </w:rPr>
                        <w:t xml:space="preserve"> sensitive land use </w:t>
                      </w:r>
                      <w:r w:rsidRPr="007E5891">
                        <w:t xml:space="preserve">is defined by EPA </w:t>
                      </w:r>
                      <w:r>
                        <w:t xml:space="preserve">Victoria </w:t>
                      </w:r>
                      <w:r w:rsidRPr="007E5891">
                        <w:t>as</w:t>
                      </w:r>
                      <w:r>
                        <w:t xml:space="preserve"> land uses that require protection of the air environment, such as for human health and wellbeing and local amenity. This includes places such as residential dwellings, education facilities and </w:t>
                      </w:r>
                      <w:r w:rsidRPr="007E5891">
                        <w:t>outdoor recreation sites</w:t>
                      </w:r>
                      <w:r w:rsidRPr="00C076F3">
                        <w:t>.</w:t>
                      </w:r>
                    </w:p>
                    <w:p w14:paraId="4C40C32D" w14:textId="77777777" w:rsidR="00283F74" w:rsidRPr="00B241C2" w:rsidRDefault="00283F74" w:rsidP="00283F74">
                      <w:pPr>
                        <w:pStyle w:val="PullOutBoxText"/>
                        <w:jc w:val="right"/>
                        <w:rPr>
                          <w:i/>
                          <w:iCs/>
                          <w:sz w:val="18"/>
                        </w:rPr>
                      </w:pPr>
                      <w:r w:rsidRPr="00B241C2">
                        <w:rPr>
                          <w:i/>
                          <w:iCs/>
                          <w:sz w:val="18"/>
                        </w:rPr>
                        <w:t>Source: EPA Victoria (2013) Publication 1518: Recommended separation distances for industrial residual air emissions</w:t>
                      </w:r>
                    </w:p>
                  </w:txbxContent>
                </v:textbox>
                <w10:wrap type="square"/>
              </v:roundrect>
            </w:pict>
          </mc:Fallback>
        </mc:AlternateContent>
      </w:r>
      <w:r w:rsidRPr="00F34280">
        <w:t>The nearest sensitive receptor site to the quarry is</w:t>
      </w:r>
      <w:r>
        <w:t xml:space="preserve"> </w:t>
      </w:r>
      <w:r w:rsidRPr="00F34280">
        <w:t>located approximately 1.4 kilometres south-east of the quarry site boundary (</w:t>
      </w:r>
      <w:r w:rsidRPr="00F34280">
        <w:fldChar w:fldCharType="begin"/>
      </w:r>
      <w:r w:rsidRPr="00F34280">
        <w:instrText xml:space="preserve"> REF _Ref76462118 \h  \* MERGEFORMAT </w:instrText>
      </w:r>
      <w:r w:rsidRPr="00F34280">
        <w:fldChar w:fldCharType="separate"/>
      </w:r>
      <w:r w:rsidR="009056B9" w:rsidRPr="00B241C2">
        <w:t xml:space="preserve">Figure </w:t>
      </w:r>
      <w:r w:rsidR="009056B9">
        <w:t>20</w:t>
      </w:r>
      <w:r w:rsidR="009056B9" w:rsidRPr="00B241C2">
        <w:t>.</w:t>
      </w:r>
      <w:r w:rsidR="009056B9">
        <w:t>1</w:t>
      </w:r>
      <w:r w:rsidRPr="00F34280">
        <w:fldChar w:fldCharType="end"/>
      </w:r>
      <w:r w:rsidRPr="00F34280">
        <w:t xml:space="preserve">). This is an isolated residential dwelling. Other sensitive receptor sites are located along the Hamilton-Port Fairy Road approximately 3 kilometres south-west of the quarry site, and along Woolsthorpe-Heywood Road approximately 3 kilometres north of the quarry site. All of these sensitive receptors are residential properties. </w:t>
      </w:r>
    </w:p>
    <w:p w14:paraId="2D7981FF" w14:textId="4CA6924A" w:rsidR="00283F74" w:rsidRPr="00F34280" w:rsidRDefault="00283F74" w:rsidP="00283F74">
      <w:pPr>
        <w:pStyle w:val="BodyText"/>
      </w:pPr>
      <w:r w:rsidRPr="00F34280">
        <w:t>The number of sensitive receptors within 3</w:t>
      </w:r>
      <w:r>
        <w:t> </w:t>
      </w:r>
      <w:r w:rsidRPr="00F34280">
        <w:t xml:space="preserve">kilometres of the quarry site are included in </w:t>
      </w:r>
      <w:r w:rsidRPr="00F34280">
        <w:fldChar w:fldCharType="begin"/>
      </w:r>
      <w:r w:rsidRPr="00F34280">
        <w:instrText xml:space="preserve"> REF _Ref76462222 \h </w:instrText>
      </w:r>
      <w:r w:rsidRPr="00F34280">
        <w:fldChar w:fldCharType="separate"/>
      </w:r>
      <w:r w:rsidR="009056B9" w:rsidRPr="00B241C2">
        <w:t>Table</w:t>
      </w:r>
      <w:r w:rsidR="009056B9">
        <w:t> </w:t>
      </w:r>
      <w:r w:rsidR="009056B9">
        <w:rPr>
          <w:noProof/>
        </w:rPr>
        <w:t>20</w:t>
      </w:r>
      <w:r w:rsidR="009056B9" w:rsidRPr="00B241C2">
        <w:t>.</w:t>
      </w:r>
      <w:r w:rsidR="009056B9">
        <w:rPr>
          <w:noProof/>
        </w:rPr>
        <w:t>5</w:t>
      </w:r>
      <w:r w:rsidRPr="00F34280">
        <w:fldChar w:fldCharType="end"/>
      </w:r>
      <w:r w:rsidRPr="00F34280">
        <w:t xml:space="preserve"> below.</w:t>
      </w:r>
    </w:p>
    <w:p w14:paraId="297CF186" w14:textId="54B424B7" w:rsidR="00283F74" w:rsidRPr="00B241C2" w:rsidRDefault="00283F74" w:rsidP="00283F74">
      <w:pPr>
        <w:pStyle w:val="Caption"/>
      </w:pPr>
      <w:bookmarkStart w:id="55" w:name="_Ref76462222"/>
      <w:bookmarkStart w:id="56" w:name="_Toc105144196"/>
      <w:r w:rsidRPr="00B241C2">
        <w:t>Table</w:t>
      </w:r>
      <w:r>
        <w:t> </w:t>
      </w:r>
      <w:r w:rsidR="00A75519">
        <w:fldChar w:fldCharType="begin"/>
      </w:r>
      <w:r w:rsidR="00A75519">
        <w:instrText xml:space="preserve"> STYLEREF 1 \s </w:instrText>
      </w:r>
      <w:r w:rsidR="00A75519">
        <w:fldChar w:fldCharType="separate"/>
      </w:r>
      <w:r w:rsidR="009056B9">
        <w:rPr>
          <w:noProof/>
        </w:rPr>
        <w:t>20</w:t>
      </w:r>
      <w:r w:rsidR="00A75519">
        <w:rPr>
          <w:noProof/>
        </w:rPr>
        <w:fldChar w:fldCharType="end"/>
      </w:r>
      <w:r w:rsidRPr="00B241C2">
        <w:t>.</w:t>
      </w:r>
      <w:r w:rsidR="00A75519">
        <w:fldChar w:fldCharType="begin"/>
      </w:r>
      <w:r w:rsidR="00A75519">
        <w:instrText xml:space="preserve"> SEQ Table \* ARABIC \s 1 </w:instrText>
      </w:r>
      <w:r w:rsidR="00A75519">
        <w:fldChar w:fldCharType="separate"/>
      </w:r>
      <w:r w:rsidR="009056B9">
        <w:rPr>
          <w:noProof/>
        </w:rPr>
        <w:t>5</w:t>
      </w:r>
      <w:r w:rsidR="00A75519">
        <w:rPr>
          <w:noProof/>
        </w:rPr>
        <w:fldChar w:fldCharType="end"/>
      </w:r>
      <w:bookmarkEnd w:id="55"/>
      <w:r w:rsidRPr="00B241C2">
        <w:tab/>
        <w:t>Distance of air quality sensitive receptors from quarry work authority boundary</w:t>
      </w:r>
      <w:bookmarkEnd w:id="56"/>
    </w:p>
    <w:tbl>
      <w:tblPr>
        <w:tblStyle w:val="Table1"/>
        <w:tblW w:w="5000" w:type="pct"/>
        <w:tblLook w:val="04A0" w:firstRow="1" w:lastRow="0" w:firstColumn="1" w:lastColumn="0" w:noHBand="0" w:noVBand="1"/>
      </w:tblPr>
      <w:tblGrid>
        <w:gridCol w:w="4535"/>
        <w:gridCol w:w="4535"/>
      </w:tblGrid>
      <w:tr w:rsidR="00283F74" w:rsidRPr="00F34280" w14:paraId="64CC19EE" w14:textId="77777777" w:rsidTr="00697B2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00" w:type="pct"/>
          </w:tcPr>
          <w:p w14:paraId="394A6C02" w14:textId="77777777" w:rsidR="00283F74" w:rsidRPr="00F34280" w:rsidRDefault="00283F74" w:rsidP="00697B27">
            <w:pPr>
              <w:pStyle w:val="TableHeading"/>
            </w:pPr>
            <w:r w:rsidRPr="00F34280">
              <w:t>Distance from quarry work authority boundary</w:t>
            </w:r>
          </w:p>
        </w:tc>
        <w:tc>
          <w:tcPr>
            <w:tcW w:w="2500" w:type="pct"/>
          </w:tcPr>
          <w:p w14:paraId="771E69C1" w14:textId="77777777" w:rsidR="00283F74" w:rsidRPr="00F34280" w:rsidRDefault="00283F74" w:rsidP="00697B27">
            <w:pPr>
              <w:pStyle w:val="TableHeading"/>
              <w:jc w:val="center"/>
              <w:cnfStyle w:val="100000000000" w:firstRow="1" w:lastRow="0" w:firstColumn="0" w:lastColumn="0" w:oddVBand="0" w:evenVBand="0" w:oddHBand="0" w:evenHBand="0" w:firstRowFirstColumn="0" w:firstRowLastColumn="0" w:lastRowFirstColumn="0" w:lastRowLastColumn="0"/>
            </w:pPr>
            <w:r w:rsidRPr="00F34280">
              <w:t>Number of sensitive receptors</w:t>
            </w:r>
          </w:p>
        </w:tc>
      </w:tr>
      <w:tr w:rsidR="00283F74" w:rsidRPr="00F34280" w14:paraId="2548B549" w14:textId="77777777" w:rsidTr="00697B27">
        <w:tc>
          <w:tcPr>
            <w:cnfStyle w:val="001000000000" w:firstRow="0" w:lastRow="0" w:firstColumn="1" w:lastColumn="0" w:oddVBand="0" w:evenVBand="0" w:oddHBand="0" w:evenHBand="0" w:firstRowFirstColumn="0" w:firstRowLastColumn="0" w:lastRowFirstColumn="0" w:lastRowLastColumn="0"/>
            <w:tcW w:w="2500" w:type="pct"/>
          </w:tcPr>
          <w:p w14:paraId="050BB361" w14:textId="77777777" w:rsidR="00283F74" w:rsidRPr="00F34280" w:rsidRDefault="00283F74" w:rsidP="00697B27">
            <w:pPr>
              <w:pStyle w:val="TableText"/>
            </w:pPr>
            <w:r w:rsidRPr="00F34280">
              <w:t>&lt; 500 metres</w:t>
            </w:r>
          </w:p>
        </w:tc>
        <w:tc>
          <w:tcPr>
            <w:tcW w:w="2500" w:type="pct"/>
          </w:tcPr>
          <w:p w14:paraId="2CED43A4" w14:textId="77777777" w:rsidR="00283F74" w:rsidRPr="00F34280" w:rsidRDefault="00283F74" w:rsidP="00697B27">
            <w:pPr>
              <w:pStyle w:val="TableText"/>
              <w:jc w:val="center"/>
              <w:cnfStyle w:val="000000000000" w:firstRow="0" w:lastRow="0" w:firstColumn="0" w:lastColumn="0" w:oddVBand="0" w:evenVBand="0" w:oddHBand="0" w:evenHBand="0" w:firstRowFirstColumn="0" w:firstRowLastColumn="0" w:lastRowFirstColumn="0" w:lastRowLastColumn="0"/>
            </w:pPr>
            <w:r w:rsidRPr="00F34280">
              <w:t>0</w:t>
            </w:r>
          </w:p>
        </w:tc>
      </w:tr>
      <w:tr w:rsidR="00283F74" w:rsidRPr="00F34280" w14:paraId="380660CF" w14:textId="77777777" w:rsidTr="00697B27">
        <w:tc>
          <w:tcPr>
            <w:cnfStyle w:val="001000000000" w:firstRow="0" w:lastRow="0" w:firstColumn="1" w:lastColumn="0" w:oddVBand="0" w:evenVBand="0" w:oddHBand="0" w:evenHBand="0" w:firstRowFirstColumn="0" w:firstRowLastColumn="0" w:lastRowFirstColumn="0" w:lastRowLastColumn="0"/>
            <w:tcW w:w="2500" w:type="pct"/>
          </w:tcPr>
          <w:p w14:paraId="715F68AA" w14:textId="77777777" w:rsidR="00283F74" w:rsidRPr="00F34280" w:rsidRDefault="00283F74" w:rsidP="00697B27">
            <w:pPr>
              <w:pStyle w:val="TableText"/>
            </w:pPr>
            <w:r w:rsidRPr="00F34280">
              <w:t>501</w:t>
            </w:r>
            <w:r>
              <w:t>–</w:t>
            </w:r>
            <w:r w:rsidRPr="00F34280">
              <w:t>1,000 metres</w:t>
            </w:r>
          </w:p>
        </w:tc>
        <w:tc>
          <w:tcPr>
            <w:tcW w:w="2500" w:type="pct"/>
          </w:tcPr>
          <w:p w14:paraId="743F35F8" w14:textId="77777777" w:rsidR="00283F74" w:rsidRPr="00F34280" w:rsidRDefault="00283F74" w:rsidP="00697B27">
            <w:pPr>
              <w:pStyle w:val="TableText"/>
              <w:jc w:val="center"/>
              <w:cnfStyle w:val="000000000000" w:firstRow="0" w:lastRow="0" w:firstColumn="0" w:lastColumn="0" w:oddVBand="0" w:evenVBand="0" w:oddHBand="0" w:evenHBand="0" w:firstRowFirstColumn="0" w:firstRowLastColumn="0" w:lastRowFirstColumn="0" w:lastRowLastColumn="0"/>
            </w:pPr>
            <w:r w:rsidRPr="00F34280">
              <w:t>0</w:t>
            </w:r>
          </w:p>
        </w:tc>
      </w:tr>
      <w:tr w:rsidR="00283F74" w:rsidRPr="00F34280" w14:paraId="124F4197" w14:textId="77777777" w:rsidTr="00697B27">
        <w:tc>
          <w:tcPr>
            <w:cnfStyle w:val="001000000000" w:firstRow="0" w:lastRow="0" w:firstColumn="1" w:lastColumn="0" w:oddVBand="0" w:evenVBand="0" w:oddHBand="0" w:evenHBand="0" w:firstRowFirstColumn="0" w:firstRowLastColumn="0" w:lastRowFirstColumn="0" w:lastRowLastColumn="0"/>
            <w:tcW w:w="2500" w:type="pct"/>
          </w:tcPr>
          <w:p w14:paraId="67BCA676" w14:textId="77777777" w:rsidR="00283F74" w:rsidRPr="00F34280" w:rsidRDefault="00283F74" w:rsidP="00697B27">
            <w:pPr>
              <w:pStyle w:val="TableText"/>
            </w:pPr>
            <w:r w:rsidRPr="00F34280">
              <w:t>1,001</w:t>
            </w:r>
            <w:r>
              <w:t>–</w:t>
            </w:r>
            <w:r w:rsidRPr="00F34280">
              <w:t>1,500 metres</w:t>
            </w:r>
          </w:p>
        </w:tc>
        <w:tc>
          <w:tcPr>
            <w:tcW w:w="2500" w:type="pct"/>
          </w:tcPr>
          <w:p w14:paraId="4B4ADEB9" w14:textId="77777777" w:rsidR="00283F74" w:rsidRPr="00F34280" w:rsidRDefault="00283F74" w:rsidP="00697B27">
            <w:pPr>
              <w:pStyle w:val="TableText"/>
              <w:jc w:val="center"/>
              <w:cnfStyle w:val="000000000000" w:firstRow="0" w:lastRow="0" w:firstColumn="0" w:lastColumn="0" w:oddVBand="0" w:evenVBand="0" w:oddHBand="0" w:evenHBand="0" w:firstRowFirstColumn="0" w:firstRowLastColumn="0" w:lastRowFirstColumn="0" w:lastRowLastColumn="0"/>
            </w:pPr>
            <w:r w:rsidRPr="00F34280">
              <w:t>1</w:t>
            </w:r>
          </w:p>
        </w:tc>
      </w:tr>
      <w:tr w:rsidR="00283F74" w:rsidRPr="00F34280" w14:paraId="232A6FF4" w14:textId="77777777" w:rsidTr="00697B27">
        <w:tc>
          <w:tcPr>
            <w:cnfStyle w:val="001000000000" w:firstRow="0" w:lastRow="0" w:firstColumn="1" w:lastColumn="0" w:oddVBand="0" w:evenVBand="0" w:oddHBand="0" w:evenHBand="0" w:firstRowFirstColumn="0" w:firstRowLastColumn="0" w:lastRowFirstColumn="0" w:lastRowLastColumn="0"/>
            <w:tcW w:w="2500" w:type="pct"/>
          </w:tcPr>
          <w:p w14:paraId="0594044B" w14:textId="77777777" w:rsidR="00283F74" w:rsidRPr="00F34280" w:rsidRDefault="00283F74" w:rsidP="00697B27">
            <w:pPr>
              <w:pStyle w:val="TableText"/>
            </w:pPr>
            <w:r w:rsidRPr="00F34280">
              <w:t>1,501</w:t>
            </w:r>
            <w:r>
              <w:t>–</w:t>
            </w:r>
            <w:r w:rsidRPr="00F34280">
              <w:t>2,000 metres</w:t>
            </w:r>
          </w:p>
        </w:tc>
        <w:tc>
          <w:tcPr>
            <w:tcW w:w="2500" w:type="pct"/>
          </w:tcPr>
          <w:p w14:paraId="1A755AD5" w14:textId="77777777" w:rsidR="00283F74" w:rsidRPr="00F34280" w:rsidRDefault="00283F74" w:rsidP="00697B27">
            <w:pPr>
              <w:pStyle w:val="TableText"/>
              <w:jc w:val="center"/>
              <w:cnfStyle w:val="000000000000" w:firstRow="0" w:lastRow="0" w:firstColumn="0" w:lastColumn="0" w:oddVBand="0" w:evenVBand="0" w:oddHBand="0" w:evenHBand="0" w:firstRowFirstColumn="0" w:firstRowLastColumn="0" w:lastRowFirstColumn="0" w:lastRowLastColumn="0"/>
            </w:pPr>
            <w:r w:rsidRPr="00F34280">
              <w:t>0</w:t>
            </w:r>
          </w:p>
        </w:tc>
      </w:tr>
      <w:tr w:rsidR="00283F74" w:rsidRPr="00F34280" w14:paraId="5662EC06" w14:textId="77777777" w:rsidTr="00697B27">
        <w:tc>
          <w:tcPr>
            <w:cnfStyle w:val="001000000000" w:firstRow="0" w:lastRow="0" w:firstColumn="1" w:lastColumn="0" w:oddVBand="0" w:evenVBand="0" w:oddHBand="0" w:evenHBand="0" w:firstRowFirstColumn="0" w:firstRowLastColumn="0" w:lastRowFirstColumn="0" w:lastRowLastColumn="0"/>
            <w:tcW w:w="2500" w:type="pct"/>
          </w:tcPr>
          <w:p w14:paraId="2E159D90" w14:textId="77777777" w:rsidR="00283F74" w:rsidRPr="00F34280" w:rsidRDefault="00283F74" w:rsidP="00697B27">
            <w:pPr>
              <w:pStyle w:val="TableText"/>
            </w:pPr>
            <w:r w:rsidRPr="00F34280">
              <w:t>2,001</w:t>
            </w:r>
            <w:r>
              <w:t>–</w:t>
            </w:r>
            <w:r w:rsidRPr="00F34280">
              <w:t>2,500 metres</w:t>
            </w:r>
          </w:p>
        </w:tc>
        <w:tc>
          <w:tcPr>
            <w:tcW w:w="2500" w:type="pct"/>
          </w:tcPr>
          <w:p w14:paraId="0E4A6074" w14:textId="77777777" w:rsidR="00283F74" w:rsidRPr="00F34280" w:rsidRDefault="00283F74" w:rsidP="00697B27">
            <w:pPr>
              <w:pStyle w:val="TableText"/>
              <w:jc w:val="center"/>
              <w:cnfStyle w:val="000000000000" w:firstRow="0" w:lastRow="0" w:firstColumn="0" w:lastColumn="0" w:oddVBand="0" w:evenVBand="0" w:oddHBand="0" w:evenHBand="0" w:firstRowFirstColumn="0" w:firstRowLastColumn="0" w:lastRowFirstColumn="0" w:lastRowLastColumn="0"/>
            </w:pPr>
            <w:r w:rsidRPr="00F34280">
              <w:t>0</w:t>
            </w:r>
          </w:p>
        </w:tc>
      </w:tr>
      <w:tr w:rsidR="00283F74" w:rsidRPr="00F34280" w14:paraId="09115DBC" w14:textId="77777777" w:rsidTr="00697B27">
        <w:tc>
          <w:tcPr>
            <w:cnfStyle w:val="001000000000" w:firstRow="0" w:lastRow="0" w:firstColumn="1" w:lastColumn="0" w:oddVBand="0" w:evenVBand="0" w:oddHBand="0" w:evenHBand="0" w:firstRowFirstColumn="0" w:firstRowLastColumn="0" w:lastRowFirstColumn="0" w:lastRowLastColumn="0"/>
            <w:tcW w:w="2500" w:type="pct"/>
          </w:tcPr>
          <w:p w14:paraId="2C0590A0" w14:textId="77777777" w:rsidR="00283F74" w:rsidRPr="00F34280" w:rsidRDefault="00283F74" w:rsidP="00697B27">
            <w:pPr>
              <w:pStyle w:val="TableText"/>
            </w:pPr>
            <w:r w:rsidRPr="00F34280">
              <w:t>2,501</w:t>
            </w:r>
            <w:r>
              <w:t>–</w:t>
            </w:r>
            <w:r w:rsidRPr="00F34280">
              <w:t>3,000 metres</w:t>
            </w:r>
          </w:p>
        </w:tc>
        <w:tc>
          <w:tcPr>
            <w:tcW w:w="2500" w:type="pct"/>
          </w:tcPr>
          <w:p w14:paraId="6C8A19EC" w14:textId="77777777" w:rsidR="00283F74" w:rsidRPr="00F34280" w:rsidRDefault="00283F74" w:rsidP="00697B27">
            <w:pPr>
              <w:pStyle w:val="TableText"/>
              <w:jc w:val="center"/>
              <w:cnfStyle w:val="000000000000" w:firstRow="0" w:lastRow="0" w:firstColumn="0" w:lastColumn="0" w:oddVBand="0" w:evenVBand="0" w:oddHBand="0" w:evenHBand="0" w:firstRowFirstColumn="0" w:firstRowLastColumn="0" w:lastRowFirstColumn="0" w:lastRowLastColumn="0"/>
            </w:pPr>
            <w:r w:rsidRPr="00F34280">
              <w:t>3</w:t>
            </w:r>
          </w:p>
        </w:tc>
      </w:tr>
    </w:tbl>
    <w:p w14:paraId="030A0C1B" w14:textId="77777777" w:rsidR="00283F74" w:rsidRDefault="00283F74" w:rsidP="00B241C2"/>
    <w:p w14:paraId="31C0FF95" w14:textId="6FEF556A" w:rsidR="00B241C2" w:rsidRDefault="00B241C2" w:rsidP="00B241C2"/>
    <w:p w14:paraId="086F2020" w14:textId="77777777" w:rsidR="00B241C2" w:rsidRDefault="00B241C2" w:rsidP="00B241C2">
      <w:pPr>
        <w:sectPr w:rsidR="00B241C2" w:rsidSect="00632BD3">
          <w:headerReference w:type="even" r:id="rId11"/>
          <w:headerReference w:type="default" r:id="rId12"/>
          <w:footerReference w:type="even" r:id="rId13"/>
          <w:footerReference w:type="default" r:id="rId14"/>
          <w:headerReference w:type="first" r:id="rId15"/>
          <w:footerReference w:type="first" r:id="rId16"/>
          <w:pgSz w:w="11906" w:h="16838" w:code="9"/>
          <w:pgMar w:top="1276" w:right="1418" w:bottom="1134" w:left="1418" w:header="709" w:footer="284" w:gutter="0"/>
          <w:pgNumType w:start="1" w:chapStyle="1"/>
          <w:cols w:space="708"/>
          <w:docGrid w:linePitch="360"/>
        </w:sectPr>
      </w:pPr>
    </w:p>
    <w:p w14:paraId="4C962D6D" w14:textId="3B513DD0" w:rsidR="00B241C2" w:rsidRPr="004F223E" w:rsidRDefault="005D0DF3" w:rsidP="00B241C2">
      <w:pPr>
        <w:pStyle w:val="Image"/>
      </w:pPr>
      <w:r w:rsidRPr="005D0DF3">
        <w:rPr>
          <w:noProof/>
        </w:rPr>
        <w:lastRenderedPageBreak/>
        <w:drawing>
          <wp:anchor distT="0" distB="0" distL="114300" distR="114300" simplePos="0" relativeHeight="251665408" behindDoc="0" locked="0" layoutInCell="1" allowOverlap="1" wp14:anchorId="36BD3213" wp14:editId="44DF4AF4">
            <wp:simplePos x="0" y="0"/>
            <wp:positionH relativeFrom="column">
              <wp:posOffset>-890905</wp:posOffset>
            </wp:positionH>
            <wp:positionV relativeFrom="paragraph">
              <wp:posOffset>-800735</wp:posOffset>
            </wp:positionV>
            <wp:extent cx="10692000" cy="7560739"/>
            <wp:effectExtent l="0" t="0" r="0" b="2540"/>
            <wp:wrapNone/>
            <wp:docPr id="8" name="Picture 8" descr="Map showing the digital elevation model and sensitive receptors within and surrounding the project site, and the location of the on-site quarry and meteorological ma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 showing the digital elevation model and sensitive receptors within and surrounding the project site, and the location of the on-site quarry and meteorological masts"/>
                    <pic:cNvPicPr/>
                  </pic:nvPicPr>
                  <pic:blipFill>
                    <a:blip r:embed="rId17">
                      <a:extLst>
                        <a:ext uri="{28A0092B-C50C-407E-A947-70E740481C1C}">
                          <a14:useLocalDpi xmlns:a14="http://schemas.microsoft.com/office/drawing/2010/main" val="0"/>
                        </a:ext>
                      </a:extLst>
                    </a:blip>
                    <a:stretch>
                      <a:fillRect/>
                    </a:stretch>
                  </pic:blipFill>
                  <pic:spPr>
                    <a:xfrm>
                      <a:off x="0" y="0"/>
                      <a:ext cx="10692000" cy="7560739"/>
                    </a:xfrm>
                    <a:prstGeom prst="rect">
                      <a:avLst/>
                    </a:prstGeom>
                  </pic:spPr>
                </pic:pic>
              </a:graphicData>
            </a:graphic>
            <wp14:sizeRelH relativeFrom="page">
              <wp14:pctWidth>0</wp14:pctWidth>
            </wp14:sizeRelH>
            <wp14:sizeRelV relativeFrom="page">
              <wp14:pctHeight>0</wp14:pctHeight>
            </wp14:sizeRelV>
          </wp:anchor>
        </w:drawing>
      </w:r>
    </w:p>
    <w:p w14:paraId="280A8870" w14:textId="204FA91D" w:rsidR="00B241C2" w:rsidRPr="00B241C2" w:rsidRDefault="00B241C2" w:rsidP="00B241C2">
      <w:pPr>
        <w:pStyle w:val="Caption"/>
      </w:pPr>
      <w:bookmarkStart w:id="60" w:name="_Ref76462118"/>
      <w:bookmarkStart w:id="61" w:name="_Toc84595779"/>
      <w:bookmarkStart w:id="62" w:name="_Toc105144202"/>
      <w:r w:rsidRPr="00B241C2">
        <w:t xml:space="preserve">Figure </w:t>
      </w:r>
      <w:fldSimple w:instr=" STYLEREF 1 \s ">
        <w:r w:rsidR="009056B9">
          <w:rPr>
            <w:noProof/>
          </w:rPr>
          <w:t>20</w:t>
        </w:r>
      </w:fldSimple>
      <w:r w:rsidRPr="00B241C2">
        <w:t>.</w:t>
      </w:r>
      <w:fldSimple w:instr=" SEQ Figure \* ARABIC \s 1 ">
        <w:r w:rsidR="009056B9">
          <w:rPr>
            <w:noProof/>
          </w:rPr>
          <w:t>1</w:t>
        </w:r>
      </w:fldSimple>
      <w:bookmarkEnd w:id="60"/>
      <w:r w:rsidRPr="00B241C2">
        <w:tab/>
        <w:t>Air quality modelling investigation area</w:t>
      </w:r>
      <w:bookmarkEnd w:id="61"/>
      <w:bookmarkEnd w:id="62"/>
    </w:p>
    <w:p w14:paraId="5B1CAA6F" w14:textId="77777777" w:rsidR="00B241C2" w:rsidRPr="00B241C2" w:rsidRDefault="00B241C2" w:rsidP="00B241C2">
      <w:pPr>
        <w:pStyle w:val="Caption"/>
        <w:sectPr w:rsidR="00B241C2" w:rsidRPr="00B241C2" w:rsidSect="00B241C2">
          <w:pgSz w:w="16839" w:h="11907" w:orient="landscape" w:code="9"/>
          <w:pgMar w:top="1276" w:right="1418" w:bottom="1134" w:left="1418" w:header="709" w:footer="284" w:gutter="0"/>
          <w:pgNumType w:chapStyle="1"/>
          <w:cols w:space="708"/>
          <w:docGrid w:linePitch="360"/>
        </w:sectPr>
      </w:pPr>
    </w:p>
    <w:p w14:paraId="5A96769D" w14:textId="77777777" w:rsidR="00B241C2" w:rsidRPr="00B241C2" w:rsidRDefault="00B241C2" w:rsidP="00B241C2">
      <w:pPr>
        <w:pStyle w:val="Heading3"/>
      </w:pPr>
      <w:bookmarkStart w:id="63" w:name="PasteHere"/>
      <w:bookmarkStart w:id="64" w:name="_Toc77766094"/>
      <w:bookmarkStart w:id="65" w:name="_Toc77766242"/>
      <w:bookmarkStart w:id="66" w:name="_Toc78293689"/>
      <w:bookmarkStart w:id="67" w:name="_Ref77505446"/>
      <w:bookmarkStart w:id="68" w:name="_Ref84431834"/>
      <w:bookmarkStart w:id="69" w:name="_Toc84595770"/>
      <w:bookmarkStart w:id="70" w:name="_Toc105144184"/>
      <w:bookmarkEnd w:id="63"/>
      <w:bookmarkEnd w:id="64"/>
      <w:bookmarkEnd w:id="65"/>
      <w:bookmarkEnd w:id="66"/>
      <w:r w:rsidRPr="00B241C2">
        <w:lastRenderedPageBreak/>
        <w:t>Meteorological conditions</w:t>
      </w:r>
      <w:bookmarkEnd w:id="67"/>
      <w:bookmarkEnd w:id="68"/>
      <w:bookmarkEnd w:id="69"/>
      <w:bookmarkEnd w:id="70"/>
    </w:p>
    <w:p w14:paraId="59515B0C" w14:textId="0D94AE8B" w:rsidR="00B241C2" w:rsidRPr="00F34280" w:rsidRDefault="00B241C2" w:rsidP="00B241C2">
      <w:pPr>
        <w:pStyle w:val="BodyText"/>
      </w:pPr>
      <w:r w:rsidRPr="00F34280">
        <w:t xml:space="preserve">Meteorological conditions are important inputs into air quality modelling as they impact the direction and rate at which air pollutant emissions </w:t>
      </w:r>
      <w:r w:rsidR="00F912F2">
        <w:t>would</w:t>
      </w:r>
      <w:r w:rsidRPr="00F34280">
        <w:t xml:space="preserve"> disperse from a source. This section discusses the meteorological parameters used for modelling the project’s air quality impacts including wind speed and wind direction, temperature, humidity and rainfall.</w:t>
      </w:r>
    </w:p>
    <w:p w14:paraId="211EB86C" w14:textId="09035797" w:rsidR="00B241C2" w:rsidRPr="00F34280" w:rsidRDefault="00B241C2" w:rsidP="00B241C2">
      <w:pPr>
        <w:pStyle w:val="BodyText"/>
      </w:pPr>
      <w:r w:rsidRPr="00F34280">
        <w:t xml:space="preserve">Temperature, rainfall and humidity were taken from the Mortlake Racecourse </w:t>
      </w:r>
      <w:r w:rsidR="008633D6" w:rsidRPr="008A4608">
        <w:t>Bureau of Meteorology</w:t>
      </w:r>
      <w:r w:rsidRPr="00F34280">
        <w:t xml:space="preserve"> station as it was deemed more similar to the project site than the more coastal Warrnambool </w:t>
      </w:r>
      <w:r w:rsidR="00AB71DB">
        <w:t>Airport NDB</w:t>
      </w:r>
      <w:r w:rsidR="00AB71DB" w:rsidRPr="00F34280">
        <w:t xml:space="preserve"> </w:t>
      </w:r>
      <w:r w:rsidR="008633D6" w:rsidRPr="008A4608">
        <w:t>Bureau of Meteorology</w:t>
      </w:r>
      <w:r w:rsidRPr="00F34280">
        <w:t xml:space="preserve"> station. Wind speed and direction were taken from the wind monitoring mast installed on the project site.</w:t>
      </w:r>
    </w:p>
    <w:p w14:paraId="3295D1A4" w14:textId="77777777" w:rsidR="00B241C2" w:rsidRPr="00B241C2" w:rsidRDefault="00B241C2" w:rsidP="00B241C2">
      <w:pPr>
        <w:pStyle w:val="Heading4"/>
      </w:pPr>
      <w:r w:rsidRPr="00B241C2">
        <w:t>Temperature</w:t>
      </w:r>
    </w:p>
    <w:p w14:paraId="38984237" w14:textId="11117968" w:rsidR="00B241C2" w:rsidRDefault="00B241C2" w:rsidP="00B241C2">
      <w:pPr>
        <w:pStyle w:val="BodyText"/>
      </w:pPr>
      <w:r w:rsidRPr="00F34280">
        <w:t>Mean monthly minimum and maximum temperatures for the Mortlake Racecourse station, from 1991</w:t>
      </w:r>
      <w:r w:rsidR="000675E5">
        <w:t>–</w:t>
      </w:r>
      <w:r w:rsidRPr="00F34280">
        <w:t>2021, are shown in</w:t>
      </w:r>
      <w:r w:rsidR="002C0D9D">
        <w:t xml:space="preserve"> </w:t>
      </w:r>
      <w:r w:rsidR="002C0D9D">
        <w:fldChar w:fldCharType="begin"/>
      </w:r>
      <w:r w:rsidR="002C0D9D">
        <w:instrText xml:space="preserve"> REF _Ref93326020 \h </w:instrText>
      </w:r>
      <w:r w:rsidR="002C0D9D">
        <w:fldChar w:fldCharType="separate"/>
      </w:r>
      <w:r w:rsidR="009056B9" w:rsidRPr="000675E5">
        <w:t xml:space="preserve">Figure </w:t>
      </w:r>
      <w:r w:rsidR="009056B9">
        <w:rPr>
          <w:noProof/>
        </w:rPr>
        <w:t>20</w:t>
      </w:r>
      <w:r w:rsidR="009056B9" w:rsidRPr="000675E5">
        <w:t>.</w:t>
      </w:r>
      <w:r w:rsidR="009056B9">
        <w:rPr>
          <w:noProof/>
        </w:rPr>
        <w:t>2</w:t>
      </w:r>
      <w:r w:rsidR="002C0D9D">
        <w:fldChar w:fldCharType="end"/>
      </w:r>
      <w:r w:rsidRPr="00F34280">
        <w:t>. These temperature statistics are expected to be similar for the project site.</w:t>
      </w:r>
    </w:p>
    <w:p w14:paraId="35E5912C" w14:textId="77777777" w:rsidR="007A0B5D" w:rsidRPr="007A0B5D" w:rsidRDefault="007A0B5D" w:rsidP="009056B9">
      <w:pPr>
        <w:pStyle w:val="Image"/>
      </w:pPr>
      <w:r>
        <w:rPr>
          <w:noProof/>
        </w:rPr>
        <w:drawing>
          <wp:inline distT="0" distB="0" distL="0" distR="0" wp14:anchorId="33A3CB91" wp14:editId="19544DC6">
            <wp:extent cx="5760085" cy="2840990"/>
            <wp:effectExtent l="0" t="0" r="0" b="0"/>
            <wp:docPr id="11" name="Picture 11" descr="Line graph of the mean minimum and maximum temperatures recorded by the Mortlake Racecourse Bureau of Meteorology station from 1991 to 2021 for each month of the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ine graph of the mean minimum and maximum temperatures recorded by the Mortlake Racecourse Bureau of Meteorology station from 1991 to 2021 for each month of the year"/>
                    <pic:cNvPicPr/>
                  </pic:nvPicPr>
                  <pic:blipFill>
                    <a:blip r:embed="rId18"/>
                    <a:stretch>
                      <a:fillRect/>
                    </a:stretch>
                  </pic:blipFill>
                  <pic:spPr>
                    <a:xfrm>
                      <a:off x="0" y="0"/>
                      <a:ext cx="5760085" cy="2840990"/>
                    </a:xfrm>
                    <a:prstGeom prst="rect">
                      <a:avLst/>
                    </a:prstGeom>
                  </pic:spPr>
                </pic:pic>
              </a:graphicData>
            </a:graphic>
          </wp:inline>
        </w:drawing>
      </w:r>
    </w:p>
    <w:p w14:paraId="2A31EF34" w14:textId="6E8C7D51" w:rsidR="00B241C2" w:rsidRPr="00B241C2" w:rsidRDefault="007A0B5D" w:rsidP="00B241C2">
      <w:pPr>
        <w:pStyle w:val="Caption"/>
      </w:pPr>
      <w:bookmarkStart w:id="71" w:name="_Ref93326020"/>
      <w:bookmarkStart w:id="72" w:name="_Ref76134734"/>
      <w:bookmarkStart w:id="73" w:name="_Ref86054430"/>
      <w:bookmarkStart w:id="74" w:name="_Toc84595790"/>
      <w:bookmarkStart w:id="75" w:name="_Toc105144203"/>
      <w:r w:rsidRPr="000675E5">
        <w:t xml:space="preserve">Figure </w:t>
      </w:r>
      <w:fldSimple w:instr=" STYLEREF 1 \s ">
        <w:r w:rsidR="009056B9">
          <w:rPr>
            <w:noProof/>
          </w:rPr>
          <w:t>20</w:t>
        </w:r>
      </w:fldSimple>
      <w:r w:rsidRPr="000675E5">
        <w:t>.</w:t>
      </w:r>
      <w:fldSimple w:instr=" SEQ Figure \* ARABIC \s 1 ">
        <w:r w:rsidR="009056B9">
          <w:rPr>
            <w:noProof/>
          </w:rPr>
          <w:t>2</w:t>
        </w:r>
      </w:fldSimple>
      <w:bookmarkEnd w:id="71"/>
      <w:r w:rsidRPr="000675E5">
        <w:tab/>
      </w:r>
      <w:bookmarkEnd w:id="72"/>
      <w:bookmarkEnd w:id="73"/>
      <w:r w:rsidR="00B241C2" w:rsidRPr="00B241C2">
        <w:t xml:space="preserve">Mean maximum and minimum daily temperatures for Mortlake Racecourse </w:t>
      </w:r>
      <w:r w:rsidR="00AC6581" w:rsidRPr="008A4608">
        <w:t>Bureau of Meteorology</w:t>
      </w:r>
      <w:r w:rsidR="00AC6581" w:rsidRPr="00F34280">
        <w:t xml:space="preserve"> </w:t>
      </w:r>
      <w:r w:rsidR="00B241C2" w:rsidRPr="00B241C2">
        <w:t>station</w:t>
      </w:r>
      <w:r w:rsidR="00AC6581">
        <w:t xml:space="preserve"> </w:t>
      </w:r>
      <w:r w:rsidR="00B241C2" w:rsidRPr="00B241C2">
        <w:t>from 1991 to May 2021</w:t>
      </w:r>
      <w:bookmarkEnd w:id="74"/>
      <w:bookmarkEnd w:id="75"/>
    </w:p>
    <w:p w14:paraId="6E649887" w14:textId="77777777" w:rsidR="00B241C2" w:rsidRPr="00B241C2" w:rsidRDefault="00B241C2" w:rsidP="00B241C2">
      <w:pPr>
        <w:pStyle w:val="Heading4"/>
      </w:pPr>
      <w:r w:rsidRPr="00B241C2">
        <w:t>Rainfall and humidity</w:t>
      </w:r>
    </w:p>
    <w:p w14:paraId="243C6383" w14:textId="3AE7876E" w:rsidR="00B241C2" w:rsidRPr="00F34280" w:rsidRDefault="00B241C2" w:rsidP="00B241C2">
      <w:pPr>
        <w:pStyle w:val="BodyText"/>
      </w:pPr>
      <w:r w:rsidRPr="00F34280">
        <w:t>Mean monthly relative humidity (%) at 9</w:t>
      </w:r>
      <w:r w:rsidR="00A967F5">
        <w:t xml:space="preserve"> </w:t>
      </w:r>
      <w:r w:rsidRPr="00F34280">
        <w:t>am and 3</w:t>
      </w:r>
      <w:r w:rsidR="00A967F5">
        <w:t xml:space="preserve"> </w:t>
      </w:r>
      <w:r w:rsidRPr="00F34280">
        <w:t xml:space="preserve">pm for the Mortlake Racecourse station, from 1991 to 2010, are shown in </w:t>
      </w:r>
      <w:r w:rsidR="002C0D9D">
        <w:fldChar w:fldCharType="begin"/>
      </w:r>
      <w:r w:rsidR="002C0D9D">
        <w:instrText xml:space="preserve"> REF _Ref93326037 \h </w:instrText>
      </w:r>
      <w:r w:rsidR="002C0D9D">
        <w:fldChar w:fldCharType="separate"/>
      </w:r>
      <w:r w:rsidR="009056B9" w:rsidRPr="000675E5">
        <w:t xml:space="preserve">Figure </w:t>
      </w:r>
      <w:r w:rsidR="009056B9">
        <w:rPr>
          <w:noProof/>
        </w:rPr>
        <w:t>20</w:t>
      </w:r>
      <w:r w:rsidR="009056B9" w:rsidRPr="000675E5">
        <w:t>.</w:t>
      </w:r>
      <w:r w:rsidR="009056B9">
        <w:rPr>
          <w:noProof/>
        </w:rPr>
        <w:t>3</w:t>
      </w:r>
      <w:r w:rsidR="002C0D9D">
        <w:fldChar w:fldCharType="end"/>
      </w:r>
      <w:r w:rsidRPr="00F34280">
        <w:t xml:space="preserve">. The relative humidity statistics for the project site are expected to be slightly higher than at Mortlake Racecourse station as the project is closer to the coast. </w:t>
      </w:r>
    </w:p>
    <w:p w14:paraId="3BC264CB" w14:textId="54FCD9E0" w:rsidR="00B241C2" w:rsidRDefault="00B241C2" w:rsidP="00B241C2">
      <w:pPr>
        <w:pStyle w:val="BodyText"/>
      </w:pPr>
      <w:r w:rsidRPr="00F34280">
        <w:t xml:space="preserve">Mean monthly rainfall and the highest monthly rainfall for calendar months between 1994 to 2021, recorded at the Mortlake Racecourse station, are shown in </w:t>
      </w:r>
      <w:r w:rsidR="002C0D9D">
        <w:fldChar w:fldCharType="begin"/>
      </w:r>
      <w:r w:rsidR="002C0D9D">
        <w:instrText xml:space="preserve"> REF _Ref93326037 \h </w:instrText>
      </w:r>
      <w:r w:rsidR="002C0D9D">
        <w:fldChar w:fldCharType="separate"/>
      </w:r>
      <w:r w:rsidR="009056B9" w:rsidRPr="000675E5">
        <w:t xml:space="preserve">Figure </w:t>
      </w:r>
      <w:r w:rsidR="009056B9">
        <w:rPr>
          <w:noProof/>
        </w:rPr>
        <w:t>20</w:t>
      </w:r>
      <w:r w:rsidR="009056B9" w:rsidRPr="000675E5">
        <w:t>.</w:t>
      </w:r>
      <w:r w:rsidR="009056B9">
        <w:rPr>
          <w:noProof/>
        </w:rPr>
        <w:t>3</w:t>
      </w:r>
      <w:r w:rsidR="002C0D9D">
        <w:fldChar w:fldCharType="end"/>
      </w:r>
      <w:r w:rsidRPr="00F34280">
        <w:t>. That is, the average of all rainfall recorded in each calendar month over the time period (e.g., average of rainfall from all months of January during the time period), and the highest monthly rainfall recorded in each calendar month (e.g., highest monthly rainfall recorded during each of the Januarys throughout the 20</w:t>
      </w:r>
      <w:r w:rsidR="00AC6581">
        <w:t>-</w:t>
      </w:r>
      <w:r w:rsidRPr="00F34280">
        <w:t>year time period).</w:t>
      </w:r>
    </w:p>
    <w:p w14:paraId="1DFE4269" w14:textId="519EE28D" w:rsidR="007A0B5D" w:rsidRDefault="007A0B5D" w:rsidP="009056B9">
      <w:pPr>
        <w:pStyle w:val="Image"/>
      </w:pPr>
      <w:r>
        <w:rPr>
          <w:noProof/>
        </w:rPr>
        <w:lastRenderedPageBreak/>
        <w:drawing>
          <wp:inline distT="0" distB="0" distL="0" distR="0" wp14:anchorId="55DD791A" wp14:editId="237EB4B5">
            <wp:extent cx="5760085" cy="5421630"/>
            <wp:effectExtent l="0" t="0" r="0" b="7620"/>
            <wp:docPr id="6" name="Picture 6" descr="Two line graphs, with the top graph presenting the mean and highest monthly rainfall over a year, and the bottom graph presenting the mean relative humidity at 9am and 3pm over a year recorded at the Mortlake Racecourse Bureau of Meteorology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wo line graphs, with the top graph presenting the mean and highest monthly rainfall over a year, and the bottom graph presenting the mean relative humidity at 9am and 3pm over a year recorded at the Mortlake Racecourse Bureau of Meteorology station"/>
                    <pic:cNvPicPr/>
                  </pic:nvPicPr>
                  <pic:blipFill>
                    <a:blip r:embed="rId19"/>
                    <a:stretch>
                      <a:fillRect/>
                    </a:stretch>
                  </pic:blipFill>
                  <pic:spPr>
                    <a:xfrm>
                      <a:off x="0" y="0"/>
                      <a:ext cx="5760085" cy="5421630"/>
                    </a:xfrm>
                    <a:prstGeom prst="rect">
                      <a:avLst/>
                    </a:prstGeom>
                  </pic:spPr>
                </pic:pic>
              </a:graphicData>
            </a:graphic>
          </wp:inline>
        </w:drawing>
      </w:r>
    </w:p>
    <w:p w14:paraId="57662698" w14:textId="79A52F17" w:rsidR="007A0B5D" w:rsidRPr="007A0B5D" w:rsidRDefault="007A0B5D" w:rsidP="001A6ED9">
      <w:pPr>
        <w:pStyle w:val="Caption"/>
      </w:pPr>
      <w:bookmarkStart w:id="76" w:name="_Ref93326037"/>
      <w:bookmarkStart w:id="77" w:name="_Toc105144204"/>
      <w:r w:rsidRPr="000675E5">
        <w:t xml:space="preserve">Figure </w:t>
      </w:r>
      <w:fldSimple w:instr=" STYLEREF 1 \s ">
        <w:r w:rsidR="009056B9">
          <w:rPr>
            <w:noProof/>
          </w:rPr>
          <w:t>20</w:t>
        </w:r>
      </w:fldSimple>
      <w:r w:rsidRPr="000675E5">
        <w:t>.</w:t>
      </w:r>
      <w:fldSimple w:instr=" SEQ Figure \* ARABIC \s 1 ">
        <w:r w:rsidR="009056B9">
          <w:rPr>
            <w:noProof/>
          </w:rPr>
          <w:t>3</w:t>
        </w:r>
      </w:fldSimple>
      <w:bookmarkEnd w:id="76"/>
      <w:r w:rsidRPr="000675E5">
        <w:tab/>
      </w:r>
      <w:r>
        <w:t>Monthly rainfall (</w:t>
      </w:r>
      <w:r w:rsidR="00AC6581">
        <w:t>top</w:t>
      </w:r>
      <w:r>
        <w:t>) and relative humidity (</w:t>
      </w:r>
      <w:r w:rsidR="00AC6581">
        <w:t>bottom</w:t>
      </w:r>
      <w:r>
        <w:t xml:space="preserve">) at the </w:t>
      </w:r>
      <w:r w:rsidRPr="007A0B5D">
        <w:t>Mortlake Racecours</w:t>
      </w:r>
      <w:r>
        <w:t>e</w:t>
      </w:r>
      <w:r w:rsidRPr="007A0B5D">
        <w:t xml:space="preserve"> </w:t>
      </w:r>
      <w:r w:rsidR="00AC6581" w:rsidRPr="008A4608">
        <w:t>Bureau of Meteorology</w:t>
      </w:r>
      <w:r w:rsidR="00AC6581" w:rsidRPr="00F34280">
        <w:t xml:space="preserve"> </w:t>
      </w:r>
      <w:r>
        <w:t>station</w:t>
      </w:r>
      <w:bookmarkEnd w:id="77"/>
    </w:p>
    <w:p w14:paraId="387EDB9C" w14:textId="77777777" w:rsidR="00B241C2" w:rsidRPr="00B241C2" w:rsidRDefault="00B241C2" w:rsidP="000675E5">
      <w:pPr>
        <w:pStyle w:val="Heading4"/>
      </w:pPr>
      <w:r w:rsidRPr="00B241C2">
        <w:t>Wind</w:t>
      </w:r>
    </w:p>
    <w:p w14:paraId="75BBCCA8" w14:textId="6CAE6477" w:rsidR="00B241C2" w:rsidRPr="00F34280" w:rsidRDefault="00B241C2" w:rsidP="000675E5">
      <w:pPr>
        <w:pStyle w:val="BodyText"/>
        <w:keepNext/>
        <w:keepLines/>
      </w:pPr>
      <w:r w:rsidRPr="00F34280">
        <w:t>The annual average wind speed at the Mortlake Racecourse station, from 2003 to 2021, was 3.9 metres per second. Observations at the local project area for 2018 recorded an annual average wind speed of 5.2</w:t>
      </w:r>
      <w:r w:rsidR="000675E5">
        <w:t> </w:t>
      </w:r>
      <w:r w:rsidRPr="00F34280">
        <w:t>metres per second, with the prevailing wind direction at 9</w:t>
      </w:r>
      <w:r w:rsidR="000675E5">
        <w:t> </w:t>
      </w:r>
      <w:r w:rsidRPr="00F34280">
        <w:t>am typically being from the north-west and from the south-west at 3</w:t>
      </w:r>
      <w:r w:rsidR="000675E5">
        <w:t> </w:t>
      </w:r>
      <w:r w:rsidRPr="00F34280">
        <w:t>pm (</w:t>
      </w:r>
      <w:r w:rsidRPr="00F34280">
        <w:fldChar w:fldCharType="begin"/>
      </w:r>
      <w:r w:rsidRPr="00F34280">
        <w:instrText xml:space="preserve"> REF _Ref76472322 \h </w:instrText>
      </w:r>
      <w:r w:rsidRPr="00F34280">
        <w:fldChar w:fldCharType="separate"/>
      </w:r>
      <w:r w:rsidR="009056B9" w:rsidRPr="000675E5">
        <w:t xml:space="preserve">Figure </w:t>
      </w:r>
      <w:r w:rsidR="009056B9">
        <w:rPr>
          <w:noProof/>
        </w:rPr>
        <w:t>20</w:t>
      </w:r>
      <w:r w:rsidR="009056B9" w:rsidRPr="000675E5">
        <w:t>.</w:t>
      </w:r>
      <w:r w:rsidR="009056B9">
        <w:rPr>
          <w:noProof/>
        </w:rPr>
        <w:t>4</w:t>
      </w:r>
      <w:r w:rsidRPr="00F34280">
        <w:fldChar w:fldCharType="end"/>
      </w:r>
      <w:r w:rsidRPr="00F34280">
        <w:t>).</w:t>
      </w:r>
    </w:p>
    <w:p w14:paraId="40A732D5" w14:textId="77777777" w:rsidR="00B241C2" w:rsidRPr="00F34280" w:rsidRDefault="00B241C2" w:rsidP="00B241C2">
      <w:pPr>
        <w:pStyle w:val="BodyText"/>
      </w:pPr>
      <w:r w:rsidRPr="00F34280">
        <w:t>To assess the validity of the local observation data collected at the project site for the purposes of meteorological modelling, comparisons were made with the long-term wind parameters for closest Bureau of Meteorology stations (Mortlake Racecourse and Warrnambool Airport NDB) for the model year 2018. It was confirmed that the local observation data could be used for the project meteorological modelling as it is comparable with long-term wind speeds and patterns of the nearby Bureau of Meteorology stations.</w:t>
      </w:r>
    </w:p>
    <w:p w14:paraId="6955DB23" w14:textId="7450086F" w:rsidR="00B241C2" w:rsidRPr="00F34280" w:rsidRDefault="00BE6672" w:rsidP="009056B9">
      <w:pPr>
        <w:pStyle w:val="Image"/>
      </w:pPr>
      <w:r>
        <w:rPr>
          <w:noProof/>
        </w:rPr>
        <w:lastRenderedPageBreak/>
        <w:drawing>
          <wp:inline distT="0" distB="0" distL="0" distR="0" wp14:anchorId="5FAA024A" wp14:editId="106F24A7">
            <wp:extent cx="5760085" cy="2933065"/>
            <wp:effectExtent l="0" t="0" r="0" b="635"/>
            <wp:docPr id="5" name="Picture 5" descr="Two wind roses for the local project wind speed and direction observations over 2018. The wind rose on the left presents the data for 9am, which shows that the prevailing wind direction was from the north-west. The wind rose on the right presents the data for 3pm, which shows that the prevailing wind direction was from the south-we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wo wind roses for the local project wind speed and direction observations over 2018. The wind rose on the left presents the data for 9am, which shows that the prevailing wind direction was from the north-west. The wind rose on the right presents the data for 3pm, which shows that the prevailing wind direction was from the south-west "/>
                    <pic:cNvPicPr/>
                  </pic:nvPicPr>
                  <pic:blipFill>
                    <a:blip r:embed="rId20"/>
                    <a:stretch>
                      <a:fillRect/>
                    </a:stretch>
                  </pic:blipFill>
                  <pic:spPr>
                    <a:xfrm>
                      <a:off x="0" y="0"/>
                      <a:ext cx="5760085" cy="2933065"/>
                    </a:xfrm>
                    <a:prstGeom prst="rect">
                      <a:avLst/>
                    </a:prstGeom>
                  </pic:spPr>
                </pic:pic>
              </a:graphicData>
            </a:graphic>
          </wp:inline>
        </w:drawing>
      </w:r>
    </w:p>
    <w:p w14:paraId="1DC4ABAD" w14:textId="489A5BA7" w:rsidR="00B241C2" w:rsidRPr="000675E5" w:rsidRDefault="00B241C2" w:rsidP="000675E5">
      <w:pPr>
        <w:pStyle w:val="Caption"/>
      </w:pPr>
      <w:bookmarkStart w:id="78" w:name="_Ref76472322"/>
      <w:bookmarkStart w:id="79" w:name="_Toc84595782"/>
      <w:bookmarkStart w:id="80" w:name="_Toc105144205"/>
      <w:r w:rsidRPr="000675E5">
        <w:t xml:space="preserve">Figure </w:t>
      </w:r>
      <w:fldSimple w:instr=" STYLEREF 1 \s ">
        <w:r w:rsidR="009056B9">
          <w:rPr>
            <w:noProof/>
          </w:rPr>
          <w:t>20</w:t>
        </w:r>
      </w:fldSimple>
      <w:r w:rsidRPr="000675E5">
        <w:t>.</w:t>
      </w:r>
      <w:fldSimple w:instr=" SEQ Figure \* ARABIC \s 1 ">
        <w:r w:rsidR="009056B9">
          <w:rPr>
            <w:noProof/>
          </w:rPr>
          <w:t>4</w:t>
        </w:r>
      </w:fldSimple>
      <w:bookmarkEnd w:id="78"/>
      <w:r w:rsidRPr="000675E5">
        <w:tab/>
        <w:t>Wind rose at 9</w:t>
      </w:r>
      <w:r w:rsidR="000675E5">
        <w:t> </w:t>
      </w:r>
      <w:r w:rsidRPr="000675E5">
        <w:t>am (left) and 3</w:t>
      </w:r>
      <w:r w:rsidR="000675E5">
        <w:t> </w:t>
      </w:r>
      <w:r w:rsidRPr="000675E5">
        <w:t xml:space="preserve">pm (right) showing </w:t>
      </w:r>
      <w:r w:rsidR="00CB55CF" w:rsidRPr="00CB55CF">
        <w:t>frequency of occurrenc</w:t>
      </w:r>
      <w:r w:rsidR="00CB55CF">
        <w:t xml:space="preserve">e of </w:t>
      </w:r>
      <w:r w:rsidRPr="000675E5">
        <w:t>wind speed and direction for the local project observations over 2018</w:t>
      </w:r>
      <w:bookmarkEnd w:id="79"/>
      <w:bookmarkEnd w:id="80"/>
      <w:r w:rsidRPr="000675E5">
        <w:t xml:space="preserve"> </w:t>
      </w:r>
    </w:p>
    <w:p w14:paraId="1CFADD26" w14:textId="77777777" w:rsidR="00B241C2" w:rsidRPr="00B241C2" w:rsidRDefault="00B241C2" w:rsidP="00B241C2">
      <w:pPr>
        <w:pStyle w:val="Heading4"/>
      </w:pPr>
      <w:r w:rsidRPr="00B241C2">
        <w:t>Ambient air quality</w:t>
      </w:r>
    </w:p>
    <w:p w14:paraId="5F02B15A" w14:textId="7C95E19B" w:rsidR="00B241C2" w:rsidRPr="00F34280" w:rsidRDefault="00B241C2" w:rsidP="00B241C2">
      <w:pPr>
        <w:pStyle w:val="BodyText"/>
      </w:pPr>
      <w:r w:rsidRPr="00F34280">
        <w:t xml:space="preserve">There is no air quality monitoring data available in the project investigation area. Of the </w:t>
      </w:r>
      <w:r w:rsidR="00AC6581">
        <w:t xml:space="preserve">EPA Victoria </w:t>
      </w:r>
      <w:r w:rsidRPr="00F34280">
        <w:t>monitoring stations</w:t>
      </w:r>
      <w:r w:rsidR="00AC6581">
        <w:t xml:space="preserve"> across the Port Phillip and Latrobe Valley regions</w:t>
      </w:r>
      <w:r w:rsidR="008E6555">
        <w:t xml:space="preserve"> with continuous data</w:t>
      </w:r>
      <w:r w:rsidRPr="00F34280">
        <w:t xml:space="preserve">, the monitoring station in Alphington (a suburb of Melbourne) was considered most representative of the air environment of the </w:t>
      </w:r>
      <w:r w:rsidR="00AC6581">
        <w:t>p</w:t>
      </w:r>
      <w:r w:rsidRPr="00F34280">
        <w:t>roject site. This is because the Alphington site is located inland from the coast, when compared to the Geelong monitoring site, and is not heavily affected by industry or traffic, as is the case with EPA</w:t>
      </w:r>
      <w:r w:rsidR="008E6555">
        <w:t xml:space="preserve"> Victoria</w:t>
      </w:r>
      <w:r w:rsidRPr="00F34280">
        <w:t xml:space="preserve">’s other monitoring stations. </w:t>
      </w:r>
    </w:p>
    <w:p w14:paraId="055AAC88" w14:textId="77777777" w:rsidR="00B241C2" w:rsidRPr="00F34280" w:rsidRDefault="00B241C2" w:rsidP="00B241C2">
      <w:pPr>
        <w:pStyle w:val="BodyText"/>
      </w:pPr>
      <w:r w:rsidRPr="00F34280">
        <w:t>There are no known activities in the investigation area that would generate respirable crystalline silica dust. As such, it is expected that concentrations of respirable crystalline silica are currently negligible at the quarry site.</w:t>
      </w:r>
    </w:p>
    <w:p w14:paraId="7131D564" w14:textId="70A08A09" w:rsidR="0023075B" w:rsidRDefault="009056B9" w:rsidP="0023075B">
      <w:pPr>
        <w:pStyle w:val="BodyText"/>
      </w:pPr>
      <w:r>
        <w:fldChar w:fldCharType="begin"/>
      </w:r>
      <w:r>
        <w:instrText xml:space="preserve"> REF _Ref105143800 \h </w:instrText>
      </w:r>
      <w:r>
        <w:fldChar w:fldCharType="separate"/>
      </w:r>
      <w:r w:rsidRPr="000675E5">
        <w:t xml:space="preserve">Table </w:t>
      </w:r>
      <w:r>
        <w:rPr>
          <w:noProof/>
        </w:rPr>
        <w:t>20</w:t>
      </w:r>
      <w:r w:rsidRPr="000675E5">
        <w:t>.</w:t>
      </w:r>
      <w:r>
        <w:rPr>
          <w:noProof/>
        </w:rPr>
        <w:t>6</w:t>
      </w:r>
      <w:r>
        <w:fldChar w:fldCharType="end"/>
      </w:r>
      <w:r>
        <w:t xml:space="preserve"> </w:t>
      </w:r>
      <w:r w:rsidR="00B241C2" w:rsidRPr="00F34280">
        <w:t>outlines the background levels for PM</w:t>
      </w:r>
      <w:r w:rsidR="00B241C2" w:rsidRPr="00F34280">
        <w:rPr>
          <w:vertAlign w:val="subscript"/>
        </w:rPr>
        <w:t>10</w:t>
      </w:r>
      <w:r w:rsidR="00B241C2" w:rsidRPr="00F34280">
        <w:t>, PM</w:t>
      </w:r>
      <w:r w:rsidR="00B241C2" w:rsidRPr="00F34280">
        <w:rPr>
          <w:vertAlign w:val="subscript"/>
        </w:rPr>
        <w:t>2.5</w:t>
      </w:r>
      <w:r w:rsidR="00B241C2" w:rsidRPr="00F34280">
        <w:t>, deposited dust and respirable crystalline silica used in the project air quality modelling for the meteorological case study year 2018. To determine these levels, the EPA Victoria Alphington monitoring station 70th percentile data was used to calculate the background 24-hour average PM</w:t>
      </w:r>
      <w:r w:rsidR="00B241C2" w:rsidRPr="00F34280">
        <w:rPr>
          <w:vertAlign w:val="subscript"/>
        </w:rPr>
        <w:t>10</w:t>
      </w:r>
      <w:r w:rsidR="00B241C2" w:rsidRPr="00F34280">
        <w:t xml:space="preserve"> and PM</w:t>
      </w:r>
      <w:r w:rsidR="00B241C2" w:rsidRPr="00F34280">
        <w:rPr>
          <w:vertAlign w:val="subscript"/>
        </w:rPr>
        <w:t>2.5</w:t>
      </w:r>
      <w:r w:rsidR="00B241C2" w:rsidRPr="00F34280">
        <w:t xml:space="preserve"> concentrations, and the 50th percentile data (i.e., medians) was used to estimate annual average background concentrations. The rationale for using these values can be found in Appendix L – </w:t>
      </w:r>
      <w:r w:rsidR="00B241C2" w:rsidRPr="00F34280">
        <w:rPr>
          <w:i/>
        </w:rPr>
        <w:t>Air quality</w:t>
      </w:r>
      <w:r w:rsidR="00B241C2" w:rsidRPr="00F34280">
        <w:t xml:space="preserve">. </w:t>
      </w:r>
      <w:bookmarkStart w:id="81" w:name="_Ref76472680"/>
      <w:bookmarkStart w:id="82" w:name="_Ref86054570"/>
      <w:bookmarkStart w:id="83" w:name="_Toc84595791"/>
    </w:p>
    <w:p w14:paraId="55F3BB52" w14:textId="22120914" w:rsidR="00B241C2" w:rsidRPr="000675E5" w:rsidRDefault="00B241C2" w:rsidP="003154B2">
      <w:pPr>
        <w:pStyle w:val="Caption"/>
      </w:pPr>
      <w:bookmarkStart w:id="84" w:name="_Ref105143800"/>
      <w:bookmarkStart w:id="85" w:name="_Toc105144197"/>
      <w:r w:rsidRPr="000675E5">
        <w:t xml:space="preserve">Table </w:t>
      </w:r>
      <w:fldSimple w:instr=" STYLEREF 1 \s ">
        <w:r w:rsidR="009056B9">
          <w:rPr>
            <w:noProof/>
          </w:rPr>
          <w:t>20</w:t>
        </w:r>
      </w:fldSimple>
      <w:r w:rsidRPr="000675E5">
        <w:t>.</w:t>
      </w:r>
      <w:fldSimple w:instr=" SEQ Table \* ARABIC \s 1 ">
        <w:r w:rsidR="009056B9">
          <w:rPr>
            <w:noProof/>
          </w:rPr>
          <w:t>6</w:t>
        </w:r>
      </w:fldSimple>
      <w:bookmarkEnd w:id="81"/>
      <w:bookmarkEnd w:id="82"/>
      <w:bookmarkEnd w:id="84"/>
      <w:r w:rsidRPr="000675E5">
        <w:tab/>
        <w:t>Background pollutant levels applied for project assessment</w:t>
      </w:r>
      <w:bookmarkEnd w:id="83"/>
      <w:bookmarkEnd w:id="85"/>
    </w:p>
    <w:tbl>
      <w:tblPr>
        <w:tblStyle w:val="Table1"/>
        <w:tblW w:w="5000" w:type="pct"/>
        <w:tblLook w:val="04A0" w:firstRow="1" w:lastRow="0" w:firstColumn="1" w:lastColumn="0" w:noHBand="0" w:noVBand="1"/>
      </w:tblPr>
      <w:tblGrid>
        <w:gridCol w:w="2126"/>
        <w:gridCol w:w="1698"/>
        <w:gridCol w:w="2130"/>
        <w:gridCol w:w="3117"/>
      </w:tblGrid>
      <w:tr w:rsidR="000675E5" w:rsidRPr="00F34280" w14:paraId="1FA693F7" w14:textId="77777777" w:rsidTr="000675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2" w:type="pct"/>
          </w:tcPr>
          <w:p w14:paraId="02660D9D" w14:textId="77777777" w:rsidR="00B241C2" w:rsidRPr="00F34280" w:rsidRDefault="00B241C2" w:rsidP="002C53C9">
            <w:pPr>
              <w:pStyle w:val="TableHeading"/>
            </w:pPr>
            <w:r w:rsidRPr="00F34280">
              <w:t>Parameter</w:t>
            </w:r>
          </w:p>
        </w:tc>
        <w:tc>
          <w:tcPr>
            <w:tcW w:w="936" w:type="pct"/>
          </w:tcPr>
          <w:p w14:paraId="2024FBD5" w14:textId="77777777" w:rsidR="00B241C2" w:rsidRPr="00F34280" w:rsidRDefault="00B241C2" w:rsidP="002C53C9">
            <w:pPr>
              <w:pStyle w:val="TableHeading"/>
              <w:cnfStyle w:val="100000000000" w:firstRow="1" w:lastRow="0" w:firstColumn="0" w:lastColumn="0" w:oddVBand="0" w:evenVBand="0" w:oddHBand="0" w:evenHBand="0" w:firstRowFirstColumn="0" w:firstRowLastColumn="0" w:lastRowFirstColumn="0" w:lastRowLastColumn="0"/>
            </w:pPr>
            <w:r w:rsidRPr="00F34280">
              <w:t>Averaging time</w:t>
            </w:r>
          </w:p>
        </w:tc>
        <w:tc>
          <w:tcPr>
            <w:tcW w:w="1174" w:type="pct"/>
          </w:tcPr>
          <w:p w14:paraId="45DDCBE9" w14:textId="77777777" w:rsidR="00B241C2" w:rsidRPr="00F34280" w:rsidRDefault="00B241C2" w:rsidP="002C53C9">
            <w:pPr>
              <w:pStyle w:val="TableHeading"/>
              <w:cnfStyle w:val="100000000000" w:firstRow="1" w:lastRow="0" w:firstColumn="0" w:lastColumn="0" w:oddVBand="0" w:evenVBand="0" w:oddHBand="0" w:evenHBand="0" w:firstRowFirstColumn="0" w:firstRowLastColumn="0" w:lastRowFirstColumn="0" w:lastRowLastColumn="0"/>
            </w:pPr>
            <w:r w:rsidRPr="00F34280">
              <w:t>Background level</w:t>
            </w:r>
          </w:p>
        </w:tc>
        <w:tc>
          <w:tcPr>
            <w:tcW w:w="1718" w:type="pct"/>
          </w:tcPr>
          <w:p w14:paraId="68E47698" w14:textId="77777777" w:rsidR="00B241C2" w:rsidRPr="00F34280" w:rsidRDefault="00B241C2" w:rsidP="002C53C9">
            <w:pPr>
              <w:pStyle w:val="TableHeading"/>
              <w:cnfStyle w:val="100000000000" w:firstRow="1" w:lastRow="0" w:firstColumn="0" w:lastColumn="0" w:oddVBand="0" w:evenVBand="0" w:oddHBand="0" w:evenHBand="0" w:firstRowFirstColumn="0" w:firstRowLastColumn="0" w:lastRowFirstColumn="0" w:lastRowLastColumn="0"/>
            </w:pPr>
            <w:r w:rsidRPr="00F34280">
              <w:t>Notes</w:t>
            </w:r>
          </w:p>
        </w:tc>
      </w:tr>
      <w:tr w:rsidR="00B241C2" w:rsidRPr="00F34280" w14:paraId="027384CB" w14:textId="77777777" w:rsidTr="000675E5">
        <w:tc>
          <w:tcPr>
            <w:cnfStyle w:val="001000000000" w:firstRow="0" w:lastRow="0" w:firstColumn="1" w:lastColumn="0" w:oddVBand="0" w:evenVBand="0" w:oddHBand="0" w:evenHBand="0" w:firstRowFirstColumn="0" w:firstRowLastColumn="0" w:lastRowFirstColumn="0" w:lastRowLastColumn="0"/>
            <w:tcW w:w="1172" w:type="pct"/>
            <w:vMerge w:val="restart"/>
          </w:tcPr>
          <w:p w14:paraId="5487300A" w14:textId="77777777" w:rsidR="00B241C2" w:rsidRPr="00F34280" w:rsidRDefault="00B241C2" w:rsidP="002C53C9">
            <w:pPr>
              <w:pStyle w:val="TableText"/>
            </w:pPr>
            <w:r w:rsidRPr="00F34280">
              <w:t>PM</w:t>
            </w:r>
            <w:r w:rsidRPr="00F34280">
              <w:rPr>
                <w:vertAlign w:val="subscript"/>
              </w:rPr>
              <w:t>10</w:t>
            </w:r>
          </w:p>
        </w:tc>
        <w:tc>
          <w:tcPr>
            <w:tcW w:w="936" w:type="pct"/>
          </w:tcPr>
          <w:p w14:paraId="614ACA25" w14:textId="77777777" w:rsidR="00B241C2" w:rsidRPr="00F34280" w:rsidRDefault="00B241C2" w:rsidP="002C53C9">
            <w:pPr>
              <w:pStyle w:val="TableText"/>
              <w:cnfStyle w:val="000000000000" w:firstRow="0" w:lastRow="0" w:firstColumn="0" w:lastColumn="0" w:oddVBand="0" w:evenVBand="0" w:oddHBand="0" w:evenHBand="0" w:firstRowFirstColumn="0" w:firstRowLastColumn="0" w:lastRowFirstColumn="0" w:lastRowLastColumn="0"/>
            </w:pPr>
            <w:r w:rsidRPr="00F34280">
              <w:t>24 hours</w:t>
            </w:r>
          </w:p>
        </w:tc>
        <w:tc>
          <w:tcPr>
            <w:tcW w:w="1174" w:type="pct"/>
          </w:tcPr>
          <w:p w14:paraId="0D39D778" w14:textId="77777777" w:rsidR="00B241C2" w:rsidRPr="00F34280" w:rsidRDefault="00B241C2" w:rsidP="002C53C9">
            <w:pPr>
              <w:pStyle w:val="TableText"/>
              <w:cnfStyle w:val="000000000000" w:firstRow="0" w:lastRow="0" w:firstColumn="0" w:lastColumn="0" w:oddVBand="0" w:evenVBand="0" w:oddHBand="0" w:evenHBand="0" w:firstRowFirstColumn="0" w:firstRowLastColumn="0" w:lastRowFirstColumn="0" w:lastRowLastColumn="0"/>
            </w:pPr>
            <w:r w:rsidRPr="00F34280">
              <w:t>19.7 µg/m</w:t>
            </w:r>
            <w:r w:rsidRPr="00F34280">
              <w:rPr>
                <w:vertAlign w:val="superscript"/>
              </w:rPr>
              <w:t>3</w:t>
            </w:r>
          </w:p>
        </w:tc>
        <w:tc>
          <w:tcPr>
            <w:tcW w:w="1718" w:type="pct"/>
          </w:tcPr>
          <w:p w14:paraId="7F0BCAE4" w14:textId="77777777" w:rsidR="00B241C2" w:rsidRPr="00F34280" w:rsidRDefault="00B241C2" w:rsidP="002C53C9">
            <w:pPr>
              <w:pStyle w:val="TableText"/>
              <w:cnfStyle w:val="000000000000" w:firstRow="0" w:lastRow="0" w:firstColumn="0" w:lastColumn="0" w:oddVBand="0" w:evenVBand="0" w:oddHBand="0" w:evenHBand="0" w:firstRowFirstColumn="0" w:firstRowLastColumn="0" w:lastRowFirstColumn="0" w:lastRowLastColumn="0"/>
            </w:pPr>
            <w:r w:rsidRPr="00F34280">
              <w:t>70th percentile from Alphington</w:t>
            </w:r>
          </w:p>
        </w:tc>
      </w:tr>
      <w:tr w:rsidR="00B241C2" w:rsidRPr="00F34280" w14:paraId="0A787982" w14:textId="77777777" w:rsidTr="000675E5">
        <w:tc>
          <w:tcPr>
            <w:cnfStyle w:val="001000000000" w:firstRow="0" w:lastRow="0" w:firstColumn="1" w:lastColumn="0" w:oddVBand="0" w:evenVBand="0" w:oddHBand="0" w:evenHBand="0" w:firstRowFirstColumn="0" w:firstRowLastColumn="0" w:lastRowFirstColumn="0" w:lastRowLastColumn="0"/>
            <w:tcW w:w="1172" w:type="pct"/>
            <w:vMerge/>
          </w:tcPr>
          <w:p w14:paraId="24BA0BE1" w14:textId="77777777" w:rsidR="00B241C2" w:rsidRPr="00F34280" w:rsidRDefault="00B241C2" w:rsidP="002C53C9"/>
        </w:tc>
        <w:tc>
          <w:tcPr>
            <w:tcW w:w="936" w:type="pct"/>
          </w:tcPr>
          <w:p w14:paraId="1066900F" w14:textId="77777777" w:rsidR="00B241C2" w:rsidRPr="00F34280" w:rsidRDefault="00B241C2" w:rsidP="002C53C9">
            <w:pPr>
              <w:pStyle w:val="TableText"/>
              <w:cnfStyle w:val="000000000000" w:firstRow="0" w:lastRow="0" w:firstColumn="0" w:lastColumn="0" w:oddVBand="0" w:evenVBand="0" w:oddHBand="0" w:evenHBand="0" w:firstRowFirstColumn="0" w:firstRowLastColumn="0" w:lastRowFirstColumn="0" w:lastRowLastColumn="0"/>
            </w:pPr>
            <w:r w:rsidRPr="00F34280">
              <w:t>Annual</w:t>
            </w:r>
          </w:p>
        </w:tc>
        <w:tc>
          <w:tcPr>
            <w:tcW w:w="1174" w:type="pct"/>
          </w:tcPr>
          <w:p w14:paraId="49B14758" w14:textId="77777777" w:rsidR="00B241C2" w:rsidRPr="00F34280" w:rsidRDefault="00B241C2" w:rsidP="002C53C9">
            <w:pPr>
              <w:pStyle w:val="TableText"/>
              <w:cnfStyle w:val="000000000000" w:firstRow="0" w:lastRow="0" w:firstColumn="0" w:lastColumn="0" w:oddVBand="0" w:evenVBand="0" w:oddHBand="0" w:evenHBand="0" w:firstRowFirstColumn="0" w:firstRowLastColumn="0" w:lastRowFirstColumn="0" w:lastRowLastColumn="0"/>
            </w:pPr>
            <w:r w:rsidRPr="00F34280">
              <w:t>14.8 µg/m</w:t>
            </w:r>
            <w:r w:rsidRPr="00F34280">
              <w:rPr>
                <w:vertAlign w:val="superscript"/>
              </w:rPr>
              <w:t>3</w:t>
            </w:r>
          </w:p>
        </w:tc>
        <w:tc>
          <w:tcPr>
            <w:tcW w:w="1718" w:type="pct"/>
          </w:tcPr>
          <w:p w14:paraId="310AE824" w14:textId="77777777" w:rsidR="00B241C2" w:rsidRPr="00F34280" w:rsidRDefault="00B241C2" w:rsidP="002C53C9">
            <w:pPr>
              <w:pStyle w:val="TableText"/>
              <w:cnfStyle w:val="000000000000" w:firstRow="0" w:lastRow="0" w:firstColumn="0" w:lastColumn="0" w:oddVBand="0" w:evenVBand="0" w:oddHBand="0" w:evenHBand="0" w:firstRowFirstColumn="0" w:firstRowLastColumn="0" w:lastRowFirstColumn="0" w:lastRowLastColumn="0"/>
            </w:pPr>
            <w:r w:rsidRPr="00F34280">
              <w:t>50th percentile from Alphington</w:t>
            </w:r>
          </w:p>
        </w:tc>
      </w:tr>
      <w:tr w:rsidR="00B241C2" w:rsidRPr="00F34280" w14:paraId="513EA84F" w14:textId="77777777" w:rsidTr="000675E5">
        <w:tc>
          <w:tcPr>
            <w:cnfStyle w:val="001000000000" w:firstRow="0" w:lastRow="0" w:firstColumn="1" w:lastColumn="0" w:oddVBand="0" w:evenVBand="0" w:oddHBand="0" w:evenHBand="0" w:firstRowFirstColumn="0" w:firstRowLastColumn="0" w:lastRowFirstColumn="0" w:lastRowLastColumn="0"/>
            <w:tcW w:w="1172" w:type="pct"/>
            <w:vMerge w:val="restart"/>
          </w:tcPr>
          <w:p w14:paraId="4ADA2E31" w14:textId="77777777" w:rsidR="00B241C2" w:rsidRPr="00F34280" w:rsidRDefault="00B241C2" w:rsidP="002C53C9">
            <w:pPr>
              <w:pStyle w:val="TableText"/>
            </w:pPr>
            <w:r w:rsidRPr="00F34280">
              <w:t>PM</w:t>
            </w:r>
            <w:r w:rsidRPr="00F34280">
              <w:rPr>
                <w:vertAlign w:val="subscript"/>
              </w:rPr>
              <w:t>2.5</w:t>
            </w:r>
          </w:p>
        </w:tc>
        <w:tc>
          <w:tcPr>
            <w:tcW w:w="936" w:type="pct"/>
          </w:tcPr>
          <w:p w14:paraId="2F2AEFF5" w14:textId="77777777" w:rsidR="00B241C2" w:rsidRPr="00F34280" w:rsidRDefault="00B241C2" w:rsidP="002C53C9">
            <w:pPr>
              <w:pStyle w:val="TableText"/>
              <w:cnfStyle w:val="000000000000" w:firstRow="0" w:lastRow="0" w:firstColumn="0" w:lastColumn="0" w:oddVBand="0" w:evenVBand="0" w:oddHBand="0" w:evenHBand="0" w:firstRowFirstColumn="0" w:firstRowLastColumn="0" w:lastRowFirstColumn="0" w:lastRowLastColumn="0"/>
            </w:pPr>
            <w:r w:rsidRPr="00F34280">
              <w:t>24 hours</w:t>
            </w:r>
          </w:p>
        </w:tc>
        <w:tc>
          <w:tcPr>
            <w:tcW w:w="1174" w:type="pct"/>
          </w:tcPr>
          <w:p w14:paraId="1D4461E6" w14:textId="77777777" w:rsidR="00B241C2" w:rsidRPr="00F34280" w:rsidRDefault="00B241C2" w:rsidP="002C53C9">
            <w:pPr>
              <w:pStyle w:val="TableText"/>
              <w:cnfStyle w:val="000000000000" w:firstRow="0" w:lastRow="0" w:firstColumn="0" w:lastColumn="0" w:oddVBand="0" w:evenVBand="0" w:oddHBand="0" w:evenHBand="0" w:firstRowFirstColumn="0" w:firstRowLastColumn="0" w:lastRowFirstColumn="0" w:lastRowLastColumn="0"/>
            </w:pPr>
            <w:r w:rsidRPr="00F34280">
              <w:t>8.0 µg/m</w:t>
            </w:r>
            <w:r w:rsidRPr="00F34280">
              <w:rPr>
                <w:vertAlign w:val="superscript"/>
              </w:rPr>
              <w:t>3</w:t>
            </w:r>
          </w:p>
        </w:tc>
        <w:tc>
          <w:tcPr>
            <w:tcW w:w="1718" w:type="pct"/>
          </w:tcPr>
          <w:p w14:paraId="636C6A80" w14:textId="77777777" w:rsidR="00B241C2" w:rsidRPr="00F34280" w:rsidRDefault="00B241C2" w:rsidP="002C53C9">
            <w:pPr>
              <w:pStyle w:val="TableText"/>
              <w:cnfStyle w:val="000000000000" w:firstRow="0" w:lastRow="0" w:firstColumn="0" w:lastColumn="0" w:oddVBand="0" w:evenVBand="0" w:oddHBand="0" w:evenHBand="0" w:firstRowFirstColumn="0" w:firstRowLastColumn="0" w:lastRowFirstColumn="0" w:lastRowLastColumn="0"/>
            </w:pPr>
            <w:r w:rsidRPr="00F34280">
              <w:t>70th percentile from Alphington</w:t>
            </w:r>
          </w:p>
        </w:tc>
      </w:tr>
      <w:tr w:rsidR="00B241C2" w:rsidRPr="00F34280" w14:paraId="2E0AE004" w14:textId="77777777" w:rsidTr="000675E5">
        <w:tc>
          <w:tcPr>
            <w:cnfStyle w:val="001000000000" w:firstRow="0" w:lastRow="0" w:firstColumn="1" w:lastColumn="0" w:oddVBand="0" w:evenVBand="0" w:oddHBand="0" w:evenHBand="0" w:firstRowFirstColumn="0" w:firstRowLastColumn="0" w:lastRowFirstColumn="0" w:lastRowLastColumn="0"/>
            <w:tcW w:w="1172" w:type="pct"/>
            <w:vMerge/>
          </w:tcPr>
          <w:p w14:paraId="6BCBC98B" w14:textId="77777777" w:rsidR="00B241C2" w:rsidRPr="00F34280" w:rsidRDefault="00B241C2" w:rsidP="002C53C9"/>
        </w:tc>
        <w:tc>
          <w:tcPr>
            <w:tcW w:w="936" w:type="pct"/>
          </w:tcPr>
          <w:p w14:paraId="03FFDA74" w14:textId="77777777" w:rsidR="00B241C2" w:rsidRPr="00F34280" w:rsidRDefault="00B241C2" w:rsidP="002C53C9">
            <w:pPr>
              <w:pStyle w:val="TableText"/>
              <w:cnfStyle w:val="000000000000" w:firstRow="0" w:lastRow="0" w:firstColumn="0" w:lastColumn="0" w:oddVBand="0" w:evenVBand="0" w:oddHBand="0" w:evenHBand="0" w:firstRowFirstColumn="0" w:firstRowLastColumn="0" w:lastRowFirstColumn="0" w:lastRowLastColumn="0"/>
            </w:pPr>
            <w:r w:rsidRPr="00F34280">
              <w:t>Annual</w:t>
            </w:r>
          </w:p>
        </w:tc>
        <w:tc>
          <w:tcPr>
            <w:tcW w:w="1174" w:type="pct"/>
          </w:tcPr>
          <w:p w14:paraId="096C387C" w14:textId="77777777" w:rsidR="00B241C2" w:rsidRPr="00F34280" w:rsidRDefault="00B241C2" w:rsidP="002C53C9">
            <w:pPr>
              <w:pStyle w:val="TableText"/>
              <w:cnfStyle w:val="000000000000" w:firstRow="0" w:lastRow="0" w:firstColumn="0" w:lastColumn="0" w:oddVBand="0" w:evenVBand="0" w:oddHBand="0" w:evenHBand="0" w:firstRowFirstColumn="0" w:firstRowLastColumn="0" w:lastRowFirstColumn="0" w:lastRowLastColumn="0"/>
            </w:pPr>
            <w:r w:rsidRPr="00F34280">
              <w:t>6.4 µg/m</w:t>
            </w:r>
            <w:r w:rsidRPr="00F34280">
              <w:rPr>
                <w:vertAlign w:val="superscript"/>
              </w:rPr>
              <w:t>3</w:t>
            </w:r>
          </w:p>
        </w:tc>
        <w:tc>
          <w:tcPr>
            <w:tcW w:w="1718" w:type="pct"/>
          </w:tcPr>
          <w:p w14:paraId="17BFA432" w14:textId="77777777" w:rsidR="00B241C2" w:rsidRPr="00F34280" w:rsidRDefault="00B241C2" w:rsidP="002C53C9">
            <w:pPr>
              <w:pStyle w:val="TableText"/>
              <w:cnfStyle w:val="000000000000" w:firstRow="0" w:lastRow="0" w:firstColumn="0" w:lastColumn="0" w:oddVBand="0" w:evenVBand="0" w:oddHBand="0" w:evenHBand="0" w:firstRowFirstColumn="0" w:firstRowLastColumn="0" w:lastRowFirstColumn="0" w:lastRowLastColumn="0"/>
            </w:pPr>
            <w:r w:rsidRPr="00F34280">
              <w:t>50th percentile from Alphington</w:t>
            </w:r>
          </w:p>
        </w:tc>
      </w:tr>
      <w:tr w:rsidR="00B241C2" w:rsidRPr="00F34280" w14:paraId="5AD3C6CA" w14:textId="77777777" w:rsidTr="000675E5">
        <w:tc>
          <w:tcPr>
            <w:cnfStyle w:val="001000000000" w:firstRow="0" w:lastRow="0" w:firstColumn="1" w:lastColumn="0" w:oddVBand="0" w:evenVBand="0" w:oddHBand="0" w:evenHBand="0" w:firstRowFirstColumn="0" w:firstRowLastColumn="0" w:lastRowFirstColumn="0" w:lastRowLastColumn="0"/>
            <w:tcW w:w="1172" w:type="pct"/>
          </w:tcPr>
          <w:p w14:paraId="7240C8B9" w14:textId="77777777" w:rsidR="00B241C2" w:rsidRPr="00F34280" w:rsidRDefault="00B241C2" w:rsidP="002C53C9">
            <w:pPr>
              <w:pStyle w:val="TableText"/>
            </w:pPr>
            <w:r w:rsidRPr="00F34280">
              <w:t>Respirable crystalline silica</w:t>
            </w:r>
          </w:p>
        </w:tc>
        <w:tc>
          <w:tcPr>
            <w:tcW w:w="936" w:type="pct"/>
          </w:tcPr>
          <w:p w14:paraId="3A616827" w14:textId="77777777" w:rsidR="00B241C2" w:rsidRPr="00F34280" w:rsidRDefault="00B241C2" w:rsidP="002C53C9">
            <w:pPr>
              <w:pStyle w:val="TableText"/>
              <w:cnfStyle w:val="000000000000" w:firstRow="0" w:lastRow="0" w:firstColumn="0" w:lastColumn="0" w:oddVBand="0" w:evenVBand="0" w:oddHBand="0" w:evenHBand="0" w:firstRowFirstColumn="0" w:firstRowLastColumn="0" w:lastRowFirstColumn="0" w:lastRowLastColumn="0"/>
            </w:pPr>
            <w:r w:rsidRPr="00F34280">
              <w:t>Annual</w:t>
            </w:r>
          </w:p>
        </w:tc>
        <w:tc>
          <w:tcPr>
            <w:tcW w:w="1174" w:type="pct"/>
          </w:tcPr>
          <w:p w14:paraId="45E57F40" w14:textId="77777777" w:rsidR="00B241C2" w:rsidRPr="00F34280" w:rsidRDefault="00B241C2" w:rsidP="002C53C9">
            <w:pPr>
              <w:pStyle w:val="TableText"/>
              <w:cnfStyle w:val="000000000000" w:firstRow="0" w:lastRow="0" w:firstColumn="0" w:lastColumn="0" w:oddVBand="0" w:evenVBand="0" w:oddHBand="0" w:evenHBand="0" w:firstRowFirstColumn="0" w:firstRowLastColumn="0" w:lastRowFirstColumn="0" w:lastRowLastColumn="0"/>
            </w:pPr>
            <w:r w:rsidRPr="00F34280">
              <w:t>0 µg/m</w:t>
            </w:r>
            <w:r w:rsidRPr="00F34280">
              <w:rPr>
                <w:vertAlign w:val="superscript"/>
              </w:rPr>
              <w:t>3</w:t>
            </w:r>
          </w:p>
        </w:tc>
        <w:tc>
          <w:tcPr>
            <w:tcW w:w="1718" w:type="pct"/>
          </w:tcPr>
          <w:p w14:paraId="104FA759" w14:textId="77777777" w:rsidR="00B241C2" w:rsidRPr="00F34280" w:rsidRDefault="00B241C2" w:rsidP="002C53C9">
            <w:pPr>
              <w:pStyle w:val="TableText"/>
              <w:cnfStyle w:val="000000000000" w:firstRow="0" w:lastRow="0" w:firstColumn="0" w:lastColumn="0" w:oddVBand="0" w:evenVBand="0" w:oddHBand="0" w:evenHBand="0" w:firstRowFirstColumn="0" w:firstRowLastColumn="0" w:lastRowFirstColumn="0" w:lastRowLastColumn="0"/>
            </w:pPr>
            <w:r w:rsidRPr="00F34280">
              <w:t>No known sources of respirable crystalline silica in model region</w:t>
            </w:r>
          </w:p>
        </w:tc>
      </w:tr>
      <w:tr w:rsidR="000675E5" w:rsidRPr="00F34280" w14:paraId="3FB31630" w14:textId="77777777" w:rsidTr="000675E5">
        <w:tc>
          <w:tcPr>
            <w:cnfStyle w:val="001000000000" w:firstRow="0" w:lastRow="0" w:firstColumn="1" w:lastColumn="0" w:oddVBand="0" w:evenVBand="0" w:oddHBand="0" w:evenHBand="0" w:firstRowFirstColumn="0" w:firstRowLastColumn="0" w:lastRowFirstColumn="0" w:lastRowLastColumn="0"/>
            <w:tcW w:w="1172" w:type="pct"/>
          </w:tcPr>
          <w:p w14:paraId="097E1BD6" w14:textId="77777777" w:rsidR="00B241C2" w:rsidRPr="00F34280" w:rsidRDefault="00B241C2" w:rsidP="002C53C9">
            <w:pPr>
              <w:pStyle w:val="TableText"/>
            </w:pPr>
            <w:r w:rsidRPr="00F34280">
              <w:t>Deposited dust</w:t>
            </w:r>
          </w:p>
        </w:tc>
        <w:tc>
          <w:tcPr>
            <w:tcW w:w="936" w:type="pct"/>
          </w:tcPr>
          <w:p w14:paraId="45FE9C29" w14:textId="77777777" w:rsidR="00B241C2" w:rsidRPr="00F34280" w:rsidRDefault="00B241C2" w:rsidP="002C53C9">
            <w:pPr>
              <w:pStyle w:val="TableText"/>
              <w:cnfStyle w:val="000000000000" w:firstRow="0" w:lastRow="0" w:firstColumn="0" w:lastColumn="0" w:oddVBand="0" w:evenVBand="0" w:oddHBand="0" w:evenHBand="0" w:firstRowFirstColumn="0" w:firstRowLastColumn="0" w:lastRowFirstColumn="0" w:lastRowLastColumn="0"/>
            </w:pPr>
            <w:r w:rsidRPr="00F34280">
              <w:t>Monthly</w:t>
            </w:r>
          </w:p>
        </w:tc>
        <w:tc>
          <w:tcPr>
            <w:tcW w:w="1174" w:type="pct"/>
          </w:tcPr>
          <w:p w14:paraId="53B9AC4E" w14:textId="77777777" w:rsidR="00B241C2" w:rsidRPr="00F34280" w:rsidRDefault="00B241C2" w:rsidP="002C53C9">
            <w:pPr>
              <w:pStyle w:val="TableText"/>
              <w:cnfStyle w:val="000000000000" w:firstRow="0" w:lastRow="0" w:firstColumn="0" w:lastColumn="0" w:oddVBand="0" w:evenVBand="0" w:oddHBand="0" w:evenHBand="0" w:firstRowFirstColumn="0" w:firstRowLastColumn="0" w:lastRowFirstColumn="0" w:lastRowLastColumn="0"/>
            </w:pPr>
            <w:r w:rsidRPr="00F34280">
              <w:t>2.0 g/m</w:t>
            </w:r>
            <w:r w:rsidRPr="00F34280">
              <w:rPr>
                <w:vertAlign w:val="superscript"/>
              </w:rPr>
              <w:t>2</w:t>
            </w:r>
            <w:r w:rsidRPr="00F34280">
              <w:t>/month</w:t>
            </w:r>
          </w:p>
        </w:tc>
        <w:tc>
          <w:tcPr>
            <w:tcW w:w="1718" w:type="pct"/>
          </w:tcPr>
          <w:p w14:paraId="15141D41" w14:textId="24F9F24F" w:rsidR="00B241C2" w:rsidRPr="00F34280" w:rsidRDefault="00B241C2" w:rsidP="002C53C9">
            <w:pPr>
              <w:pStyle w:val="TableText"/>
              <w:cnfStyle w:val="000000000000" w:firstRow="0" w:lastRow="0" w:firstColumn="0" w:lastColumn="0" w:oddVBand="0" w:evenVBand="0" w:oddHBand="0" w:evenHBand="0" w:firstRowFirstColumn="0" w:firstRowLastColumn="0" w:lastRowFirstColumn="0" w:lastRowLastColumn="0"/>
            </w:pPr>
            <w:r w:rsidRPr="00F34280">
              <w:t>Worst case estimate based on EPA</w:t>
            </w:r>
            <w:r w:rsidR="009056B9">
              <w:t> </w:t>
            </w:r>
            <w:r w:rsidRPr="00F34280">
              <w:t>Victoria Publication 1191</w:t>
            </w:r>
          </w:p>
        </w:tc>
      </w:tr>
    </w:tbl>
    <w:p w14:paraId="54670587" w14:textId="77777777" w:rsidR="00B241C2" w:rsidRPr="00B241C2" w:rsidRDefault="00B241C2" w:rsidP="00B241C2">
      <w:pPr>
        <w:pStyle w:val="Heading2"/>
      </w:pPr>
      <w:bookmarkStart w:id="86" w:name="_Toc74316365"/>
      <w:bookmarkStart w:id="87" w:name="_Toc74321551"/>
      <w:bookmarkStart w:id="88" w:name="_Toc74646738"/>
      <w:bookmarkStart w:id="89" w:name="_Toc74652540"/>
      <w:bookmarkStart w:id="90" w:name="_Toc84595771"/>
      <w:bookmarkStart w:id="91" w:name="_Toc105144185"/>
      <w:bookmarkEnd w:id="86"/>
      <w:bookmarkEnd w:id="87"/>
      <w:bookmarkEnd w:id="88"/>
      <w:bookmarkEnd w:id="89"/>
      <w:r w:rsidRPr="00B241C2">
        <w:lastRenderedPageBreak/>
        <w:t>Impact assessment</w:t>
      </w:r>
      <w:bookmarkEnd w:id="90"/>
      <w:bookmarkEnd w:id="91"/>
    </w:p>
    <w:p w14:paraId="0F4C00EF" w14:textId="77777777" w:rsidR="00B241C2" w:rsidRPr="00B241C2" w:rsidRDefault="00B241C2" w:rsidP="00B241C2">
      <w:pPr>
        <w:pStyle w:val="Heading3"/>
      </w:pPr>
      <w:bookmarkStart w:id="92" w:name="_Toc84595772"/>
      <w:bookmarkStart w:id="93" w:name="_Toc105144186"/>
      <w:r w:rsidRPr="00B241C2">
        <w:t>Impact pathways</w:t>
      </w:r>
      <w:bookmarkEnd w:id="92"/>
      <w:bookmarkEnd w:id="93"/>
    </w:p>
    <w:p w14:paraId="71CC9216" w14:textId="77777777" w:rsidR="00B241C2" w:rsidRPr="00F34280" w:rsidRDefault="00B241C2" w:rsidP="00B241C2">
      <w:pPr>
        <w:pStyle w:val="BodyText"/>
      </w:pPr>
      <w:r w:rsidRPr="00F34280">
        <w:t>Air quality impacts can occur when air pollutant emissions from an industry or activity cause a deterioration in ambient (i.e., outdoor) air quality.</w:t>
      </w:r>
    </w:p>
    <w:p w14:paraId="500D37D9" w14:textId="050F802E" w:rsidR="00B241C2" w:rsidRPr="00F34280" w:rsidRDefault="00B241C2" w:rsidP="00B241C2">
      <w:pPr>
        <w:pStyle w:val="BodyText"/>
      </w:pPr>
      <w:r w:rsidRPr="00F34280">
        <w:t xml:space="preserve">For the project quarry, air emissions during construction and operation would result from activities such as material handling, transport and processing, crushing and screening, drilling and blasting, and wind erosion of stockpiles and exposed areas. These activities would cause emissions of very small (inhalable) dust particles, known as airborne particulate matter. In addition to emissions of particulate matter there </w:t>
      </w:r>
      <w:r w:rsidR="00F912F2">
        <w:t>would</w:t>
      </w:r>
      <w:r w:rsidRPr="00F34280">
        <w:t xml:space="preserve"> also be gas emissions at the quarry site, primarily from the combustion of diesel and the blasting of explosives. These gases would include nitrogen oxides, carbon monoxide, volatile organic compounds and sulphur dioxide. Air emissions from the quarry site, which would be in use for at least 12 months and possibly up to 24 months, are expected to represent the most significant source of air quality impact for the project.</w:t>
      </w:r>
    </w:p>
    <w:p w14:paraId="2624625D" w14:textId="77777777" w:rsidR="00B241C2" w:rsidRPr="00F34280" w:rsidRDefault="00B241C2" w:rsidP="00B241C2">
      <w:pPr>
        <w:pStyle w:val="BodyText"/>
      </w:pPr>
      <w:r w:rsidRPr="00F34280">
        <w:t>Key activities expected to affect air quality from the construction, operation and decommissioning of other (non-quarry related) project activities include:</w:t>
      </w:r>
    </w:p>
    <w:p w14:paraId="5CDE5E27" w14:textId="77777777" w:rsidR="00B241C2" w:rsidRPr="00F34280" w:rsidRDefault="00B241C2" w:rsidP="000675E5">
      <w:pPr>
        <w:pStyle w:val="ListBullet"/>
        <w:spacing w:before="0" w:after="0"/>
      </w:pPr>
      <w:r w:rsidRPr="00F34280">
        <w:t>dust generated by:</w:t>
      </w:r>
    </w:p>
    <w:p w14:paraId="59CEEC3D" w14:textId="77777777" w:rsidR="00B241C2" w:rsidRPr="00F34280" w:rsidRDefault="00B241C2" w:rsidP="000675E5">
      <w:pPr>
        <w:pStyle w:val="ListBullet2"/>
        <w:spacing w:before="0" w:after="0"/>
      </w:pPr>
      <w:r w:rsidRPr="00F34280">
        <w:t>civil works (including excavation works and material movement)</w:t>
      </w:r>
    </w:p>
    <w:p w14:paraId="7249B37A" w14:textId="77777777" w:rsidR="00B241C2" w:rsidRPr="00F34280" w:rsidRDefault="00B241C2" w:rsidP="000675E5">
      <w:pPr>
        <w:pStyle w:val="ListBullet2"/>
        <w:spacing w:before="0" w:after="0"/>
      </w:pPr>
      <w:r w:rsidRPr="00F34280">
        <w:t>vehicles driving on unsealed roads</w:t>
      </w:r>
    </w:p>
    <w:p w14:paraId="10774EED" w14:textId="77777777" w:rsidR="00B241C2" w:rsidRPr="00F34280" w:rsidRDefault="00B241C2" w:rsidP="000675E5">
      <w:pPr>
        <w:pStyle w:val="ListBullet2"/>
        <w:spacing w:before="0" w:after="0"/>
      </w:pPr>
      <w:r w:rsidRPr="00F34280">
        <w:t>wind erosion of exposed areas and material stockpiles</w:t>
      </w:r>
    </w:p>
    <w:p w14:paraId="4C1B9A76" w14:textId="77777777" w:rsidR="00B241C2" w:rsidRPr="00F34280" w:rsidRDefault="00B241C2" w:rsidP="000675E5">
      <w:pPr>
        <w:pStyle w:val="ListBullet2"/>
        <w:spacing w:before="0" w:after="0"/>
      </w:pPr>
      <w:r w:rsidRPr="00F34280">
        <w:t>operation of the concrete batching plants</w:t>
      </w:r>
    </w:p>
    <w:p w14:paraId="5A017BD4" w14:textId="77777777" w:rsidR="00B241C2" w:rsidRPr="00F34280" w:rsidRDefault="00B241C2" w:rsidP="000675E5">
      <w:pPr>
        <w:pStyle w:val="ListBullet"/>
        <w:spacing w:before="0" w:after="0"/>
      </w:pPr>
      <w:r w:rsidRPr="00F34280">
        <w:t>combustion engine emissions (nitrogen oxides, volatile organic compounds, fine particulates).</w:t>
      </w:r>
    </w:p>
    <w:p w14:paraId="05F8617D" w14:textId="6832CC22" w:rsidR="00B241C2" w:rsidRDefault="00B241C2" w:rsidP="00B241C2">
      <w:pPr>
        <w:pStyle w:val="Heading3"/>
      </w:pPr>
      <w:bookmarkStart w:id="94" w:name="_Ref77509656"/>
      <w:bookmarkStart w:id="95" w:name="_Toc84595773"/>
      <w:bookmarkStart w:id="96" w:name="_Toc105144187"/>
      <w:bookmarkStart w:id="97" w:name="_Hlk71193971"/>
      <w:r w:rsidRPr="00B241C2">
        <w:t>Design mitigation</w:t>
      </w:r>
      <w:bookmarkEnd w:id="94"/>
      <w:bookmarkEnd w:id="95"/>
      <w:bookmarkEnd w:id="96"/>
      <w:r w:rsidRPr="00B241C2">
        <w:t xml:space="preserve"> </w:t>
      </w:r>
    </w:p>
    <w:p w14:paraId="71B67CF3" w14:textId="4468EE11" w:rsidR="006D6A87" w:rsidRDefault="00AD5E35" w:rsidP="00FE6524">
      <w:pPr>
        <w:pStyle w:val="Heading4"/>
      </w:pPr>
      <w:r>
        <w:t>Sensitive areas</w:t>
      </w:r>
    </w:p>
    <w:p w14:paraId="7FCE22CB" w14:textId="0F6068B3" w:rsidR="006C72CB" w:rsidRPr="0072402B" w:rsidRDefault="006C72CB" w:rsidP="00FE6524">
      <w:pPr>
        <w:pStyle w:val="BodyText"/>
      </w:pPr>
      <w:r>
        <w:rPr>
          <w:lang w:eastAsia="fr-CA"/>
        </w:rPr>
        <w:t xml:space="preserve">During the development of the project, </w:t>
      </w:r>
      <w:r w:rsidR="006D6A87">
        <w:rPr>
          <w:lang w:eastAsia="fr-CA"/>
        </w:rPr>
        <w:t xml:space="preserve">a range of </w:t>
      </w:r>
      <w:r w:rsidR="0019027D">
        <w:t xml:space="preserve">environmental, social and infrastructure constraints were </w:t>
      </w:r>
      <w:r w:rsidR="006D6A87">
        <w:t xml:space="preserve">considered </w:t>
      </w:r>
      <w:r w:rsidR="0019027D">
        <w:t>as part of the</w:t>
      </w:r>
      <w:r w:rsidR="006D6A87">
        <w:t xml:space="preserve"> </w:t>
      </w:r>
      <w:r w:rsidR="0019027D">
        <w:t>planning and design process</w:t>
      </w:r>
      <w:r w:rsidR="006D6A87">
        <w:t xml:space="preserve"> and i</w:t>
      </w:r>
      <w:r w:rsidR="006D6A87" w:rsidRPr="006D6A87">
        <w:t>n many cases</w:t>
      </w:r>
      <w:r w:rsidR="006D6A87">
        <w:t xml:space="preserve">, </w:t>
      </w:r>
      <w:r w:rsidR="006D6A87" w:rsidRPr="00D40B46">
        <w:t xml:space="preserve">buffers </w:t>
      </w:r>
      <w:r w:rsidR="006D6A87">
        <w:t>were</w:t>
      </w:r>
      <w:r w:rsidR="006D6A87" w:rsidRPr="00D40B46">
        <w:t xml:space="preserve"> applied to known or modelled sensitive areas</w:t>
      </w:r>
      <w:r w:rsidR="006D6A87">
        <w:t xml:space="preserve"> (including townships and dwellings)</w:t>
      </w:r>
      <w:r w:rsidR="00AD5E35">
        <w:t xml:space="preserve"> (refer to Chapter 4</w:t>
      </w:r>
      <w:r w:rsidR="003154B2">
        <w:t xml:space="preserve"> – </w:t>
      </w:r>
      <w:r w:rsidR="00AD5E35">
        <w:rPr>
          <w:i/>
          <w:iCs/>
        </w:rPr>
        <w:t>Project alternatives and design development</w:t>
      </w:r>
      <w:r w:rsidR="00AD5E35">
        <w:t>)</w:t>
      </w:r>
      <w:r w:rsidR="006D6A87">
        <w:t xml:space="preserve">. </w:t>
      </w:r>
      <w:r w:rsidR="0019027D">
        <w:rPr>
          <w:lang w:eastAsia="fr-CA"/>
        </w:rPr>
        <w:t>The p</w:t>
      </w:r>
      <w:r>
        <w:rPr>
          <w:lang w:eastAsia="fr-CA"/>
        </w:rPr>
        <w:t xml:space="preserve">urpose of incorporating these constraints and buffers into the planning process was to ensure that potential impacts could either be avoided or minimised. This approach aligns with the </w:t>
      </w:r>
      <w:r w:rsidR="0019027D">
        <w:rPr>
          <w:lang w:eastAsia="fr-CA"/>
        </w:rPr>
        <w:t>general environmental duty</w:t>
      </w:r>
      <w:r>
        <w:rPr>
          <w:lang w:eastAsia="fr-CA"/>
        </w:rPr>
        <w:t xml:space="preserve"> requirements</w:t>
      </w:r>
      <w:r w:rsidR="0019027D">
        <w:rPr>
          <w:lang w:eastAsia="fr-CA"/>
        </w:rPr>
        <w:t>,</w:t>
      </w:r>
      <w:r>
        <w:rPr>
          <w:lang w:eastAsia="fr-CA"/>
        </w:rPr>
        <w:t xml:space="preserve"> where the primary focus is to eliminate or avoid the risk where practicable.</w:t>
      </w:r>
    </w:p>
    <w:bookmarkEnd w:id="97"/>
    <w:p w14:paraId="24C0BA59" w14:textId="77777777" w:rsidR="00B241C2" w:rsidRPr="00B241C2" w:rsidRDefault="00B241C2" w:rsidP="00B241C2">
      <w:pPr>
        <w:pStyle w:val="Heading4"/>
      </w:pPr>
      <w:r w:rsidRPr="00B241C2">
        <w:t>Quarry</w:t>
      </w:r>
    </w:p>
    <w:p w14:paraId="10B9BC2E" w14:textId="77777777" w:rsidR="00B241C2" w:rsidRPr="00F34280" w:rsidRDefault="00B241C2" w:rsidP="00B241C2">
      <w:pPr>
        <w:pStyle w:val="BodyText"/>
      </w:pPr>
      <w:r w:rsidRPr="00F34280">
        <w:t xml:space="preserve">The quarry has been proposed in a part of the project site away from occupied dwellings. The closest occupied dwelling is 1.4 kilometres from the quarry boundary. This distance is greater than the minimum separation distance of 500 metres for quarries specified in EPA Victoria Publication 1518: </w:t>
      </w:r>
      <w:r w:rsidRPr="00F34280">
        <w:rPr>
          <w:i/>
        </w:rPr>
        <w:t>Recommended separation distances for industrial residual air emissions</w:t>
      </w:r>
      <w:r w:rsidRPr="00F34280">
        <w:t>.</w:t>
      </w:r>
    </w:p>
    <w:p w14:paraId="4FDAF961" w14:textId="702A44A4" w:rsidR="00A967F5" w:rsidRPr="00A967F5" w:rsidRDefault="00B241C2" w:rsidP="00A967F5">
      <w:pPr>
        <w:pStyle w:val="BodyText"/>
      </w:pPr>
      <w:r w:rsidRPr="00F34280">
        <w:t xml:space="preserve">Alternative locations were also considered but found to be less suitable for reasons unrelated to their proximity to dwellings, including their less suitable geology and proximity to environmental values. Owing to the low density of dwellings within and surrounding the project site, siting the quarry at a reasonable distance from occupied dwellings was not difficult. </w:t>
      </w:r>
    </w:p>
    <w:p w14:paraId="60DB662A" w14:textId="77777777" w:rsidR="00B241C2" w:rsidRPr="00B241C2" w:rsidRDefault="00B241C2" w:rsidP="000675E5">
      <w:pPr>
        <w:pStyle w:val="Heading4"/>
      </w:pPr>
      <w:r w:rsidRPr="00B241C2">
        <w:t>Other project activities</w:t>
      </w:r>
    </w:p>
    <w:p w14:paraId="5BEB563D" w14:textId="0AC7E876" w:rsidR="00B241C2" w:rsidRPr="00F34280" w:rsidRDefault="00B241C2" w:rsidP="009056B9">
      <w:pPr>
        <w:pStyle w:val="BodyText"/>
      </w:pPr>
      <w:r w:rsidRPr="00F34280">
        <w:t xml:space="preserve">The </w:t>
      </w:r>
      <w:r w:rsidR="00ED14DF">
        <w:t>three</w:t>
      </w:r>
      <w:r w:rsidR="00ED14DF" w:rsidRPr="00F34280">
        <w:t xml:space="preserve"> </w:t>
      </w:r>
      <w:r w:rsidRPr="00F34280">
        <w:t xml:space="preserve">temporary concrete batch plants have been located to provide convenient access to all wind turbines. The distance between concrete batch plants and sensitive receptors was an important consideration to minimise off-site impacts resulting from unintended, project-generated dust emissions. The closest sensitive receptor to any of the concrete batch plants is approximately </w:t>
      </w:r>
      <w:r w:rsidR="00ED14DF">
        <w:t>1</w:t>
      </w:r>
      <w:r w:rsidR="00A967F5">
        <w:t>.2</w:t>
      </w:r>
      <w:r w:rsidR="00ED14DF" w:rsidRPr="00F34280">
        <w:t xml:space="preserve"> </w:t>
      </w:r>
      <w:r w:rsidRPr="00F34280">
        <w:t>kilometre</w:t>
      </w:r>
      <w:r w:rsidR="00A967F5">
        <w:t>s</w:t>
      </w:r>
      <w:r w:rsidRPr="00F34280">
        <w:t xml:space="preserve">. This distance is </w:t>
      </w:r>
      <w:r w:rsidR="003154B2">
        <w:t xml:space="preserve">significantly </w:t>
      </w:r>
      <w:r w:rsidRPr="00F34280">
        <w:t xml:space="preserve">greater than the minimum separation distance of 100 metres for concrete plants specified in EPA Victoria Publication 1518: </w:t>
      </w:r>
      <w:r w:rsidRPr="00F34280">
        <w:rPr>
          <w:i/>
        </w:rPr>
        <w:t>Recommended separation distances for industrial residual air emissions</w:t>
      </w:r>
      <w:r w:rsidRPr="00F34280">
        <w:t xml:space="preserve">. </w:t>
      </w:r>
    </w:p>
    <w:p w14:paraId="6E583B19" w14:textId="77777777" w:rsidR="00B241C2" w:rsidRPr="00B241C2" w:rsidRDefault="00B241C2" w:rsidP="00B241C2">
      <w:pPr>
        <w:pStyle w:val="Heading3"/>
      </w:pPr>
      <w:bookmarkStart w:id="98" w:name="_Ref84499809"/>
      <w:bookmarkStart w:id="99" w:name="_Toc84595774"/>
      <w:bookmarkStart w:id="100" w:name="_Toc105144188"/>
      <w:r w:rsidRPr="00B241C2">
        <w:lastRenderedPageBreak/>
        <w:t>Management controls</w:t>
      </w:r>
      <w:bookmarkEnd w:id="98"/>
      <w:bookmarkEnd w:id="99"/>
      <w:bookmarkEnd w:id="100"/>
    </w:p>
    <w:p w14:paraId="0E9ECE7D" w14:textId="0EEDB833" w:rsidR="0075067F" w:rsidRDefault="0075067F" w:rsidP="00B241C2">
      <w:pPr>
        <w:pStyle w:val="BodyText"/>
      </w:pPr>
      <w:r w:rsidRPr="0075067F">
        <w:t xml:space="preserve">Under the </w:t>
      </w:r>
      <w:r>
        <w:t>general environmental duty</w:t>
      </w:r>
      <w:r w:rsidRPr="0075067F">
        <w:t>, persons engag</w:t>
      </w:r>
      <w:r>
        <w:t>ing</w:t>
      </w:r>
      <w:r w:rsidRPr="0075067F">
        <w:t xml:space="preserve"> in activities that involve air emissions are required to eliminate risks of harm to human health and the environment from those emissions</w:t>
      </w:r>
      <w:r>
        <w:t>,</w:t>
      </w:r>
      <w:r w:rsidRPr="0075067F">
        <w:t xml:space="preserve"> so far as reasonably practicable. Where </w:t>
      </w:r>
      <w:r>
        <w:t>this cannot be achieved</w:t>
      </w:r>
      <w:r w:rsidRPr="0075067F">
        <w:t xml:space="preserve">, </w:t>
      </w:r>
      <w:r>
        <w:t xml:space="preserve">risks must be </w:t>
      </w:r>
      <w:r w:rsidRPr="0075067F">
        <w:t>reduce</w:t>
      </w:r>
      <w:r>
        <w:t>d (</w:t>
      </w:r>
      <w:r w:rsidRPr="0075067F">
        <w:t>so far as reasonably practicable</w:t>
      </w:r>
      <w:r>
        <w:t>) and existing or proposed controls documented as to how they meet</w:t>
      </w:r>
      <w:r w:rsidRPr="0075067F">
        <w:t xml:space="preserve"> the requirement to minimise risks</w:t>
      </w:r>
      <w:r>
        <w:t>.</w:t>
      </w:r>
    </w:p>
    <w:p w14:paraId="49E01F39" w14:textId="195BAABD" w:rsidR="00B241C2" w:rsidRPr="00F34280" w:rsidRDefault="0075067F" w:rsidP="00B241C2">
      <w:pPr>
        <w:pStyle w:val="BodyText"/>
      </w:pPr>
      <w:r>
        <w:t>To address its general environmental duty relating to air quality, the project has included design measures (w</w:t>
      </w:r>
      <w:r w:rsidR="00B241C2" w:rsidRPr="00F34280">
        <w:t>here feasible</w:t>
      </w:r>
      <w:r>
        <w:t>)</w:t>
      </w:r>
      <w:r w:rsidR="00B241C2" w:rsidRPr="00F34280">
        <w:t xml:space="preserve"> to avoid potential air impacts for nearby sensitive receptors (see Section </w:t>
      </w:r>
      <w:r w:rsidR="00B241C2" w:rsidRPr="00F34280">
        <w:fldChar w:fldCharType="begin"/>
      </w:r>
      <w:r w:rsidR="00B241C2" w:rsidRPr="00F34280">
        <w:instrText xml:space="preserve"> REF _Ref77509656 \r \h </w:instrText>
      </w:r>
      <w:r w:rsidR="00B241C2" w:rsidRPr="00F34280">
        <w:fldChar w:fldCharType="separate"/>
      </w:r>
      <w:r w:rsidR="009056B9">
        <w:t>20.7.2</w:t>
      </w:r>
      <w:r w:rsidR="00B241C2" w:rsidRPr="00F34280">
        <w:fldChar w:fldCharType="end"/>
      </w:r>
      <w:r w:rsidR="00B241C2" w:rsidRPr="00F34280">
        <w:t>). To further minimise potential impacts to air quality</w:t>
      </w:r>
      <w:r w:rsidR="001A6ED9">
        <w:t>,</w:t>
      </w:r>
      <w:r w:rsidR="00B241C2" w:rsidRPr="00F34280">
        <w:t xml:space="preserve"> management controls </w:t>
      </w:r>
      <w:r w:rsidR="00F912F2">
        <w:t>would</w:t>
      </w:r>
      <w:r w:rsidR="00B241C2" w:rsidRPr="00F34280">
        <w:t xml:space="preserve"> be implemented during the</w:t>
      </w:r>
      <w:r w:rsidR="001A6ED9">
        <w:t xml:space="preserve"> </w:t>
      </w:r>
      <w:r w:rsidR="00B241C2" w:rsidRPr="00F34280">
        <w:t xml:space="preserve">construction, operation and decommissioning of the project. Committed management measures are outlined in </w:t>
      </w:r>
      <w:r w:rsidR="00B241C2" w:rsidRPr="00F34280">
        <w:fldChar w:fldCharType="begin"/>
      </w:r>
      <w:r w:rsidR="00B241C2" w:rsidRPr="00F34280">
        <w:instrText xml:space="preserve"> REF _Ref74318646 \h  \* MERGEFORMAT </w:instrText>
      </w:r>
      <w:r w:rsidR="00B241C2" w:rsidRPr="00F34280">
        <w:fldChar w:fldCharType="separate"/>
      </w:r>
      <w:r w:rsidR="009056B9" w:rsidRPr="00757853">
        <w:t xml:space="preserve">Table </w:t>
      </w:r>
      <w:r w:rsidR="009056B9">
        <w:t>20</w:t>
      </w:r>
      <w:r w:rsidR="009056B9" w:rsidRPr="00757853">
        <w:t>.</w:t>
      </w:r>
      <w:r w:rsidR="009056B9">
        <w:t>7</w:t>
      </w:r>
      <w:r w:rsidR="00B241C2" w:rsidRPr="00F34280">
        <w:fldChar w:fldCharType="end"/>
      </w:r>
      <w:r w:rsidR="00B241C2" w:rsidRPr="00F34280">
        <w:t>.</w:t>
      </w:r>
    </w:p>
    <w:p w14:paraId="361AB256" w14:textId="225F0FFB" w:rsidR="00B241C2" w:rsidRPr="00757853" w:rsidRDefault="00B241C2" w:rsidP="00757853">
      <w:pPr>
        <w:pStyle w:val="Caption"/>
      </w:pPr>
      <w:bookmarkStart w:id="101" w:name="_Ref74318646"/>
      <w:bookmarkStart w:id="102" w:name="_Toc71029350"/>
      <w:bookmarkStart w:id="103" w:name="_Toc71195295"/>
      <w:bookmarkStart w:id="104" w:name="_Toc71195320"/>
      <w:bookmarkStart w:id="105" w:name="_Toc74652577"/>
      <w:bookmarkStart w:id="106" w:name="_Toc84595792"/>
      <w:bookmarkStart w:id="107" w:name="_Toc105144198"/>
      <w:r w:rsidRPr="00757853">
        <w:t xml:space="preserve">Table </w:t>
      </w:r>
      <w:fldSimple w:instr=" STYLEREF 1 \s ">
        <w:r w:rsidR="009056B9">
          <w:rPr>
            <w:noProof/>
          </w:rPr>
          <w:t>20</w:t>
        </w:r>
      </w:fldSimple>
      <w:r w:rsidRPr="00757853">
        <w:t>.</w:t>
      </w:r>
      <w:fldSimple w:instr=" SEQ Table \* ARABIC \s 1 ">
        <w:r w:rsidR="009056B9">
          <w:rPr>
            <w:noProof/>
          </w:rPr>
          <w:t>7</w:t>
        </w:r>
      </w:fldSimple>
      <w:bookmarkEnd w:id="101"/>
      <w:r w:rsidRPr="00757853">
        <w:tab/>
        <w:t>Air quality management measures</w:t>
      </w:r>
      <w:bookmarkEnd w:id="102"/>
      <w:bookmarkEnd w:id="103"/>
      <w:bookmarkEnd w:id="104"/>
      <w:bookmarkEnd w:id="105"/>
      <w:bookmarkEnd w:id="106"/>
      <w:bookmarkEnd w:id="107"/>
    </w:p>
    <w:tbl>
      <w:tblPr>
        <w:tblStyle w:val="Table1"/>
        <w:tblW w:w="5000" w:type="pct"/>
        <w:tblLook w:val="04A0" w:firstRow="1" w:lastRow="0" w:firstColumn="1" w:lastColumn="0" w:noHBand="0" w:noVBand="1"/>
      </w:tblPr>
      <w:tblGrid>
        <w:gridCol w:w="1537"/>
        <w:gridCol w:w="1284"/>
        <w:gridCol w:w="5321"/>
        <w:gridCol w:w="929"/>
      </w:tblGrid>
      <w:tr w:rsidR="00B241C2" w:rsidRPr="00F34280" w14:paraId="2DC18425" w14:textId="77777777" w:rsidTr="002C53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47" w:type="pct"/>
          </w:tcPr>
          <w:p w14:paraId="393864E9" w14:textId="77777777" w:rsidR="00B241C2" w:rsidRPr="00F34280" w:rsidRDefault="00B241C2" w:rsidP="002C53C9">
            <w:pPr>
              <w:pStyle w:val="TableHeading"/>
            </w:pPr>
            <w:r w:rsidRPr="00F34280">
              <w:t>Air quality impact</w:t>
            </w:r>
          </w:p>
        </w:tc>
        <w:tc>
          <w:tcPr>
            <w:tcW w:w="708" w:type="pct"/>
          </w:tcPr>
          <w:p w14:paraId="4384060D" w14:textId="77777777" w:rsidR="00B241C2" w:rsidRPr="00F34280" w:rsidRDefault="00B241C2" w:rsidP="002C53C9">
            <w:pPr>
              <w:pStyle w:val="TableHeading"/>
              <w:cnfStyle w:val="100000000000" w:firstRow="1" w:lastRow="0" w:firstColumn="0" w:lastColumn="0" w:oddVBand="0" w:evenVBand="0" w:oddHBand="0" w:evenHBand="0" w:firstRowFirstColumn="0" w:firstRowLastColumn="0" w:lastRowFirstColumn="0" w:lastRowLastColumn="0"/>
            </w:pPr>
            <w:r w:rsidRPr="00F34280">
              <w:t>Project phase</w:t>
            </w:r>
          </w:p>
        </w:tc>
        <w:tc>
          <w:tcPr>
            <w:tcW w:w="2933" w:type="pct"/>
          </w:tcPr>
          <w:p w14:paraId="3AE8FE89" w14:textId="77777777" w:rsidR="00B241C2" w:rsidRPr="00F34280" w:rsidRDefault="00B241C2" w:rsidP="002C53C9">
            <w:pPr>
              <w:pStyle w:val="TableHeading"/>
              <w:cnfStyle w:val="100000000000" w:firstRow="1" w:lastRow="0" w:firstColumn="0" w:lastColumn="0" w:oddVBand="0" w:evenVBand="0" w:oddHBand="0" w:evenHBand="0" w:firstRowFirstColumn="0" w:firstRowLastColumn="0" w:lastRowFirstColumn="0" w:lastRowLastColumn="0"/>
            </w:pPr>
            <w:r w:rsidRPr="00F34280">
              <w:t>Management measures</w:t>
            </w:r>
          </w:p>
        </w:tc>
        <w:tc>
          <w:tcPr>
            <w:tcW w:w="513" w:type="pct"/>
          </w:tcPr>
          <w:p w14:paraId="17799122" w14:textId="77777777" w:rsidR="00B241C2" w:rsidRPr="00F34280" w:rsidRDefault="00B241C2" w:rsidP="009056B9">
            <w:pPr>
              <w:pStyle w:val="TableHeading"/>
              <w:jc w:val="center"/>
              <w:cnfStyle w:val="100000000000" w:firstRow="1" w:lastRow="0" w:firstColumn="0" w:lastColumn="0" w:oddVBand="0" w:evenVBand="0" w:oddHBand="0" w:evenHBand="0" w:firstRowFirstColumn="0" w:firstRowLastColumn="0" w:lastRowFirstColumn="0" w:lastRowLastColumn="0"/>
            </w:pPr>
            <w:r w:rsidRPr="00F34280">
              <w:t>Number</w:t>
            </w:r>
          </w:p>
        </w:tc>
      </w:tr>
      <w:tr w:rsidR="00B241C2" w:rsidRPr="00F34280" w14:paraId="5B6806F2" w14:textId="77777777" w:rsidTr="002C53C9">
        <w:tc>
          <w:tcPr>
            <w:cnfStyle w:val="001000000000" w:firstRow="0" w:lastRow="0" w:firstColumn="1" w:lastColumn="0" w:oddVBand="0" w:evenVBand="0" w:oddHBand="0" w:evenHBand="0" w:firstRowFirstColumn="0" w:firstRowLastColumn="0" w:lastRowFirstColumn="0" w:lastRowLastColumn="0"/>
            <w:tcW w:w="847" w:type="pct"/>
          </w:tcPr>
          <w:p w14:paraId="73F73B28" w14:textId="77777777" w:rsidR="00B241C2" w:rsidRPr="00F34280" w:rsidRDefault="00B241C2" w:rsidP="002C53C9">
            <w:pPr>
              <w:pStyle w:val="TableText"/>
            </w:pPr>
            <w:r w:rsidRPr="00F34280">
              <w:t>Dust from quarry site and other project activities impacts air quality</w:t>
            </w:r>
          </w:p>
        </w:tc>
        <w:tc>
          <w:tcPr>
            <w:tcW w:w="708" w:type="pct"/>
          </w:tcPr>
          <w:p w14:paraId="6EA564D1" w14:textId="77777777" w:rsidR="00B241C2" w:rsidRPr="00F34280" w:rsidRDefault="00B241C2" w:rsidP="002C53C9">
            <w:pPr>
              <w:pStyle w:val="TableText"/>
              <w:cnfStyle w:val="000000000000" w:firstRow="0" w:lastRow="0" w:firstColumn="0" w:lastColumn="0" w:oddVBand="0" w:evenVBand="0" w:oddHBand="0" w:evenHBand="0" w:firstRowFirstColumn="0" w:firstRowLastColumn="0" w:lastRowFirstColumn="0" w:lastRowLastColumn="0"/>
            </w:pPr>
            <w:r w:rsidRPr="00F34280">
              <w:t>Construction, Operation</w:t>
            </w:r>
          </w:p>
        </w:tc>
        <w:tc>
          <w:tcPr>
            <w:tcW w:w="2933" w:type="pct"/>
          </w:tcPr>
          <w:p w14:paraId="5A19865B" w14:textId="29C49467" w:rsidR="00B241C2" w:rsidRPr="00F34280" w:rsidRDefault="00B241C2" w:rsidP="002C53C9">
            <w:pPr>
              <w:pStyle w:val="TableText"/>
              <w:cnfStyle w:val="000000000000" w:firstRow="0" w:lastRow="0" w:firstColumn="0" w:lastColumn="0" w:oddVBand="0" w:evenVBand="0" w:oddHBand="0" w:evenHBand="0" w:firstRowFirstColumn="0" w:firstRowLastColumn="0" w:lastRowFirstColumn="0" w:lastRowLastColumn="0"/>
            </w:pPr>
            <w:r w:rsidRPr="00F34280">
              <w:t xml:space="preserve">A Construction Environmental Management Plan will be developed and implemented, which </w:t>
            </w:r>
            <w:r w:rsidR="00F912F2">
              <w:t>would</w:t>
            </w:r>
            <w:r w:rsidRPr="00F34280">
              <w:t xml:space="preserve"> specifically address air emissions and mitigations. This document would be in accordance with the requirements of the new </w:t>
            </w:r>
            <w:r w:rsidRPr="00F34280">
              <w:rPr>
                <w:i/>
              </w:rPr>
              <w:t>Environment Protection Act 2017</w:t>
            </w:r>
            <w:r w:rsidRPr="00F34280">
              <w:t xml:space="preserve"> and best practice guidance documents including, but not limited to:</w:t>
            </w:r>
          </w:p>
          <w:p w14:paraId="20444892" w14:textId="77777777" w:rsidR="00B241C2" w:rsidRPr="001A6ED9" w:rsidRDefault="00B241C2" w:rsidP="000675E5">
            <w:pPr>
              <w:pStyle w:val="TableBullet1"/>
              <w:cnfStyle w:val="000000000000" w:firstRow="0" w:lastRow="0" w:firstColumn="0" w:lastColumn="0" w:oddVBand="0" w:evenVBand="0" w:oddHBand="0" w:evenHBand="0" w:firstRowFirstColumn="0" w:firstRowLastColumn="0" w:lastRowFirstColumn="0" w:lastRowLastColumn="0"/>
              <w:rPr>
                <w:i/>
                <w:iCs/>
              </w:rPr>
            </w:pPr>
            <w:r w:rsidRPr="00F34280">
              <w:t xml:space="preserve">EPA Victoria Publication 1823: </w:t>
            </w:r>
            <w:r w:rsidRPr="001A6ED9">
              <w:rPr>
                <w:i/>
                <w:iCs/>
              </w:rPr>
              <w:t>Mining and quarrying – Guide to preventing harm to people and the environment</w:t>
            </w:r>
          </w:p>
          <w:p w14:paraId="76A0D803" w14:textId="77777777" w:rsidR="00B241C2" w:rsidRPr="001A6ED9" w:rsidRDefault="00B241C2" w:rsidP="000675E5">
            <w:pPr>
              <w:pStyle w:val="TableBullet1"/>
              <w:cnfStyle w:val="000000000000" w:firstRow="0" w:lastRow="0" w:firstColumn="0" w:lastColumn="0" w:oddVBand="0" w:evenVBand="0" w:oddHBand="0" w:evenHBand="0" w:firstRowFirstColumn="0" w:firstRowLastColumn="0" w:lastRowFirstColumn="0" w:lastRowLastColumn="0"/>
              <w:rPr>
                <w:i/>
                <w:iCs/>
              </w:rPr>
            </w:pPr>
            <w:r w:rsidRPr="00F34280">
              <w:t xml:space="preserve">EPA Victoria Publication 1834: </w:t>
            </w:r>
            <w:r w:rsidRPr="001A6ED9">
              <w:rPr>
                <w:i/>
                <w:iCs/>
              </w:rPr>
              <w:t>Civil construction, building and demolition guide.</w:t>
            </w:r>
          </w:p>
          <w:p w14:paraId="138BD62A" w14:textId="74D1BD61" w:rsidR="00B241C2" w:rsidRPr="00F34280" w:rsidRDefault="00B241C2" w:rsidP="002C53C9">
            <w:pPr>
              <w:pStyle w:val="TableText"/>
              <w:cnfStyle w:val="000000000000" w:firstRow="0" w:lastRow="0" w:firstColumn="0" w:lastColumn="0" w:oddVBand="0" w:evenVBand="0" w:oddHBand="0" w:evenHBand="0" w:firstRowFirstColumn="0" w:firstRowLastColumn="0" w:lastRowFirstColumn="0" w:lastRowLastColumn="0"/>
            </w:pPr>
            <w:r w:rsidRPr="00F34280">
              <w:t>A site-specific dust management plan (sub-plan of the Construction Environmental Management Plan) will identify potential and existing dust sources and outline best practice design controls and management practices to minimise dust. These measures would include, but not be limited to:</w:t>
            </w:r>
          </w:p>
          <w:p w14:paraId="76A3D276" w14:textId="77777777" w:rsidR="00B241C2" w:rsidRPr="00F34280" w:rsidRDefault="00B241C2" w:rsidP="000675E5">
            <w:pPr>
              <w:pStyle w:val="TableBullet1"/>
              <w:cnfStyle w:val="000000000000" w:firstRow="0" w:lastRow="0" w:firstColumn="0" w:lastColumn="0" w:oddVBand="0" w:evenVBand="0" w:oddHBand="0" w:evenHBand="0" w:firstRowFirstColumn="0" w:firstRowLastColumn="0" w:lastRowFirstColumn="0" w:lastRowLastColumn="0"/>
            </w:pPr>
            <w:r w:rsidRPr="00F34280">
              <w:t xml:space="preserve">watering of unsealed roads to reduce wheel generated dust </w:t>
            </w:r>
          </w:p>
          <w:p w14:paraId="05CDE478" w14:textId="77777777" w:rsidR="00B241C2" w:rsidRPr="00F34280" w:rsidRDefault="00B241C2" w:rsidP="000675E5">
            <w:pPr>
              <w:pStyle w:val="TableBullet1"/>
              <w:cnfStyle w:val="000000000000" w:firstRow="0" w:lastRow="0" w:firstColumn="0" w:lastColumn="0" w:oddVBand="0" w:evenVBand="0" w:oddHBand="0" w:evenHBand="0" w:firstRowFirstColumn="0" w:firstRowLastColumn="0" w:lastRowFirstColumn="0" w:lastRowLastColumn="0"/>
            </w:pPr>
            <w:r w:rsidRPr="00F34280">
              <w:t xml:space="preserve">use of water sprays to reduce wind erosion from material stockpiles and exposed areas </w:t>
            </w:r>
          </w:p>
          <w:p w14:paraId="46C27CC7" w14:textId="77777777" w:rsidR="00B241C2" w:rsidRPr="00F34280" w:rsidRDefault="00B241C2" w:rsidP="000675E5">
            <w:pPr>
              <w:pStyle w:val="TableBullet1"/>
              <w:cnfStyle w:val="000000000000" w:firstRow="0" w:lastRow="0" w:firstColumn="0" w:lastColumn="0" w:oddVBand="0" w:evenVBand="0" w:oddHBand="0" w:evenHBand="0" w:firstRowFirstColumn="0" w:firstRowLastColumn="0" w:lastRowFirstColumn="0" w:lastRowLastColumn="0"/>
            </w:pPr>
            <w:r w:rsidRPr="00F34280">
              <w:t>use of water sprays as required for material transfer operations and quarry activities (e.g., drilling rock, crushing and screening)</w:t>
            </w:r>
          </w:p>
          <w:p w14:paraId="0909934F" w14:textId="62EF0CC6" w:rsidR="001E08A9" w:rsidRDefault="001E08A9" w:rsidP="000675E5">
            <w:pPr>
              <w:pStyle w:val="TableBullet1"/>
              <w:cnfStyle w:val="000000000000" w:firstRow="0" w:lastRow="0" w:firstColumn="0" w:lastColumn="0" w:oddVBand="0" w:evenVBand="0" w:oddHBand="0" w:evenHBand="0" w:firstRowFirstColumn="0" w:firstRowLastColumn="0" w:lastRowFirstColumn="0" w:lastRowLastColumn="0"/>
            </w:pPr>
            <w:r>
              <w:t>restricting vehicle speeds to 20 kilometres per hours near sensitive areas such as dwellings</w:t>
            </w:r>
          </w:p>
          <w:p w14:paraId="2E39A613" w14:textId="37C91C88" w:rsidR="00B241C2" w:rsidRPr="00F34280" w:rsidRDefault="00B241C2" w:rsidP="000675E5">
            <w:pPr>
              <w:pStyle w:val="TableBullet1"/>
              <w:cnfStyle w:val="000000000000" w:firstRow="0" w:lastRow="0" w:firstColumn="0" w:lastColumn="0" w:oddVBand="0" w:evenVBand="0" w:oddHBand="0" w:evenHBand="0" w:firstRowFirstColumn="0" w:firstRowLastColumn="0" w:lastRowFirstColumn="0" w:lastRowLastColumn="0"/>
            </w:pPr>
            <w:r w:rsidRPr="00F34280">
              <w:t>site</w:t>
            </w:r>
            <w:r w:rsidR="00C73B1F">
              <w:t>-</w:t>
            </w:r>
            <w:r w:rsidRPr="00F34280">
              <w:t>specific dust control measures for dust producing activities</w:t>
            </w:r>
          </w:p>
          <w:p w14:paraId="74A50130" w14:textId="77777777" w:rsidR="00B241C2" w:rsidRPr="00F34280" w:rsidRDefault="00B241C2" w:rsidP="000675E5">
            <w:pPr>
              <w:pStyle w:val="TableBullet1"/>
              <w:cnfStyle w:val="000000000000" w:firstRow="0" w:lastRow="0" w:firstColumn="0" w:lastColumn="0" w:oddVBand="0" w:evenVBand="0" w:oddHBand="0" w:evenHBand="0" w:firstRowFirstColumn="0" w:firstRowLastColumn="0" w:lastRowFirstColumn="0" w:lastRowLastColumn="0"/>
            </w:pPr>
            <w:r w:rsidRPr="00F34280">
              <w:t xml:space="preserve">monitoring of forecast and real time local wind parameters (e.g., wind speed, wind direction) and adjustment of dust generating activities, as required, to reduce impact to sensitive receptors </w:t>
            </w:r>
          </w:p>
          <w:p w14:paraId="792B89EB" w14:textId="77777777" w:rsidR="00B241C2" w:rsidRPr="00F34280" w:rsidRDefault="00B241C2" w:rsidP="000675E5">
            <w:pPr>
              <w:pStyle w:val="TableBullet1"/>
              <w:cnfStyle w:val="000000000000" w:firstRow="0" w:lastRow="0" w:firstColumn="0" w:lastColumn="0" w:oddVBand="0" w:evenVBand="0" w:oddHBand="0" w:evenHBand="0" w:firstRowFirstColumn="0" w:firstRowLastColumn="0" w:lastRowFirstColumn="0" w:lastRowLastColumn="0"/>
            </w:pPr>
            <w:r w:rsidRPr="00F34280">
              <w:t>sequencing of vegetation removal within the quarry work authority area where feasible to minimise the amount of disturbed land exposed to wind erosion</w:t>
            </w:r>
          </w:p>
          <w:p w14:paraId="1656E366" w14:textId="77777777" w:rsidR="00B241C2" w:rsidRPr="00F34280" w:rsidRDefault="00B241C2" w:rsidP="000675E5">
            <w:pPr>
              <w:pStyle w:val="TableBullet1"/>
              <w:cnfStyle w:val="000000000000" w:firstRow="0" w:lastRow="0" w:firstColumn="0" w:lastColumn="0" w:oddVBand="0" w:evenVBand="0" w:oddHBand="0" w:evenHBand="0" w:firstRowFirstColumn="0" w:firstRowLastColumn="0" w:lastRowFirstColumn="0" w:lastRowLastColumn="0"/>
            </w:pPr>
            <w:r w:rsidRPr="00F34280">
              <w:t xml:space="preserve">rehabilitation and revegetation of inactive stockpiles and disturbed areas to reduce wind erosion </w:t>
            </w:r>
          </w:p>
          <w:p w14:paraId="1E5E909B" w14:textId="50074D6D" w:rsidR="00B241C2" w:rsidRPr="00F34280" w:rsidRDefault="00B241C2" w:rsidP="000675E5">
            <w:pPr>
              <w:pStyle w:val="TableBullet1"/>
              <w:cnfStyle w:val="000000000000" w:firstRow="0" w:lastRow="0" w:firstColumn="0" w:lastColumn="0" w:oddVBand="0" w:evenVBand="0" w:oddHBand="0" w:evenHBand="0" w:firstRowFirstColumn="0" w:firstRowLastColumn="0" w:lastRowFirstColumn="0" w:lastRowLastColumn="0"/>
            </w:pPr>
            <w:r w:rsidRPr="00F34280">
              <w:t>selection of equipment, e.g., concrete batching plants, which have integrated best practice dust control features</w:t>
            </w:r>
          </w:p>
          <w:p w14:paraId="2CDE47E7" w14:textId="77777777" w:rsidR="00B241C2" w:rsidRPr="00F34280" w:rsidRDefault="00B241C2" w:rsidP="000675E5">
            <w:pPr>
              <w:pStyle w:val="TableBullet1"/>
              <w:cnfStyle w:val="000000000000" w:firstRow="0" w:lastRow="0" w:firstColumn="0" w:lastColumn="0" w:oddVBand="0" w:evenVBand="0" w:oddHBand="0" w:evenHBand="0" w:firstRowFirstColumn="0" w:firstRowLastColumn="0" w:lastRowFirstColumn="0" w:lastRowLastColumn="0"/>
            </w:pPr>
            <w:r w:rsidRPr="00F34280">
              <w:t xml:space="preserve">regular visual monitoring of dust, with results recorded in a dust management database </w:t>
            </w:r>
          </w:p>
          <w:p w14:paraId="6679283B" w14:textId="2BBA4C50" w:rsidR="00B241C2" w:rsidRPr="00F34280" w:rsidRDefault="00B241C2" w:rsidP="000675E5">
            <w:pPr>
              <w:pStyle w:val="TableBullet1"/>
              <w:cnfStyle w:val="000000000000" w:firstRow="0" w:lastRow="0" w:firstColumn="0" w:lastColumn="0" w:oddVBand="0" w:evenVBand="0" w:oddHBand="0" w:evenHBand="0" w:firstRowFirstColumn="0" w:firstRowLastColumn="0" w:lastRowFirstColumn="0" w:lastRowLastColumn="0"/>
            </w:pPr>
            <w:r w:rsidRPr="00F34280">
              <w:t>regular monitoring of the effectiveness of dust control measures. If dust controls are found to be ineffective, these would be reviewed (internally and/or by an external dust specialist, if required) and amended as necessary</w:t>
            </w:r>
          </w:p>
          <w:p w14:paraId="51094BEE" w14:textId="77777777" w:rsidR="00B241C2" w:rsidRPr="00F34280" w:rsidRDefault="00B241C2" w:rsidP="000675E5">
            <w:pPr>
              <w:pStyle w:val="TableBullet1"/>
              <w:cnfStyle w:val="000000000000" w:firstRow="0" w:lastRow="0" w:firstColumn="0" w:lastColumn="0" w:oddVBand="0" w:evenVBand="0" w:oddHBand="0" w:evenHBand="0" w:firstRowFirstColumn="0" w:firstRowLastColumn="0" w:lastRowFirstColumn="0" w:lastRowLastColumn="0"/>
            </w:pPr>
            <w:r w:rsidRPr="00F34280">
              <w:lastRenderedPageBreak/>
              <w:t>contingency measures where dust plumes are identified during visual monitoring and/ or the project receives dust related complaints</w:t>
            </w:r>
          </w:p>
          <w:p w14:paraId="6CB2C3E6" w14:textId="77777777" w:rsidR="00B241C2" w:rsidRPr="00F34280" w:rsidRDefault="00B241C2" w:rsidP="000675E5">
            <w:pPr>
              <w:pStyle w:val="TableBullet1"/>
              <w:cnfStyle w:val="000000000000" w:firstRow="0" w:lastRow="0" w:firstColumn="0" w:lastColumn="0" w:oddVBand="0" w:evenVBand="0" w:oddHBand="0" w:evenHBand="0" w:firstRowFirstColumn="0" w:firstRowLastColumn="0" w:lastRowFirstColumn="0" w:lastRowLastColumn="0"/>
            </w:pPr>
            <w:r w:rsidRPr="00F34280">
              <w:t>dust management training would be undertaken for construction workforce as part of the site-specific induction, outlining controls to be implemented during construction to manage potential air quality impacts</w:t>
            </w:r>
          </w:p>
          <w:p w14:paraId="2112319D" w14:textId="13D8F91C" w:rsidR="00B241C2" w:rsidRPr="00F34280" w:rsidRDefault="00B241C2" w:rsidP="000675E5">
            <w:pPr>
              <w:pStyle w:val="TableBullet1"/>
              <w:cnfStyle w:val="000000000000" w:firstRow="0" w:lastRow="0" w:firstColumn="0" w:lastColumn="0" w:oddVBand="0" w:evenVBand="0" w:oddHBand="0" w:evenHBand="0" w:firstRowFirstColumn="0" w:firstRowLastColumn="0" w:lastRowFirstColumn="0" w:lastRowLastColumn="0"/>
            </w:pPr>
            <w:r w:rsidRPr="00F34280">
              <w:t>procedures for monitoring of weather (e.g., wind speed, wind direction) and triggers to adjust dust generating activities</w:t>
            </w:r>
          </w:p>
          <w:p w14:paraId="52060C9B" w14:textId="77777777" w:rsidR="00B241C2" w:rsidRPr="00F34280" w:rsidRDefault="00B241C2" w:rsidP="000675E5">
            <w:pPr>
              <w:pStyle w:val="TableBullet1"/>
              <w:cnfStyle w:val="000000000000" w:firstRow="0" w:lastRow="0" w:firstColumn="0" w:lastColumn="0" w:oddVBand="0" w:evenVBand="0" w:oddHBand="0" w:evenHBand="0" w:firstRowFirstColumn="0" w:firstRowLastColumn="0" w:lastRowFirstColumn="0" w:lastRowLastColumn="0"/>
            </w:pPr>
            <w:r w:rsidRPr="00F34280">
              <w:t>complaint investigation and response plan</w:t>
            </w:r>
          </w:p>
          <w:p w14:paraId="4D1E7578" w14:textId="77777777" w:rsidR="00B241C2" w:rsidRPr="00F34280" w:rsidRDefault="00B241C2" w:rsidP="000675E5">
            <w:pPr>
              <w:pStyle w:val="TableBullet1"/>
              <w:cnfStyle w:val="000000000000" w:firstRow="0" w:lastRow="0" w:firstColumn="0" w:lastColumn="0" w:oddVBand="0" w:evenVBand="0" w:oddHBand="0" w:evenHBand="0" w:firstRowFirstColumn="0" w:firstRowLastColumn="0" w:lastRowFirstColumn="0" w:lastRowLastColumn="0"/>
            </w:pPr>
            <w:r w:rsidRPr="00F34280">
              <w:t>procedures for reporting the project’s performance against regulatory limits.</w:t>
            </w:r>
          </w:p>
        </w:tc>
        <w:tc>
          <w:tcPr>
            <w:tcW w:w="513" w:type="pct"/>
          </w:tcPr>
          <w:p w14:paraId="248D4A4C" w14:textId="78571D0C" w:rsidR="00B241C2" w:rsidRPr="00F34280" w:rsidRDefault="00B241C2" w:rsidP="009056B9">
            <w:pPr>
              <w:pStyle w:val="TableText"/>
              <w:jc w:val="center"/>
              <w:cnfStyle w:val="000000000000" w:firstRow="0" w:lastRow="0" w:firstColumn="0" w:lastColumn="0" w:oddVBand="0" w:evenVBand="0" w:oddHBand="0" w:evenHBand="0" w:firstRowFirstColumn="0" w:firstRowLastColumn="0" w:lastRowFirstColumn="0" w:lastRowLastColumn="0"/>
            </w:pPr>
            <w:r w:rsidRPr="00F34280">
              <w:lastRenderedPageBreak/>
              <w:t>AQ</w:t>
            </w:r>
            <w:r w:rsidR="00AE0804">
              <w:t>0</w:t>
            </w:r>
            <w:r w:rsidRPr="00F34280">
              <w:t>1</w:t>
            </w:r>
          </w:p>
        </w:tc>
      </w:tr>
      <w:tr w:rsidR="00B241C2" w:rsidRPr="00F34280" w14:paraId="0C641011" w14:textId="77777777" w:rsidTr="002C53C9">
        <w:tc>
          <w:tcPr>
            <w:cnfStyle w:val="001000000000" w:firstRow="0" w:lastRow="0" w:firstColumn="1" w:lastColumn="0" w:oddVBand="0" w:evenVBand="0" w:oddHBand="0" w:evenHBand="0" w:firstRowFirstColumn="0" w:firstRowLastColumn="0" w:lastRowFirstColumn="0" w:lastRowLastColumn="0"/>
            <w:tcW w:w="847" w:type="pct"/>
          </w:tcPr>
          <w:p w14:paraId="40DF5ABD" w14:textId="77777777" w:rsidR="00B241C2" w:rsidRPr="00F34280" w:rsidRDefault="00B241C2" w:rsidP="002C53C9">
            <w:pPr>
              <w:pStyle w:val="TableText"/>
            </w:pPr>
            <w:r w:rsidRPr="00F34280">
              <w:t>Dust from concrete batching plants impacts air quality</w:t>
            </w:r>
          </w:p>
        </w:tc>
        <w:tc>
          <w:tcPr>
            <w:tcW w:w="708" w:type="pct"/>
          </w:tcPr>
          <w:p w14:paraId="53A8E2EB" w14:textId="77777777" w:rsidR="00B241C2" w:rsidRPr="00F34280" w:rsidRDefault="00B241C2" w:rsidP="002C53C9">
            <w:pPr>
              <w:pStyle w:val="TableText"/>
              <w:cnfStyle w:val="000000000000" w:firstRow="0" w:lastRow="0" w:firstColumn="0" w:lastColumn="0" w:oddVBand="0" w:evenVBand="0" w:oddHBand="0" w:evenHBand="0" w:firstRowFirstColumn="0" w:firstRowLastColumn="0" w:lastRowFirstColumn="0" w:lastRowLastColumn="0"/>
            </w:pPr>
            <w:r w:rsidRPr="00F34280">
              <w:t>Construction and Operation</w:t>
            </w:r>
          </w:p>
        </w:tc>
        <w:tc>
          <w:tcPr>
            <w:tcW w:w="2933" w:type="pct"/>
          </w:tcPr>
          <w:p w14:paraId="11163E8B" w14:textId="6FE9EF5C" w:rsidR="00B241C2" w:rsidRPr="00F34280" w:rsidRDefault="00B241C2" w:rsidP="002C53C9">
            <w:pPr>
              <w:pStyle w:val="TableText"/>
              <w:cnfStyle w:val="000000000000" w:firstRow="0" w:lastRow="0" w:firstColumn="0" w:lastColumn="0" w:oddVBand="0" w:evenVBand="0" w:oddHBand="0" w:evenHBand="0" w:firstRowFirstColumn="0" w:firstRowLastColumn="0" w:lastRowFirstColumn="0" w:lastRowLastColumn="0"/>
            </w:pPr>
            <w:r w:rsidRPr="00F34280">
              <w:t>All project concrete batching plants will be designed and operated to adequately control dust emissions, as per guidelines set out in EPA Victoria Publication 1806:</w:t>
            </w:r>
            <w:r w:rsidRPr="00F34280">
              <w:rPr>
                <w:i/>
              </w:rPr>
              <w:t xml:space="preserve"> Reducing risk in the premixed concrete industry</w:t>
            </w:r>
            <w:r w:rsidRPr="00F34280">
              <w:t>.</w:t>
            </w:r>
          </w:p>
        </w:tc>
        <w:tc>
          <w:tcPr>
            <w:tcW w:w="513" w:type="pct"/>
          </w:tcPr>
          <w:p w14:paraId="1D6A26ED" w14:textId="0F73B295" w:rsidR="00B241C2" w:rsidRPr="00F34280" w:rsidRDefault="00B241C2" w:rsidP="009056B9">
            <w:pPr>
              <w:pStyle w:val="TableText"/>
              <w:jc w:val="center"/>
              <w:cnfStyle w:val="000000000000" w:firstRow="0" w:lastRow="0" w:firstColumn="0" w:lastColumn="0" w:oddVBand="0" w:evenVBand="0" w:oddHBand="0" w:evenHBand="0" w:firstRowFirstColumn="0" w:firstRowLastColumn="0" w:lastRowFirstColumn="0" w:lastRowLastColumn="0"/>
            </w:pPr>
            <w:r w:rsidRPr="00F34280">
              <w:t>AQ</w:t>
            </w:r>
            <w:r w:rsidR="00AE0804">
              <w:t>0</w:t>
            </w:r>
            <w:r w:rsidRPr="00F34280">
              <w:t>2</w:t>
            </w:r>
          </w:p>
        </w:tc>
      </w:tr>
      <w:tr w:rsidR="00B241C2" w:rsidRPr="00F34280" w14:paraId="3EE8974F" w14:textId="77777777" w:rsidTr="002C53C9">
        <w:tc>
          <w:tcPr>
            <w:cnfStyle w:val="001000000000" w:firstRow="0" w:lastRow="0" w:firstColumn="1" w:lastColumn="0" w:oddVBand="0" w:evenVBand="0" w:oddHBand="0" w:evenHBand="0" w:firstRowFirstColumn="0" w:firstRowLastColumn="0" w:lastRowFirstColumn="0" w:lastRowLastColumn="0"/>
            <w:tcW w:w="847" w:type="pct"/>
          </w:tcPr>
          <w:p w14:paraId="75C917F7" w14:textId="77777777" w:rsidR="00B241C2" w:rsidRPr="00F34280" w:rsidRDefault="00B241C2" w:rsidP="002C53C9">
            <w:pPr>
              <w:pStyle w:val="TableText"/>
            </w:pPr>
            <w:r w:rsidRPr="00F34280">
              <w:t>Dust from quarry site activities impacts air quality</w:t>
            </w:r>
          </w:p>
        </w:tc>
        <w:tc>
          <w:tcPr>
            <w:tcW w:w="708" w:type="pct"/>
          </w:tcPr>
          <w:p w14:paraId="3EA95CFC" w14:textId="77777777" w:rsidR="00B241C2" w:rsidRPr="00F34280" w:rsidRDefault="00B241C2" w:rsidP="002C53C9">
            <w:pPr>
              <w:pStyle w:val="TableText"/>
              <w:cnfStyle w:val="000000000000" w:firstRow="0" w:lastRow="0" w:firstColumn="0" w:lastColumn="0" w:oddVBand="0" w:evenVBand="0" w:oddHBand="0" w:evenHBand="0" w:firstRowFirstColumn="0" w:firstRowLastColumn="0" w:lastRowFirstColumn="0" w:lastRowLastColumn="0"/>
            </w:pPr>
            <w:r w:rsidRPr="00F34280">
              <w:t>Construction and Operation</w:t>
            </w:r>
          </w:p>
        </w:tc>
        <w:tc>
          <w:tcPr>
            <w:tcW w:w="2933" w:type="pct"/>
          </w:tcPr>
          <w:p w14:paraId="02610BF0" w14:textId="21200948" w:rsidR="00B241C2" w:rsidRPr="00F34280" w:rsidRDefault="00B241C2" w:rsidP="002C53C9">
            <w:pPr>
              <w:pStyle w:val="TableText"/>
              <w:cnfStyle w:val="000000000000" w:firstRow="0" w:lastRow="0" w:firstColumn="0" w:lastColumn="0" w:oddVBand="0" w:evenVBand="0" w:oddHBand="0" w:evenHBand="0" w:firstRowFirstColumn="0" w:firstRowLastColumn="0" w:lastRowFirstColumn="0" w:lastRowLastColumn="0"/>
            </w:pPr>
            <w:r w:rsidRPr="00F34280">
              <w:t>A</w:t>
            </w:r>
            <w:r w:rsidR="00FE6524">
              <w:t xml:space="preserve"> </w:t>
            </w:r>
            <w:r w:rsidRPr="00F34280">
              <w:t xml:space="preserve">Quarry Work Plan will be developed in accordance with section 77G of the </w:t>
            </w:r>
            <w:r w:rsidRPr="00F34280">
              <w:rPr>
                <w:i/>
              </w:rPr>
              <w:t>Mineral Resources (Sustainable Development) Act 1990</w:t>
            </w:r>
            <w:r w:rsidRPr="00F34280">
              <w:t>. This plan will contain measures for the control of emissions of dust or other particulates, and the carriage and deposition of dust, silt and clay by vehicles existing the work authority area. These controls will be in accordance with best practice management standards including, but not limited to:</w:t>
            </w:r>
          </w:p>
          <w:p w14:paraId="6013A83D" w14:textId="77777777" w:rsidR="00B241C2" w:rsidRPr="00F34280" w:rsidRDefault="00B241C2" w:rsidP="000675E5">
            <w:pPr>
              <w:pStyle w:val="TableBullet1"/>
              <w:cnfStyle w:val="000000000000" w:firstRow="0" w:lastRow="0" w:firstColumn="0" w:lastColumn="0" w:oddVBand="0" w:evenVBand="0" w:oddHBand="0" w:evenHBand="0" w:firstRowFirstColumn="0" w:firstRowLastColumn="0" w:lastRowFirstColumn="0" w:lastRowLastColumn="0"/>
            </w:pPr>
            <w:r w:rsidRPr="00F34280">
              <w:t xml:space="preserve">EPA Victoria Publication 1191: </w:t>
            </w:r>
            <w:r w:rsidRPr="001A6ED9">
              <w:rPr>
                <w:i/>
                <w:iCs/>
              </w:rPr>
              <w:t>Protocol for Environmental Management: Mining and Extractive Industries</w:t>
            </w:r>
          </w:p>
          <w:p w14:paraId="0223806F" w14:textId="0F26ED1B" w:rsidR="00B241C2" w:rsidRPr="00F34280" w:rsidRDefault="00B241C2" w:rsidP="000675E5">
            <w:pPr>
              <w:pStyle w:val="TableBullet1"/>
              <w:cnfStyle w:val="000000000000" w:firstRow="0" w:lastRow="0" w:firstColumn="0" w:lastColumn="0" w:oddVBand="0" w:evenVBand="0" w:oddHBand="0" w:evenHBand="0" w:firstRowFirstColumn="0" w:firstRowLastColumn="0" w:lastRowFirstColumn="0" w:lastRowLastColumn="0"/>
            </w:pPr>
            <w:r w:rsidRPr="00F34280">
              <w:t xml:space="preserve">EPA Victoria Publication 1518: </w:t>
            </w:r>
            <w:r w:rsidRPr="001A6ED9">
              <w:rPr>
                <w:i/>
                <w:iCs/>
              </w:rPr>
              <w:t>Recommended separation distances for industrial residual air emissions</w:t>
            </w:r>
          </w:p>
          <w:p w14:paraId="2702E071" w14:textId="77777777" w:rsidR="00B241C2" w:rsidRPr="00F34280" w:rsidRDefault="00B241C2" w:rsidP="000675E5">
            <w:pPr>
              <w:pStyle w:val="TableBullet1"/>
              <w:cnfStyle w:val="000000000000" w:firstRow="0" w:lastRow="0" w:firstColumn="0" w:lastColumn="0" w:oddVBand="0" w:evenVBand="0" w:oddHBand="0" w:evenHBand="0" w:firstRowFirstColumn="0" w:firstRowLastColumn="0" w:lastRowFirstColumn="0" w:lastRowLastColumn="0"/>
            </w:pPr>
            <w:r w:rsidRPr="00F34280">
              <w:t>National Environmental Protection (Ambient Air Quality) Measure.</w:t>
            </w:r>
          </w:p>
        </w:tc>
        <w:tc>
          <w:tcPr>
            <w:tcW w:w="513" w:type="pct"/>
          </w:tcPr>
          <w:p w14:paraId="346918C9" w14:textId="7154BA14" w:rsidR="00B241C2" w:rsidRPr="00F34280" w:rsidRDefault="00B241C2" w:rsidP="009056B9">
            <w:pPr>
              <w:pStyle w:val="TableText"/>
              <w:jc w:val="center"/>
              <w:cnfStyle w:val="000000000000" w:firstRow="0" w:lastRow="0" w:firstColumn="0" w:lastColumn="0" w:oddVBand="0" w:evenVBand="0" w:oddHBand="0" w:evenHBand="0" w:firstRowFirstColumn="0" w:firstRowLastColumn="0" w:lastRowFirstColumn="0" w:lastRowLastColumn="0"/>
            </w:pPr>
            <w:r w:rsidRPr="00F34280">
              <w:t>AQ</w:t>
            </w:r>
            <w:r w:rsidR="00AE0804">
              <w:t>0</w:t>
            </w:r>
            <w:r w:rsidRPr="00F34280">
              <w:t>3</w:t>
            </w:r>
          </w:p>
        </w:tc>
      </w:tr>
    </w:tbl>
    <w:p w14:paraId="6172C8E4" w14:textId="77777777" w:rsidR="00B241C2" w:rsidRPr="00B241C2" w:rsidRDefault="00B241C2" w:rsidP="00B241C2">
      <w:pPr>
        <w:pStyle w:val="Heading3"/>
      </w:pPr>
      <w:bookmarkStart w:id="108" w:name="_Toc75358285"/>
      <w:bookmarkStart w:id="109" w:name="_Toc75358327"/>
      <w:bookmarkStart w:id="110" w:name="_Toc75358369"/>
      <w:bookmarkStart w:id="111" w:name="_Toc75358277"/>
      <w:bookmarkStart w:id="112" w:name="_Toc75358319"/>
      <w:bookmarkStart w:id="113" w:name="_Toc75358361"/>
      <w:bookmarkStart w:id="114" w:name="_Toc75358278"/>
      <w:bookmarkStart w:id="115" w:name="_Toc75358320"/>
      <w:bookmarkStart w:id="116" w:name="_Toc75358362"/>
      <w:bookmarkStart w:id="117" w:name="_Toc75358279"/>
      <w:bookmarkStart w:id="118" w:name="_Toc75358321"/>
      <w:bookmarkStart w:id="119" w:name="_Toc75358363"/>
      <w:bookmarkStart w:id="120" w:name="_Toc75358280"/>
      <w:bookmarkStart w:id="121" w:name="_Toc75358322"/>
      <w:bookmarkStart w:id="122" w:name="_Toc75358364"/>
      <w:bookmarkStart w:id="123" w:name="_Toc75358281"/>
      <w:bookmarkStart w:id="124" w:name="_Toc75358323"/>
      <w:bookmarkStart w:id="125" w:name="_Toc75358365"/>
      <w:bookmarkStart w:id="126" w:name="_Toc84595775"/>
      <w:bookmarkStart w:id="127" w:name="_Toc105144189"/>
      <w:bookmarkStart w:id="128" w:name="_Hlk71194342"/>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r w:rsidRPr="00B241C2">
        <w:t>Residual effects</w:t>
      </w:r>
      <w:bookmarkEnd w:id="126"/>
      <w:bookmarkEnd w:id="127"/>
    </w:p>
    <w:p w14:paraId="0B91BAC2" w14:textId="77777777" w:rsidR="00B241C2" w:rsidRPr="00B241C2" w:rsidRDefault="00B241C2" w:rsidP="00B241C2">
      <w:pPr>
        <w:pStyle w:val="Heading4"/>
      </w:pPr>
      <w:r w:rsidRPr="00B241C2">
        <w:t>Quarry – Construction and operation</w:t>
      </w:r>
    </w:p>
    <w:p w14:paraId="70B6557A" w14:textId="77777777" w:rsidR="00B241C2" w:rsidRPr="00F34280" w:rsidRDefault="00B241C2" w:rsidP="000675E5">
      <w:pPr>
        <w:pStyle w:val="Heading5"/>
      </w:pPr>
      <w:r w:rsidRPr="00F34280">
        <w:t>Dust-generating activities</w:t>
      </w:r>
    </w:p>
    <w:p w14:paraId="1DFA2195" w14:textId="7B0D80DC" w:rsidR="00B241C2" w:rsidRPr="00F34280" w:rsidRDefault="00B241C2" w:rsidP="00B241C2">
      <w:pPr>
        <w:pStyle w:val="BodyText"/>
      </w:pPr>
      <w:r w:rsidRPr="00F34280">
        <w:t>During quarry operation, the highest emission rates are attributed to dust that is generated by trucks hauling material over unsealed roads, followed by loading and unloading operations. Drilling and blasting activities are the smallest contributors to the total dust emissions. The calculated annual dust emission estimates (incorporating management control reductions) as Total Suspended Particulates, PM</w:t>
      </w:r>
      <w:r w:rsidRPr="00F34280">
        <w:rPr>
          <w:vertAlign w:val="subscript"/>
        </w:rPr>
        <w:t>10</w:t>
      </w:r>
      <w:r w:rsidRPr="00F34280">
        <w:t xml:space="preserve"> and PM</w:t>
      </w:r>
      <w:r w:rsidRPr="00F34280">
        <w:rPr>
          <w:vertAlign w:val="subscript"/>
        </w:rPr>
        <w:t>2.5</w:t>
      </w:r>
      <w:r w:rsidRPr="00F34280">
        <w:t xml:space="preserve"> for the quarry operation activities are summarised in </w:t>
      </w:r>
      <w:r w:rsidRPr="00F34280">
        <w:rPr>
          <w:highlight w:val="yellow"/>
        </w:rPr>
        <w:fldChar w:fldCharType="begin"/>
      </w:r>
      <w:r w:rsidRPr="00F34280">
        <w:instrText xml:space="preserve"> REF _Ref76460350 \h </w:instrText>
      </w:r>
      <w:r w:rsidRPr="00F34280">
        <w:rPr>
          <w:highlight w:val="yellow"/>
        </w:rPr>
      </w:r>
      <w:r w:rsidRPr="00F34280">
        <w:rPr>
          <w:highlight w:val="yellow"/>
        </w:rPr>
        <w:fldChar w:fldCharType="separate"/>
      </w:r>
      <w:r w:rsidR="009056B9" w:rsidRPr="000675E5">
        <w:t xml:space="preserve">Table </w:t>
      </w:r>
      <w:r w:rsidR="009056B9">
        <w:rPr>
          <w:noProof/>
        </w:rPr>
        <w:t>20</w:t>
      </w:r>
      <w:r w:rsidR="009056B9" w:rsidRPr="000675E5">
        <w:t>.</w:t>
      </w:r>
      <w:r w:rsidR="009056B9">
        <w:rPr>
          <w:noProof/>
        </w:rPr>
        <w:t>8</w:t>
      </w:r>
      <w:r w:rsidRPr="00F34280">
        <w:rPr>
          <w:highlight w:val="yellow"/>
        </w:rPr>
        <w:fldChar w:fldCharType="end"/>
      </w:r>
      <w:r w:rsidRPr="00F34280">
        <w:t xml:space="preserve">. </w:t>
      </w:r>
    </w:p>
    <w:p w14:paraId="1FE71923" w14:textId="029D0A88" w:rsidR="00B241C2" w:rsidRPr="000675E5" w:rsidRDefault="00B241C2" w:rsidP="000675E5">
      <w:pPr>
        <w:pStyle w:val="Caption"/>
        <w:pageBreakBefore/>
      </w:pPr>
      <w:bookmarkStart w:id="129" w:name="_Ref76460350"/>
      <w:bookmarkStart w:id="130" w:name="_Toc84595793"/>
      <w:bookmarkStart w:id="131" w:name="_Toc105144199"/>
      <w:r w:rsidRPr="000675E5">
        <w:lastRenderedPageBreak/>
        <w:t xml:space="preserve">Table </w:t>
      </w:r>
      <w:fldSimple w:instr=" STYLEREF 1 \s ">
        <w:r w:rsidR="009056B9">
          <w:rPr>
            <w:noProof/>
          </w:rPr>
          <w:t>20</w:t>
        </w:r>
      </w:fldSimple>
      <w:r w:rsidRPr="000675E5">
        <w:t>.</w:t>
      </w:r>
      <w:fldSimple w:instr=" SEQ Table \* ARABIC \s 1 ">
        <w:r w:rsidR="009056B9">
          <w:rPr>
            <w:noProof/>
          </w:rPr>
          <w:t>8</w:t>
        </w:r>
      </w:fldSimple>
      <w:bookmarkEnd w:id="129"/>
      <w:r w:rsidRPr="000675E5">
        <w:tab/>
        <w:t>Estimated dust emissions from the quarry activities</w:t>
      </w:r>
      <w:bookmarkEnd w:id="130"/>
      <w:bookmarkEnd w:id="131"/>
    </w:p>
    <w:tbl>
      <w:tblPr>
        <w:tblStyle w:val="Table1"/>
        <w:tblW w:w="5000" w:type="pct"/>
        <w:tblLook w:val="04A0" w:firstRow="1" w:lastRow="0" w:firstColumn="1" w:lastColumn="0" w:noHBand="0" w:noVBand="1"/>
      </w:tblPr>
      <w:tblGrid>
        <w:gridCol w:w="3703"/>
        <w:gridCol w:w="2139"/>
        <w:gridCol w:w="1711"/>
        <w:gridCol w:w="1518"/>
      </w:tblGrid>
      <w:tr w:rsidR="00B241C2" w:rsidRPr="00F34280" w14:paraId="08B84244" w14:textId="77777777" w:rsidTr="000675E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41" w:type="pct"/>
            <w:vMerge w:val="restart"/>
          </w:tcPr>
          <w:p w14:paraId="7FBC1C8B" w14:textId="44B0B3BD" w:rsidR="00B241C2" w:rsidRPr="00F34280" w:rsidRDefault="00B241C2" w:rsidP="002C53C9">
            <w:pPr>
              <w:pStyle w:val="TableHeading"/>
            </w:pPr>
            <w:r w:rsidRPr="00F34280">
              <w:t xml:space="preserve">Quarry </w:t>
            </w:r>
            <w:r w:rsidR="000675E5">
              <w:t>a</w:t>
            </w:r>
            <w:r w:rsidRPr="00F34280">
              <w:t>ctivity</w:t>
            </w:r>
          </w:p>
        </w:tc>
        <w:tc>
          <w:tcPr>
            <w:tcW w:w="2959" w:type="pct"/>
            <w:gridSpan w:val="3"/>
            <w:tcBorders>
              <w:top w:val="nil"/>
              <w:bottom w:val="single" w:sz="4" w:space="0" w:color="auto"/>
            </w:tcBorders>
          </w:tcPr>
          <w:p w14:paraId="6E9FEF9D" w14:textId="77777777" w:rsidR="00B241C2" w:rsidRPr="00F34280" w:rsidRDefault="00B241C2" w:rsidP="002C53C9">
            <w:pPr>
              <w:pStyle w:val="TableHeading"/>
              <w:jc w:val="center"/>
              <w:cnfStyle w:val="100000000000" w:firstRow="1" w:lastRow="0" w:firstColumn="0" w:lastColumn="0" w:oddVBand="0" w:evenVBand="0" w:oddHBand="0" w:evenHBand="0" w:firstRowFirstColumn="0" w:firstRowLastColumn="0" w:lastRowFirstColumn="0" w:lastRowLastColumn="0"/>
            </w:pPr>
            <w:r w:rsidRPr="00F34280">
              <w:t>Annual emissions (kilograms per year)</w:t>
            </w:r>
          </w:p>
        </w:tc>
      </w:tr>
      <w:tr w:rsidR="000675E5" w:rsidRPr="00F34280" w14:paraId="2B9260A8" w14:textId="77777777" w:rsidTr="000675E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41" w:type="pct"/>
            <w:vMerge/>
          </w:tcPr>
          <w:p w14:paraId="1FD2D14B" w14:textId="77777777" w:rsidR="00B241C2" w:rsidRPr="00F34280" w:rsidRDefault="00B241C2" w:rsidP="002C53C9">
            <w:pPr>
              <w:jc w:val="center"/>
            </w:pPr>
          </w:p>
        </w:tc>
        <w:tc>
          <w:tcPr>
            <w:tcW w:w="1179" w:type="pct"/>
            <w:tcBorders>
              <w:top w:val="single" w:sz="4" w:space="0" w:color="auto"/>
            </w:tcBorders>
          </w:tcPr>
          <w:p w14:paraId="75B3F2A0" w14:textId="77777777" w:rsidR="00B241C2" w:rsidRPr="00F34280" w:rsidRDefault="00B241C2" w:rsidP="002C53C9">
            <w:pPr>
              <w:pStyle w:val="TableText"/>
              <w:jc w:val="center"/>
              <w:cnfStyle w:val="100000000000" w:firstRow="1" w:lastRow="0" w:firstColumn="0" w:lastColumn="0" w:oddVBand="0" w:evenVBand="0" w:oddHBand="0" w:evenHBand="0" w:firstRowFirstColumn="0" w:firstRowLastColumn="0" w:lastRowFirstColumn="0" w:lastRowLastColumn="0"/>
            </w:pPr>
            <w:r w:rsidRPr="00F34280">
              <w:rPr>
                <w:b/>
              </w:rPr>
              <w:t>Total Suspended Particulates</w:t>
            </w:r>
          </w:p>
        </w:tc>
        <w:tc>
          <w:tcPr>
            <w:tcW w:w="943" w:type="pct"/>
            <w:tcBorders>
              <w:top w:val="single" w:sz="4" w:space="0" w:color="auto"/>
            </w:tcBorders>
          </w:tcPr>
          <w:p w14:paraId="136FCFCD" w14:textId="77777777" w:rsidR="00B241C2" w:rsidRPr="00F34280" w:rsidRDefault="00B241C2" w:rsidP="002C53C9">
            <w:pPr>
              <w:pStyle w:val="TableText"/>
              <w:jc w:val="center"/>
              <w:cnfStyle w:val="100000000000" w:firstRow="1" w:lastRow="0" w:firstColumn="0" w:lastColumn="0" w:oddVBand="0" w:evenVBand="0" w:oddHBand="0" w:evenHBand="0" w:firstRowFirstColumn="0" w:firstRowLastColumn="0" w:lastRowFirstColumn="0" w:lastRowLastColumn="0"/>
            </w:pPr>
            <w:r w:rsidRPr="00F34280">
              <w:rPr>
                <w:b/>
              </w:rPr>
              <w:t>PM</w:t>
            </w:r>
            <w:r w:rsidRPr="00F34280">
              <w:rPr>
                <w:vertAlign w:val="subscript"/>
              </w:rPr>
              <w:t>10</w:t>
            </w:r>
          </w:p>
        </w:tc>
        <w:tc>
          <w:tcPr>
            <w:tcW w:w="837" w:type="pct"/>
            <w:tcBorders>
              <w:top w:val="single" w:sz="4" w:space="0" w:color="auto"/>
            </w:tcBorders>
          </w:tcPr>
          <w:p w14:paraId="43839FB3" w14:textId="77777777" w:rsidR="00B241C2" w:rsidRPr="00F34280" w:rsidRDefault="00B241C2" w:rsidP="002C53C9">
            <w:pPr>
              <w:pStyle w:val="TableText"/>
              <w:jc w:val="center"/>
              <w:cnfStyle w:val="100000000000" w:firstRow="1" w:lastRow="0" w:firstColumn="0" w:lastColumn="0" w:oddVBand="0" w:evenVBand="0" w:oddHBand="0" w:evenHBand="0" w:firstRowFirstColumn="0" w:firstRowLastColumn="0" w:lastRowFirstColumn="0" w:lastRowLastColumn="0"/>
              <w:rPr>
                <w:b/>
              </w:rPr>
            </w:pPr>
            <w:r w:rsidRPr="00F34280">
              <w:rPr>
                <w:b/>
              </w:rPr>
              <w:t>PM</w:t>
            </w:r>
            <w:r w:rsidRPr="00F34280">
              <w:rPr>
                <w:vertAlign w:val="subscript"/>
              </w:rPr>
              <w:t>2.5</w:t>
            </w:r>
          </w:p>
        </w:tc>
      </w:tr>
      <w:tr w:rsidR="00B241C2" w:rsidRPr="00F34280" w14:paraId="3BE19686" w14:textId="77777777" w:rsidTr="002C53C9">
        <w:tc>
          <w:tcPr>
            <w:cnfStyle w:val="001000000000" w:firstRow="0" w:lastRow="0" w:firstColumn="1" w:lastColumn="0" w:oddVBand="0" w:evenVBand="0" w:oddHBand="0" w:evenHBand="0" w:firstRowFirstColumn="0" w:firstRowLastColumn="0" w:lastRowFirstColumn="0" w:lastRowLastColumn="0"/>
            <w:tcW w:w="2041" w:type="pct"/>
          </w:tcPr>
          <w:p w14:paraId="2992E393" w14:textId="77777777" w:rsidR="00B241C2" w:rsidRPr="00F34280" w:rsidRDefault="00B241C2" w:rsidP="002C53C9">
            <w:pPr>
              <w:pStyle w:val="TableText"/>
            </w:pPr>
            <w:r w:rsidRPr="00F34280">
              <w:t>Excavators loading overburden to trucks</w:t>
            </w:r>
          </w:p>
        </w:tc>
        <w:tc>
          <w:tcPr>
            <w:tcW w:w="1179" w:type="pct"/>
          </w:tcPr>
          <w:p w14:paraId="03315061" w14:textId="77777777" w:rsidR="00B241C2" w:rsidRPr="00F34280" w:rsidRDefault="00B241C2" w:rsidP="002C53C9">
            <w:pPr>
              <w:pStyle w:val="TableText"/>
              <w:jc w:val="center"/>
              <w:cnfStyle w:val="000000000000" w:firstRow="0" w:lastRow="0" w:firstColumn="0" w:lastColumn="0" w:oddVBand="0" w:evenVBand="0" w:oddHBand="0" w:evenHBand="0" w:firstRowFirstColumn="0" w:firstRowLastColumn="0" w:lastRowFirstColumn="0" w:lastRowLastColumn="0"/>
            </w:pPr>
            <w:r w:rsidRPr="00F34280">
              <w:t>3,032</w:t>
            </w:r>
          </w:p>
        </w:tc>
        <w:tc>
          <w:tcPr>
            <w:tcW w:w="943" w:type="pct"/>
          </w:tcPr>
          <w:p w14:paraId="15E541C7" w14:textId="77777777" w:rsidR="00B241C2" w:rsidRPr="00F34280" w:rsidRDefault="00B241C2" w:rsidP="002C53C9">
            <w:pPr>
              <w:pStyle w:val="TableText"/>
              <w:jc w:val="center"/>
              <w:cnfStyle w:val="000000000000" w:firstRow="0" w:lastRow="0" w:firstColumn="0" w:lastColumn="0" w:oddVBand="0" w:evenVBand="0" w:oddHBand="0" w:evenHBand="0" w:firstRowFirstColumn="0" w:firstRowLastColumn="0" w:lastRowFirstColumn="0" w:lastRowLastColumn="0"/>
            </w:pPr>
            <w:r w:rsidRPr="00F34280">
              <w:t>1,434</w:t>
            </w:r>
          </w:p>
        </w:tc>
        <w:tc>
          <w:tcPr>
            <w:tcW w:w="837" w:type="pct"/>
          </w:tcPr>
          <w:p w14:paraId="17192D0A" w14:textId="77777777" w:rsidR="00B241C2" w:rsidRPr="00F34280" w:rsidRDefault="00B241C2" w:rsidP="002C53C9">
            <w:pPr>
              <w:pStyle w:val="TableText"/>
              <w:jc w:val="center"/>
              <w:cnfStyle w:val="000000000000" w:firstRow="0" w:lastRow="0" w:firstColumn="0" w:lastColumn="0" w:oddVBand="0" w:evenVBand="0" w:oddHBand="0" w:evenHBand="0" w:firstRowFirstColumn="0" w:firstRowLastColumn="0" w:lastRowFirstColumn="0" w:lastRowLastColumn="0"/>
            </w:pPr>
            <w:r w:rsidRPr="00F34280">
              <w:t>152</w:t>
            </w:r>
          </w:p>
        </w:tc>
      </w:tr>
      <w:tr w:rsidR="00B241C2" w:rsidRPr="00F34280" w14:paraId="169D8EED" w14:textId="77777777" w:rsidTr="002C53C9">
        <w:tc>
          <w:tcPr>
            <w:cnfStyle w:val="001000000000" w:firstRow="0" w:lastRow="0" w:firstColumn="1" w:lastColumn="0" w:oddVBand="0" w:evenVBand="0" w:oddHBand="0" w:evenHBand="0" w:firstRowFirstColumn="0" w:firstRowLastColumn="0" w:lastRowFirstColumn="0" w:lastRowLastColumn="0"/>
            <w:tcW w:w="2041" w:type="pct"/>
          </w:tcPr>
          <w:p w14:paraId="58586DDE" w14:textId="77777777" w:rsidR="00B241C2" w:rsidRPr="00F34280" w:rsidRDefault="00B241C2" w:rsidP="002C53C9">
            <w:pPr>
              <w:pStyle w:val="TableText"/>
            </w:pPr>
            <w:r w:rsidRPr="00F34280">
              <w:t>Hauling overburden to dumps</w:t>
            </w:r>
          </w:p>
        </w:tc>
        <w:tc>
          <w:tcPr>
            <w:tcW w:w="1179" w:type="pct"/>
          </w:tcPr>
          <w:p w14:paraId="537BB9A9" w14:textId="77777777" w:rsidR="00B241C2" w:rsidRPr="00F34280" w:rsidRDefault="00B241C2" w:rsidP="002C53C9">
            <w:pPr>
              <w:pStyle w:val="TableText"/>
              <w:jc w:val="center"/>
              <w:cnfStyle w:val="000000000000" w:firstRow="0" w:lastRow="0" w:firstColumn="0" w:lastColumn="0" w:oddVBand="0" w:evenVBand="0" w:oddHBand="0" w:evenHBand="0" w:firstRowFirstColumn="0" w:firstRowLastColumn="0" w:lastRowFirstColumn="0" w:lastRowLastColumn="0"/>
            </w:pPr>
            <w:r w:rsidRPr="00F34280">
              <w:t>30,183</w:t>
            </w:r>
          </w:p>
        </w:tc>
        <w:tc>
          <w:tcPr>
            <w:tcW w:w="943" w:type="pct"/>
          </w:tcPr>
          <w:p w14:paraId="4C8E6455" w14:textId="77777777" w:rsidR="00B241C2" w:rsidRPr="00F34280" w:rsidRDefault="00B241C2" w:rsidP="002C53C9">
            <w:pPr>
              <w:pStyle w:val="TableText"/>
              <w:jc w:val="center"/>
              <w:cnfStyle w:val="000000000000" w:firstRow="0" w:lastRow="0" w:firstColumn="0" w:lastColumn="0" w:oddVBand="0" w:evenVBand="0" w:oddHBand="0" w:evenHBand="0" w:firstRowFirstColumn="0" w:firstRowLastColumn="0" w:lastRowFirstColumn="0" w:lastRowLastColumn="0"/>
            </w:pPr>
            <w:r w:rsidRPr="00F34280">
              <w:t>8,919</w:t>
            </w:r>
          </w:p>
        </w:tc>
        <w:tc>
          <w:tcPr>
            <w:tcW w:w="837" w:type="pct"/>
          </w:tcPr>
          <w:p w14:paraId="0DABE5DA" w14:textId="77777777" w:rsidR="00B241C2" w:rsidRPr="00F34280" w:rsidRDefault="00B241C2" w:rsidP="002C53C9">
            <w:pPr>
              <w:pStyle w:val="TableText"/>
              <w:jc w:val="center"/>
              <w:cnfStyle w:val="000000000000" w:firstRow="0" w:lastRow="0" w:firstColumn="0" w:lastColumn="0" w:oddVBand="0" w:evenVBand="0" w:oddHBand="0" w:evenHBand="0" w:firstRowFirstColumn="0" w:firstRowLastColumn="0" w:lastRowFirstColumn="0" w:lastRowLastColumn="0"/>
            </w:pPr>
            <w:r w:rsidRPr="00F34280">
              <w:t>1,509</w:t>
            </w:r>
          </w:p>
        </w:tc>
      </w:tr>
      <w:tr w:rsidR="00B241C2" w:rsidRPr="00F34280" w14:paraId="01A5AA2E" w14:textId="77777777" w:rsidTr="002C53C9">
        <w:tc>
          <w:tcPr>
            <w:cnfStyle w:val="001000000000" w:firstRow="0" w:lastRow="0" w:firstColumn="1" w:lastColumn="0" w:oddVBand="0" w:evenVBand="0" w:oddHBand="0" w:evenHBand="0" w:firstRowFirstColumn="0" w:firstRowLastColumn="0" w:lastRowFirstColumn="0" w:lastRowLastColumn="0"/>
            <w:tcW w:w="2041" w:type="pct"/>
          </w:tcPr>
          <w:p w14:paraId="3580CC73" w14:textId="77777777" w:rsidR="00B241C2" w:rsidRPr="00F34280" w:rsidRDefault="00B241C2" w:rsidP="002C53C9">
            <w:pPr>
              <w:pStyle w:val="TableText"/>
            </w:pPr>
            <w:r w:rsidRPr="00F34280">
              <w:t>Unloading overburden to dumps</w:t>
            </w:r>
          </w:p>
        </w:tc>
        <w:tc>
          <w:tcPr>
            <w:tcW w:w="1179" w:type="pct"/>
          </w:tcPr>
          <w:p w14:paraId="29303404" w14:textId="77777777" w:rsidR="00B241C2" w:rsidRPr="00F34280" w:rsidRDefault="00B241C2" w:rsidP="002C53C9">
            <w:pPr>
              <w:pStyle w:val="TableText"/>
              <w:jc w:val="center"/>
              <w:cnfStyle w:val="000000000000" w:firstRow="0" w:lastRow="0" w:firstColumn="0" w:lastColumn="0" w:oddVBand="0" w:evenVBand="0" w:oddHBand="0" w:evenHBand="0" w:firstRowFirstColumn="0" w:firstRowLastColumn="0" w:lastRowFirstColumn="0" w:lastRowLastColumn="0"/>
            </w:pPr>
            <w:r w:rsidRPr="00F34280">
              <w:t>12,144</w:t>
            </w:r>
          </w:p>
        </w:tc>
        <w:tc>
          <w:tcPr>
            <w:tcW w:w="943" w:type="pct"/>
          </w:tcPr>
          <w:p w14:paraId="394847EF" w14:textId="77777777" w:rsidR="00B241C2" w:rsidRPr="00F34280" w:rsidRDefault="00B241C2" w:rsidP="002C53C9">
            <w:pPr>
              <w:pStyle w:val="TableText"/>
              <w:jc w:val="center"/>
              <w:cnfStyle w:val="000000000000" w:firstRow="0" w:lastRow="0" w:firstColumn="0" w:lastColumn="0" w:oddVBand="0" w:evenVBand="0" w:oddHBand="0" w:evenHBand="0" w:firstRowFirstColumn="0" w:firstRowLastColumn="0" w:lastRowFirstColumn="0" w:lastRowLastColumn="0"/>
            </w:pPr>
            <w:r w:rsidRPr="00F34280">
              <w:t>4,352</w:t>
            </w:r>
          </w:p>
        </w:tc>
        <w:tc>
          <w:tcPr>
            <w:tcW w:w="837" w:type="pct"/>
          </w:tcPr>
          <w:p w14:paraId="24FC646F" w14:textId="77777777" w:rsidR="00B241C2" w:rsidRPr="00F34280" w:rsidRDefault="00B241C2" w:rsidP="002C53C9">
            <w:pPr>
              <w:pStyle w:val="TableText"/>
              <w:jc w:val="center"/>
              <w:cnfStyle w:val="000000000000" w:firstRow="0" w:lastRow="0" w:firstColumn="0" w:lastColumn="0" w:oddVBand="0" w:evenVBand="0" w:oddHBand="0" w:evenHBand="0" w:firstRowFirstColumn="0" w:firstRowLastColumn="0" w:lastRowFirstColumn="0" w:lastRowLastColumn="0"/>
            </w:pPr>
            <w:r w:rsidRPr="00F34280">
              <w:t>607</w:t>
            </w:r>
          </w:p>
        </w:tc>
      </w:tr>
      <w:tr w:rsidR="00B241C2" w:rsidRPr="00F34280" w14:paraId="54D74BAB" w14:textId="77777777" w:rsidTr="002C53C9">
        <w:tc>
          <w:tcPr>
            <w:cnfStyle w:val="001000000000" w:firstRow="0" w:lastRow="0" w:firstColumn="1" w:lastColumn="0" w:oddVBand="0" w:evenVBand="0" w:oddHBand="0" w:evenHBand="0" w:firstRowFirstColumn="0" w:firstRowLastColumn="0" w:lastRowFirstColumn="0" w:lastRowLastColumn="0"/>
            <w:tcW w:w="2041" w:type="pct"/>
          </w:tcPr>
          <w:p w14:paraId="4B7E4E7F" w14:textId="77777777" w:rsidR="00B241C2" w:rsidRPr="00F34280" w:rsidRDefault="00B241C2" w:rsidP="002C53C9">
            <w:pPr>
              <w:pStyle w:val="TableText"/>
            </w:pPr>
            <w:r w:rsidRPr="00F34280">
              <w:t>Drilling rock</w:t>
            </w:r>
          </w:p>
        </w:tc>
        <w:tc>
          <w:tcPr>
            <w:tcW w:w="1179" w:type="pct"/>
          </w:tcPr>
          <w:p w14:paraId="47964949" w14:textId="77777777" w:rsidR="00B241C2" w:rsidRPr="00F34280" w:rsidRDefault="00B241C2" w:rsidP="002C53C9">
            <w:pPr>
              <w:pStyle w:val="TableText"/>
              <w:jc w:val="center"/>
              <w:cnfStyle w:val="000000000000" w:firstRow="0" w:lastRow="0" w:firstColumn="0" w:lastColumn="0" w:oddVBand="0" w:evenVBand="0" w:oddHBand="0" w:evenHBand="0" w:firstRowFirstColumn="0" w:firstRowLastColumn="0" w:lastRowFirstColumn="0" w:lastRowLastColumn="0"/>
            </w:pPr>
            <w:r w:rsidRPr="00F34280">
              <w:t>1,328</w:t>
            </w:r>
          </w:p>
        </w:tc>
        <w:tc>
          <w:tcPr>
            <w:tcW w:w="943" w:type="pct"/>
          </w:tcPr>
          <w:p w14:paraId="6B865114" w14:textId="77777777" w:rsidR="00B241C2" w:rsidRPr="00F34280" w:rsidRDefault="00B241C2" w:rsidP="002C53C9">
            <w:pPr>
              <w:pStyle w:val="TableText"/>
              <w:jc w:val="center"/>
              <w:cnfStyle w:val="000000000000" w:firstRow="0" w:lastRow="0" w:firstColumn="0" w:lastColumn="0" w:oddVBand="0" w:evenVBand="0" w:oddHBand="0" w:evenHBand="0" w:firstRowFirstColumn="0" w:firstRowLastColumn="0" w:lastRowFirstColumn="0" w:lastRowLastColumn="0"/>
            </w:pPr>
            <w:r w:rsidRPr="00F34280">
              <w:t>698</w:t>
            </w:r>
          </w:p>
        </w:tc>
        <w:tc>
          <w:tcPr>
            <w:tcW w:w="837" w:type="pct"/>
          </w:tcPr>
          <w:p w14:paraId="1AE16B1F" w14:textId="77777777" w:rsidR="00B241C2" w:rsidRPr="00F34280" w:rsidRDefault="00B241C2" w:rsidP="002C53C9">
            <w:pPr>
              <w:pStyle w:val="TableText"/>
              <w:jc w:val="center"/>
              <w:cnfStyle w:val="000000000000" w:firstRow="0" w:lastRow="0" w:firstColumn="0" w:lastColumn="0" w:oddVBand="0" w:evenVBand="0" w:oddHBand="0" w:evenHBand="0" w:firstRowFirstColumn="0" w:firstRowLastColumn="0" w:lastRowFirstColumn="0" w:lastRowLastColumn="0"/>
            </w:pPr>
            <w:r w:rsidRPr="00F34280">
              <w:t>66</w:t>
            </w:r>
          </w:p>
        </w:tc>
      </w:tr>
      <w:tr w:rsidR="00B241C2" w:rsidRPr="00F34280" w14:paraId="0F40E018" w14:textId="77777777" w:rsidTr="002C53C9">
        <w:tc>
          <w:tcPr>
            <w:cnfStyle w:val="001000000000" w:firstRow="0" w:lastRow="0" w:firstColumn="1" w:lastColumn="0" w:oddVBand="0" w:evenVBand="0" w:oddHBand="0" w:evenHBand="0" w:firstRowFirstColumn="0" w:firstRowLastColumn="0" w:lastRowFirstColumn="0" w:lastRowLastColumn="0"/>
            <w:tcW w:w="2041" w:type="pct"/>
          </w:tcPr>
          <w:p w14:paraId="627EBCEE" w14:textId="77777777" w:rsidR="00B241C2" w:rsidRPr="00F34280" w:rsidRDefault="00B241C2" w:rsidP="002C53C9">
            <w:pPr>
              <w:pStyle w:val="TableText"/>
            </w:pPr>
            <w:r w:rsidRPr="00F34280">
              <w:t>Blasting rock</w:t>
            </w:r>
          </w:p>
        </w:tc>
        <w:tc>
          <w:tcPr>
            <w:tcW w:w="1179" w:type="pct"/>
          </w:tcPr>
          <w:p w14:paraId="3322E030" w14:textId="77777777" w:rsidR="00B241C2" w:rsidRPr="00F34280" w:rsidRDefault="00B241C2" w:rsidP="002C53C9">
            <w:pPr>
              <w:pStyle w:val="TableText"/>
              <w:jc w:val="center"/>
              <w:cnfStyle w:val="000000000000" w:firstRow="0" w:lastRow="0" w:firstColumn="0" w:lastColumn="0" w:oddVBand="0" w:evenVBand="0" w:oddHBand="0" w:evenHBand="0" w:firstRowFirstColumn="0" w:firstRowLastColumn="0" w:lastRowFirstColumn="0" w:lastRowLastColumn="0"/>
            </w:pPr>
            <w:r w:rsidRPr="00F34280">
              <w:t>348</w:t>
            </w:r>
          </w:p>
        </w:tc>
        <w:tc>
          <w:tcPr>
            <w:tcW w:w="943" w:type="pct"/>
          </w:tcPr>
          <w:p w14:paraId="5BFF503A" w14:textId="77777777" w:rsidR="00B241C2" w:rsidRPr="00F34280" w:rsidRDefault="00B241C2" w:rsidP="002C53C9">
            <w:pPr>
              <w:pStyle w:val="TableText"/>
              <w:jc w:val="center"/>
              <w:cnfStyle w:val="000000000000" w:firstRow="0" w:lastRow="0" w:firstColumn="0" w:lastColumn="0" w:oddVBand="0" w:evenVBand="0" w:oddHBand="0" w:evenHBand="0" w:firstRowFirstColumn="0" w:firstRowLastColumn="0" w:lastRowFirstColumn="0" w:lastRowLastColumn="0"/>
            </w:pPr>
            <w:r w:rsidRPr="00F34280">
              <w:t>180</w:t>
            </w:r>
          </w:p>
        </w:tc>
        <w:tc>
          <w:tcPr>
            <w:tcW w:w="837" w:type="pct"/>
          </w:tcPr>
          <w:p w14:paraId="6CB5A326" w14:textId="77777777" w:rsidR="00B241C2" w:rsidRPr="00F34280" w:rsidRDefault="00B241C2" w:rsidP="002C53C9">
            <w:pPr>
              <w:pStyle w:val="TableText"/>
              <w:jc w:val="center"/>
              <w:cnfStyle w:val="000000000000" w:firstRow="0" w:lastRow="0" w:firstColumn="0" w:lastColumn="0" w:oddVBand="0" w:evenVBand="0" w:oddHBand="0" w:evenHBand="0" w:firstRowFirstColumn="0" w:firstRowLastColumn="0" w:lastRowFirstColumn="0" w:lastRowLastColumn="0"/>
            </w:pPr>
            <w:r w:rsidRPr="00F34280">
              <w:t>17</w:t>
            </w:r>
          </w:p>
        </w:tc>
      </w:tr>
      <w:tr w:rsidR="00B241C2" w:rsidRPr="00F34280" w14:paraId="616409FD" w14:textId="77777777" w:rsidTr="002C53C9">
        <w:tc>
          <w:tcPr>
            <w:cnfStyle w:val="001000000000" w:firstRow="0" w:lastRow="0" w:firstColumn="1" w:lastColumn="0" w:oddVBand="0" w:evenVBand="0" w:oddHBand="0" w:evenHBand="0" w:firstRowFirstColumn="0" w:firstRowLastColumn="0" w:lastRowFirstColumn="0" w:lastRowLastColumn="0"/>
            <w:tcW w:w="2041" w:type="pct"/>
          </w:tcPr>
          <w:p w14:paraId="46E1B2CA" w14:textId="77777777" w:rsidR="00B241C2" w:rsidRPr="00F34280" w:rsidRDefault="00B241C2" w:rsidP="002C53C9">
            <w:pPr>
              <w:pStyle w:val="TableText"/>
            </w:pPr>
            <w:r w:rsidRPr="00F34280">
              <w:t>Excavators loading shot rock to trucks</w:t>
            </w:r>
          </w:p>
        </w:tc>
        <w:tc>
          <w:tcPr>
            <w:tcW w:w="1179" w:type="pct"/>
          </w:tcPr>
          <w:p w14:paraId="5B94C074" w14:textId="77777777" w:rsidR="00B241C2" w:rsidRPr="00F34280" w:rsidRDefault="00B241C2" w:rsidP="002C53C9">
            <w:pPr>
              <w:pStyle w:val="TableText"/>
              <w:jc w:val="center"/>
              <w:cnfStyle w:val="000000000000" w:firstRow="0" w:lastRow="0" w:firstColumn="0" w:lastColumn="0" w:oddVBand="0" w:evenVBand="0" w:oddHBand="0" w:evenHBand="0" w:firstRowFirstColumn="0" w:firstRowLastColumn="0" w:lastRowFirstColumn="0" w:lastRowLastColumn="0"/>
            </w:pPr>
            <w:r w:rsidRPr="00F34280">
              <w:t>1,798</w:t>
            </w:r>
          </w:p>
        </w:tc>
        <w:tc>
          <w:tcPr>
            <w:tcW w:w="943" w:type="pct"/>
          </w:tcPr>
          <w:p w14:paraId="74A81082" w14:textId="77777777" w:rsidR="00B241C2" w:rsidRPr="00F34280" w:rsidRDefault="00B241C2" w:rsidP="002C53C9">
            <w:pPr>
              <w:pStyle w:val="TableText"/>
              <w:jc w:val="center"/>
              <w:cnfStyle w:val="000000000000" w:firstRow="0" w:lastRow="0" w:firstColumn="0" w:lastColumn="0" w:oddVBand="0" w:evenVBand="0" w:oddHBand="0" w:evenHBand="0" w:firstRowFirstColumn="0" w:firstRowLastColumn="0" w:lastRowFirstColumn="0" w:lastRowLastColumn="0"/>
            </w:pPr>
            <w:r w:rsidRPr="00F34280">
              <w:t>850</w:t>
            </w:r>
          </w:p>
        </w:tc>
        <w:tc>
          <w:tcPr>
            <w:tcW w:w="837" w:type="pct"/>
          </w:tcPr>
          <w:p w14:paraId="6E8E3A6B" w14:textId="77777777" w:rsidR="00B241C2" w:rsidRPr="00F34280" w:rsidRDefault="00B241C2" w:rsidP="002C53C9">
            <w:pPr>
              <w:pStyle w:val="TableText"/>
              <w:jc w:val="center"/>
              <w:cnfStyle w:val="000000000000" w:firstRow="0" w:lastRow="0" w:firstColumn="0" w:lastColumn="0" w:oddVBand="0" w:evenVBand="0" w:oddHBand="0" w:evenHBand="0" w:firstRowFirstColumn="0" w:firstRowLastColumn="0" w:lastRowFirstColumn="0" w:lastRowLastColumn="0"/>
            </w:pPr>
            <w:r w:rsidRPr="00F34280">
              <w:t>90</w:t>
            </w:r>
          </w:p>
        </w:tc>
      </w:tr>
      <w:tr w:rsidR="00B241C2" w:rsidRPr="00F34280" w14:paraId="50623A4B" w14:textId="77777777" w:rsidTr="002C53C9">
        <w:tc>
          <w:tcPr>
            <w:cnfStyle w:val="001000000000" w:firstRow="0" w:lastRow="0" w:firstColumn="1" w:lastColumn="0" w:oddVBand="0" w:evenVBand="0" w:oddHBand="0" w:evenHBand="0" w:firstRowFirstColumn="0" w:firstRowLastColumn="0" w:lastRowFirstColumn="0" w:lastRowLastColumn="0"/>
            <w:tcW w:w="2041" w:type="pct"/>
          </w:tcPr>
          <w:p w14:paraId="55E01722" w14:textId="77777777" w:rsidR="00B241C2" w:rsidRPr="00F34280" w:rsidRDefault="00B241C2" w:rsidP="002C53C9">
            <w:pPr>
              <w:pStyle w:val="TableText"/>
            </w:pPr>
            <w:r w:rsidRPr="00F34280">
              <w:t>Hauling shot rock to raw product stockpiles</w:t>
            </w:r>
          </w:p>
        </w:tc>
        <w:tc>
          <w:tcPr>
            <w:tcW w:w="1179" w:type="pct"/>
          </w:tcPr>
          <w:p w14:paraId="10E46698" w14:textId="77777777" w:rsidR="00B241C2" w:rsidRPr="00F34280" w:rsidRDefault="00B241C2" w:rsidP="002C53C9">
            <w:pPr>
              <w:pStyle w:val="TableText"/>
              <w:jc w:val="center"/>
              <w:cnfStyle w:val="000000000000" w:firstRow="0" w:lastRow="0" w:firstColumn="0" w:lastColumn="0" w:oddVBand="0" w:evenVBand="0" w:oddHBand="0" w:evenHBand="0" w:firstRowFirstColumn="0" w:firstRowLastColumn="0" w:lastRowFirstColumn="0" w:lastRowLastColumn="0"/>
            </w:pPr>
            <w:r w:rsidRPr="00F34280">
              <w:t>17,895</w:t>
            </w:r>
          </w:p>
        </w:tc>
        <w:tc>
          <w:tcPr>
            <w:tcW w:w="943" w:type="pct"/>
          </w:tcPr>
          <w:p w14:paraId="254096A2" w14:textId="77777777" w:rsidR="00B241C2" w:rsidRPr="00F34280" w:rsidRDefault="00B241C2" w:rsidP="002C53C9">
            <w:pPr>
              <w:pStyle w:val="TableText"/>
              <w:jc w:val="center"/>
              <w:cnfStyle w:val="000000000000" w:firstRow="0" w:lastRow="0" w:firstColumn="0" w:lastColumn="0" w:oddVBand="0" w:evenVBand="0" w:oddHBand="0" w:evenHBand="0" w:firstRowFirstColumn="0" w:firstRowLastColumn="0" w:lastRowFirstColumn="0" w:lastRowLastColumn="0"/>
            </w:pPr>
            <w:r w:rsidRPr="00F34280">
              <w:t>5,288</w:t>
            </w:r>
          </w:p>
        </w:tc>
        <w:tc>
          <w:tcPr>
            <w:tcW w:w="837" w:type="pct"/>
          </w:tcPr>
          <w:p w14:paraId="39DF8E48" w14:textId="77777777" w:rsidR="00B241C2" w:rsidRPr="00F34280" w:rsidRDefault="00B241C2" w:rsidP="002C53C9">
            <w:pPr>
              <w:pStyle w:val="TableText"/>
              <w:jc w:val="center"/>
              <w:cnfStyle w:val="000000000000" w:firstRow="0" w:lastRow="0" w:firstColumn="0" w:lastColumn="0" w:oddVBand="0" w:evenVBand="0" w:oddHBand="0" w:evenHBand="0" w:firstRowFirstColumn="0" w:firstRowLastColumn="0" w:lastRowFirstColumn="0" w:lastRowLastColumn="0"/>
            </w:pPr>
            <w:r w:rsidRPr="00F34280">
              <w:t>895</w:t>
            </w:r>
          </w:p>
        </w:tc>
      </w:tr>
      <w:tr w:rsidR="00B241C2" w:rsidRPr="00F34280" w14:paraId="36CDF5C8" w14:textId="77777777" w:rsidTr="002C53C9">
        <w:tc>
          <w:tcPr>
            <w:cnfStyle w:val="001000000000" w:firstRow="0" w:lastRow="0" w:firstColumn="1" w:lastColumn="0" w:oddVBand="0" w:evenVBand="0" w:oddHBand="0" w:evenHBand="0" w:firstRowFirstColumn="0" w:firstRowLastColumn="0" w:lastRowFirstColumn="0" w:lastRowLastColumn="0"/>
            <w:tcW w:w="2041" w:type="pct"/>
          </w:tcPr>
          <w:p w14:paraId="63633CCA" w14:textId="77777777" w:rsidR="00B241C2" w:rsidRPr="00F34280" w:rsidRDefault="00B241C2" w:rsidP="002C53C9">
            <w:pPr>
              <w:pStyle w:val="TableText"/>
            </w:pPr>
            <w:r w:rsidRPr="00F34280">
              <w:t>Loading raw product stockpiles</w:t>
            </w:r>
          </w:p>
        </w:tc>
        <w:tc>
          <w:tcPr>
            <w:tcW w:w="1179" w:type="pct"/>
          </w:tcPr>
          <w:p w14:paraId="712000A6" w14:textId="77777777" w:rsidR="00B241C2" w:rsidRPr="00F34280" w:rsidRDefault="00B241C2" w:rsidP="002C53C9">
            <w:pPr>
              <w:pStyle w:val="TableText"/>
              <w:jc w:val="center"/>
              <w:cnfStyle w:val="000000000000" w:firstRow="0" w:lastRow="0" w:firstColumn="0" w:lastColumn="0" w:oddVBand="0" w:evenVBand="0" w:oddHBand="0" w:evenHBand="0" w:firstRowFirstColumn="0" w:firstRowLastColumn="0" w:lastRowFirstColumn="0" w:lastRowLastColumn="0"/>
            </w:pPr>
            <w:r w:rsidRPr="00F34280">
              <w:t>1,200</w:t>
            </w:r>
          </w:p>
        </w:tc>
        <w:tc>
          <w:tcPr>
            <w:tcW w:w="943" w:type="pct"/>
          </w:tcPr>
          <w:p w14:paraId="73C5D664" w14:textId="77777777" w:rsidR="00B241C2" w:rsidRPr="00F34280" w:rsidRDefault="00B241C2" w:rsidP="002C53C9">
            <w:pPr>
              <w:pStyle w:val="TableText"/>
              <w:jc w:val="center"/>
              <w:cnfStyle w:val="000000000000" w:firstRow="0" w:lastRow="0" w:firstColumn="0" w:lastColumn="0" w:oddVBand="0" w:evenVBand="0" w:oddHBand="0" w:evenHBand="0" w:firstRowFirstColumn="0" w:firstRowLastColumn="0" w:lastRowFirstColumn="0" w:lastRowLastColumn="0"/>
            </w:pPr>
            <w:r w:rsidRPr="00F34280">
              <w:t>510</w:t>
            </w:r>
          </w:p>
        </w:tc>
        <w:tc>
          <w:tcPr>
            <w:tcW w:w="837" w:type="pct"/>
          </w:tcPr>
          <w:p w14:paraId="07BE9E5C" w14:textId="77777777" w:rsidR="00B241C2" w:rsidRPr="00F34280" w:rsidRDefault="00B241C2" w:rsidP="002C53C9">
            <w:pPr>
              <w:pStyle w:val="TableText"/>
              <w:jc w:val="center"/>
              <w:cnfStyle w:val="000000000000" w:firstRow="0" w:lastRow="0" w:firstColumn="0" w:lastColumn="0" w:oddVBand="0" w:evenVBand="0" w:oddHBand="0" w:evenHBand="0" w:firstRowFirstColumn="0" w:firstRowLastColumn="0" w:lastRowFirstColumn="0" w:lastRowLastColumn="0"/>
            </w:pPr>
            <w:r w:rsidRPr="00F34280">
              <w:t>60</w:t>
            </w:r>
          </w:p>
        </w:tc>
      </w:tr>
      <w:tr w:rsidR="00B241C2" w:rsidRPr="00F34280" w14:paraId="2F95C85C" w14:textId="77777777" w:rsidTr="002C53C9">
        <w:tc>
          <w:tcPr>
            <w:cnfStyle w:val="001000000000" w:firstRow="0" w:lastRow="0" w:firstColumn="1" w:lastColumn="0" w:oddVBand="0" w:evenVBand="0" w:oddHBand="0" w:evenHBand="0" w:firstRowFirstColumn="0" w:firstRowLastColumn="0" w:lastRowFirstColumn="0" w:lastRowLastColumn="0"/>
            <w:tcW w:w="2041" w:type="pct"/>
          </w:tcPr>
          <w:p w14:paraId="165AC2A4" w14:textId="77777777" w:rsidR="00B241C2" w:rsidRPr="00F34280" w:rsidRDefault="00B241C2" w:rsidP="002C53C9">
            <w:pPr>
              <w:pStyle w:val="TableText"/>
            </w:pPr>
            <w:r w:rsidRPr="00F34280">
              <w:t>Loading shot rock to mobile crusher</w:t>
            </w:r>
          </w:p>
        </w:tc>
        <w:tc>
          <w:tcPr>
            <w:tcW w:w="1179" w:type="pct"/>
          </w:tcPr>
          <w:p w14:paraId="32E9BDE8" w14:textId="77777777" w:rsidR="00B241C2" w:rsidRPr="00F34280" w:rsidRDefault="00B241C2" w:rsidP="002C53C9">
            <w:pPr>
              <w:pStyle w:val="TableText"/>
              <w:jc w:val="center"/>
              <w:cnfStyle w:val="000000000000" w:firstRow="0" w:lastRow="0" w:firstColumn="0" w:lastColumn="0" w:oddVBand="0" w:evenVBand="0" w:oddHBand="0" w:evenHBand="0" w:firstRowFirstColumn="0" w:firstRowLastColumn="0" w:lastRowFirstColumn="0" w:lastRowLastColumn="0"/>
            </w:pPr>
            <w:r w:rsidRPr="00F34280">
              <w:t>1,798</w:t>
            </w:r>
          </w:p>
        </w:tc>
        <w:tc>
          <w:tcPr>
            <w:tcW w:w="943" w:type="pct"/>
          </w:tcPr>
          <w:p w14:paraId="4C274D30" w14:textId="77777777" w:rsidR="00B241C2" w:rsidRPr="00F34280" w:rsidRDefault="00B241C2" w:rsidP="002C53C9">
            <w:pPr>
              <w:pStyle w:val="TableText"/>
              <w:jc w:val="center"/>
              <w:cnfStyle w:val="000000000000" w:firstRow="0" w:lastRow="0" w:firstColumn="0" w:lastColumn="0" w:oddVBand="0" w:evenVBand="0" w:oddHBand="0" w:evenHBand="0" w:firstRowFirstColumn="0" w:firstRowLastColumn="0" w:lastRowFirstColumn="0" w:lastRowLastColumn="0"/>
            </w:pPr>
            <w:r w:rsidRPr="00F34280">
              <w:t>850</w:t>
            </w:r>
          </w:p>
        </w:tc>
        <w:tc>
          <w:tcPr>
            <w:tcW w:w="837" w:type="pct"/>
          </w:tcPr>
          <w:p w14:paraId="1AC91776" w14:textId="77777777" w:rsidR="00B241C2" w:rsidRPr="00F34280" w:rsidRDefault="00B241C2" w:rsidP="002C53C9">
            <w:pPr>
              <w:pStyle w:val="TableText"/>
              <w:jc w:val="center"/>
              <w:cnfStyle w:val="000000000000" w:firstRow="0" w:lastRow="0" w:firstColumn="0" w:lastColumn="0" w:oddVBand="0" w:evenVBand="0" w:oddHBand="0" w:evenHBand="0" w:firstRowFirstColumn="0" w:firstRowLastColumn="0" w:lastRowFirstColumn="0" w:lastRowLastColumn="0"/>
            </w:pPr>
            <w:r w:rsidRPr="00F34280">
              <w:t>90</w:t>
            </w:r>
          </w:p>
        </w:tc>
      </w:tr>
      <w:tr w:rsidR="00B241C2" w:rsidRPr="00F34280" w14:paraId="7E914AB7" w14:textId="77777777" w:rsidTr="002C53C9">
        <w:tc>
          <w:tcPr>
            <w:cnfStyle w:val="001000000000" w:firstRow="0" w:lastRow="0" w:firstColumn="1" w:lastColumn="0" w:oddVBand="0" w:evenVBand="0" w:oddHBand="0" w:evenHBand="0" w:firstRowFirstColumn="0" w:firstRowLastColumn="0" w:lastRowFirstColumn="0" w:lastRowLastColumn="0"/>
            <w:tcW w:w="2041" w:type="pct"/>
          </w:tcPr>
          <w:p w14:paraId="203437A2" w14:textId="77777777" w:rsidR="00B241C2" w:rsidRPr="00F34280" w:rsidRDefault="00B241C2" w:rsidP="002C53C9">
            <w:pPr>
              <w:pStyle w:val="TableText"/>
            </w:pPr>
            <w:r w:rsidRPr="00F34280">
              <w:t>Primary crushing</w:t>
            </w:r>
          </w:p>
        </w:tc>
        <w:tc>
          <w:tcPr>
            <w:tcW w:w="1179" w:type="pct"/>
          </w:tcPr>
          <w:p w14:paraId="0E46FCE6" w14:textId="77777777" w:rsidR="00B241C2" w:rsidRPr="00F34280" w:rsidRDefault="00B241C2" w:rsidP="002C53C9">
            <w:pPr>
              <w:pStyle w:val="TableText"/>
              <w:jc w:val="center"/>
              <w:cnfStyle w:val="000000000000" w:firstRow="0" w:lastRow="0" w:firstColumn="0" w:lastColumn="0" w:oddVBand="0" w:evenVBand="0" w:oddHBand="0" w:evenHBand="0" w:firstRowFirstColumn="0" w:firstRowLastColumn="0" w:lastRowFirstColumn="0" w:lastRowLastColumn="0"/>
            </w:pPr>
            <w:r w:rsidRPr="00F34280">
              <w:t>3,000</w:t>
            </w:r>
          </w:p>
        </w:tc>
        <w:tc>
          <w:tcPr>
            <w:tcW w:w="943" w:type="pct"/>
          </w:tcPr>
          <w:p w14:paraId="5460BC20" w14:textId="77777777" w:rsidR="00B241C2" w:rsidRPr="00F34280" w:rsidRDefault="00B241C2" w:rsidP="002C53C9">
            <w:pPr>
              <w:pStyle w:val="TableText"/>
              <w:jc w:val="center"/>
              <w:cnfStyle w:val="000000000000" w:firstRow="0" w:lastRow="0" w:firstColumn="0" w:lastColumn="0" w:oddVBand="0" w:evenVBand="0" w:oddHBand="0" w:evenHBand="0" w:firstRowFirstColumn="0" w:firstRowLastColumn="0" w:lastRowFirstColumn="0" w:lastRowLastColumn="0"/>
            </w:pPr>
            <w:r w:rsidRPr="00F34280">
              <w:t>1,200</w:t>
            </w:r>
          </w:p>
        </w:tc>
        <w:tc>
          <w:tcPr>
            <w:tcW w:w="837" w:type="pct"/>
          </w:tcPr>
          <w:p w14:paraId="1E1DF6C9" w14:textId="77777777" w:rsidR="00B241C2" w:rsidRPr="00F34280" w:rsidRDefault="00B241C2" w:rsidP="002C53C9">
            <w:pPr>
              <w:pStyle w:val="TableText"/>
              <w:jc w:val="center"/>
              <w:cnfStyle w:val="000000000000" w:firstRow="0" w:lastRow="0" w:firstColumn="0" w:lastColumn="0" w:oddVBand="0" w:evenVBand="0" w:oddHBand="0" w:evenHBand="0" w:firstRowFirstColumn="0" w:firstRowLastColumn="0" w:lastRowFirstColumn="0" w:lastRowLastColumn="0"/>
            </w:pPr>
            <w:r w:rsidRPr="00F34280">
              <w:t>150</w:t>
            </w:r>
          </w:p>
        </w:tc>
      </w:tr>
      <w:tr w:rsidR="00B241C2" w:rsidRPr="00F34280" w14:paraId="5A8497D5" w14:textId="77777777" w:rsidTr="002C53C9">
        <w:tc>
          <w:tcPr>
            <w:cnfStyle w:val="001000000000" w:firstRow="0" w:lastRow="0" w:firstColumn="1" w:lastColumn="0" w:oddVBand="0" w:evenVBand="0" w:oddHBand="0" w:evenHBand="0" w:firstRowFirstColumn="0" w:firstRowLastColumn="0" w:lastRowFirstColumn="0" w:lastRowLastColumn="0"/>
            <w:tcW w:w="2041" w:type="pct"/>
          </w:tcPr>
          <w:p w14:paraId="26EC5C8C" w14:textId="77777777" w:rsidR="00B241C2" w:rsidRPr="00F34280" w:rsidRDefault="00B241C2" w:rsidP="002C53C9">
            <w:pPr>
              <w:pStyle w:val="TableText"/>
            </w:pPr>
            <w:r w:rsidRPr="00F34280">
              <w:t>Secondary crushing</w:t>
            </w:r>
          </w:p>
        </w:tc>
        <w:tc>
          <w:tcPr>
            <w:tcW w:w="1179" w:type="pct"/>
          </w:tcPr>
          <w:p w14:paraId="54A72952" w14:textId="77777777" w:rsidR="00B241C2" w:rsidRPr="00F34280" w:rsidRDefault="00B241C2" w:rsidP="002C53C9">
            <w:pPr>
              <w:pStyle w:val="TableText"/>
              <w:jc w:val="center"/>
              <w:cnfStyle w:val="000000000000" w:firstRow="0" w:lastRow="0" w:firstColumn="0" w:lastColumn="0" w:oddVBand="0" w:evenVBand="0" w:oddHBand="0" w:evenHBand="0" w:firstRowFirstColumn="0" w:firstRowLastColumn="0" w:lastRowFirstColumn="0" w:lastRowLastColumn="0"/>
            </w:pPr>
            <w:r w:rsidRPr="00F34280">
              <w:t>9,000</w:t>
            </w:r>
          </w:p>
        </w:tc>
        <w:tc>
          <w:tcPr>
            <w:tcW w:w="943" w:type="pct"/>
          </w:tcPr>
          <w:p w14:paraId="2BE90D0D" w14:textId="77777777" w:rsidR="00B241C2" w:rsidRPr="00F34280" w:rsidRDefault="00B241C2" w:rsidP="002C53C9">
            <w:pPr>
              <w:pStyle w:val="TableText"/>
              <w:jc w:val="center"/>
              <w:cnfStyle w:val="000000000000" w:firstRow="0" w:lastRow="0" w:firstColumn="0" w:lastColumn="0" w:oddVBand="0" w:evenVBand="0" w:oddHBand="0" w:evenHBand="0" w:firstRowFirstColumn="0" w:firstRowLastColumn="0" w:lastRowFirstColumn="0" w:lastRowLastColumn="0"/>
            </w:pPr>
            <w:r w:rsidRPr="00F34280">
              <w:t>3,600</w:t>
            </w:r>
          </w:p>
        </w:tc>
        <w:tc>
          <w:tcPr>
            <w:tcW w:w="837" w:type="pct"/>
          </w:tcPr>
          <w:p w14:paraId="26A67288" w14:textId="77777777" w:rsidR="00B241C2" w:rsidRPr="00F34280" w:rsidRDefault="00B241C2" w:rsidP="002C53C9">
            <w:pPr>
              <w:pStyle w:val="TableText"/>
              <w:jc w:val="center"/>
              <w:cnfStyle w:val="000000000000" w:firstRow="0" w:lastRow="0" w:firstColumn="0" w:lastColumn="0" w:oddVBand="0" w:evenVBand="0" w:oddHBand="0" w:evenHBand="0" w:firstRowFirstColumn="0" w:firstRowLastColumn="0" w:lastRowFirstColumn="0" w:lastRowLastColumn="0"/>
            </w:pPr>
            <w:r w:rsidRPr="00F34280">
              <w:t>450</w:t>
            </w:r>
          </w:p>
        </w:tc>
      </w:tr>
      <w:tr w:rsidR="00B241C2" w:rsidRPr="00F34280" w14:paraId="43D46C13" w14:textId="77777777" w:rsidTr="002C53C9">
        <w:tc>
          <w:tcPr>
            <w:cnfStyle w:val="001000000000" w:firstRow="0" w:lastRow="0" w:firstColumn="1" w:lastColumn="0" w:oddVBand="0" w:evenVBand="0" w:oddHBand="0" w:evenHBand="0" w:firstRowFirstColumn="0" w:firstRowLastColumn="0" w:lastRowFirstColumn="0" w:lastRowLastColumn="0"/>
            <w:tcW w:w="2041" w:type="pct"/>
          </w:tcPr>
          <w:p w14:paraId="2BC1AAB6" w14:textId="77777777" w:rsidR="00B241C2" w:rsidRPr="00F34280" w:rsidRDefault="00B241C2" w:rsidP="002C53C9">
            <w:pPr>
              <w:pStyle w:val="TableText"/>
            </w:pPr>
            <w:r w:rsidRPr="00F34280">
              <w:t>Screening</w:t>
            </w:r>
          </w:p>
        </w:tc>
        <w:tc>
          <w:tcPr>
            <w:tcW w:w="1179" w:type="pct"/>
          </w:tcPr>
          <w:p w14:paraId="3FBEC3E9" w14:textId="77777777" w:rsidR="00B241C2" w:rsidRPr="00F34280" w:rsidRDefault="00B241C2" w:rsidP="002C53C9">
            <w:pPr>
              <w:pStyle w:val="TableText"/>
              <w:jc w:val="center"/>
              <w:cnfStyle w:val="000000000000" w:firstRow="0" w:lastRow="0" w:firstColumn="0" w:lastColumn="0" w:oddVBand="0" w:evenVBand="0" w:oddHBand="0" w:evenHBand="0" w:firstRowFirstColumn="0" w:firstRowLastColumn="0" w:lastRowFirstColumn="0" w:lastRowLastColumn="0"/>
            </w:pPr>
            <w:r w:rsidRPr="00F34280">
              <w:t>9,000</w:t>
            </w:r>
          </w:p>
        </w:tc>
        <w:tc>
          <w:tcPr>
            <w:tcW w:w="943" w:type="pct"/>
          </w:tcPr>
          <w:p w14:paraId="146E998A" w14:textId="77777777" w:rsidR="00B241C2" w:rsidRPr="00F34280" w:rsidRDefault="00B241C2" w:rsidP="002C53C9">
            <w:pPr>
              <w:pStyle w:val="TableText"/>
              <w:jc w:val="center"/>
              <w:cnfStyle w:val="000000000000" w:firstRow="0" w:lastRow="0" w:firstColumn="0" w:lastColumn="0" w:oddVBand="0" w:evenVBand="0" w:oddHBand="0" w:evenHBand="0" w:firstRowFirstColumn="0" w:firstRowLastColumn="0" w:lastRowFirstColumn="0" w:lastRowLastColumn="0"/>
            </w:pPr>
            <w:r w:rsidRPr="00F34280">
              <w:t>3,600</w:t>
            </w:r>
          </w:p>
        </w:tc>
        <w:tc>
          <w:tcPr>
            <w:tcW w:w="837" w:type="pct"/>
          </w:tcPr>
          <w:p w14:paraId="7204F914" w14:textId="77777777" w:rsidR="00B241C2" w:rsidRPr="00F34280" w:rsidRDefault="00B241C2" w:rsidP="002C53C9">
            <w:pPr>
              <w:pStyle w:val="TableText"/>
              <w:jc w:val="center"/>
              <w:cnfStyle w:val="000000000000" w:firstRow="0" w:lastRow="0" w:firstColumn="0" w:lastColumn="0" w:oddVBand="0" w:evenVBand="0" w:oddHBand="0" w:evenHBand="0" w:firstRowFirstColumn="0" w:firstRowLastColumn="0" w:lastRowFirstColumn="0" w:lastRowLastColumn="0"/>
            </w:pPr>
            <w:r w:rsidRPr="00F34280">
              <w:t>450</w:t>
            </w:r>
          </w:p>
        </w:tc>
      </w:tr>
      <w:tr w:rsidR="00B241C2" w:rsidRPr="00F34280" w14:paraId="2A0A59D1" w14:textId="77777777" w:rsidTr="002C53C9">
        <w:tc>
          <w:tcPr>
            <w:cnfStyle w:val="001000000000" w:firstRow="0" w:lastRow="0" w:firstColumn="1" w:lastColumn="0" w:oddVBand="0" w:evenVBand="0" w:oddHBand="0" w:evenHBand="0" w:firstRowFirstColumn="0" w:firstRowLastColumn="0" w:lastRowFirstColumn="0" w:lastRowLastColumn="0"/>
            <w:tcW w:w="2041" w:type="pct"/>
          </w:tcPr>
          <w:p w14:paraId="4742FFD3" w14:textId="77777777" w:rsidR="00B241C2" w:rsidRPr="00F34280" w:rsidRDefault="00B241C2" w:rsidP="002C53C9">
            <w:pPr>
              <w:pStyle w:val="TableText"/>
            </w:pPr>
            <w:r w:rsidRPr="00F34280">
              <w:t>Loading crushed product to stockpiles via conveyor</w:t>
            </w:r>
          </w:p>
        </w:tc>
        <w:tc>
          <w:tcPr>
            <w:tcW w:w="1179" w:type="pct"/>
          </w:tcPr>
          <w:p w14:paraId="705D2335" w14:textId="77777777" w:rsidR="00B241C2" w:rsidRPr="00F34280" w:rsidRDefault="00B241C2" w:rsidP="002C53C9">
            <w:pPr>
              <w:pStyle w:val="TableText"/>
              <w:jc w:val="center"/>
              <w:cnfStyle w:val="000000000000" w:firstRow="0" w:lastRow="0" w:firstColumn="0" w:lastColumn="0" w:oddVBand="0" w:evenVBand="0" w:oddHBand="0" w:evenHBand="0" w:firstRowFirstColumn="0" w:firstRowLastColumn="0" w:lastRowFirstColumn="0" w:lastRowLastColumn="0"/>
            </w:pPr>
            <w:r w:rsidRPr="00F34280">
              <w:t>1,798</w:t>
            </w:r>
          </w:p>
        </w:tc>
        <w:tc>
          <w:tcPr>
            <w:tcW w:w="943" w:type="pct"/>
          </w:tcPr>
          <w:p w14:paraId="401C9520" w14:textId="77777777" w:rsidR="00B241C2" w:rsidRPr="00F34280" w:rsidRDefault="00B241C2" w:rsidP="002C53C9">
            <w:pPr>
              <w:pStyle w:val="TableText"/>
              <w:jc w:val="center"/>
              <w:cnfStyle w:val="000000000000" w:firstRow="0" w:lastRow="0" w:firstColumn="0" w:lastColumn="0" w:oddVBand="0" w:evenVBand="0" w:oddHBand="0" w:evenHBand="0" w:firstRowFirstColumn="0" w:firstRowLastColumn="0" w:lastRowFirstColumn="0" w:lastRowLastColumn="0"/>
            </w:pPr>
            <w:r w:rsidRPr="00F34280">
              <w:t>850</w:t>
            </w:r>
          </w:p>
        </w:tc>
        <w:tc>
          <w:tcPr>
            <w:tcW w:w="837" w:type="pct"/>
          </w:tcPr>
          <w:p w14:paraId="2391C39E" w14:textId="77777777" w:rsidR="00B241C2" w:rsidRPr="00F34280" w:rsidRDefault="00B241C2" w:rsidP="002C53C9">
            <w:pPr>
              <w:pStyle w:val="TableText"/>
              <w:jc w:val="center"/>
              <w:cnfStyle w:val="000000000000" w:firstRow="0" w:lastRow="0" w:firstColumn="0" w:lastColumn="0" w:oddVBand="0" w:evenVBand="0" w:oddHBand="0" w:evenHBand="0" w:firstRowFirstColumn="0" w:firstRowLastColumn="0" w:lastRowFirstColumn="0" w:lastRowLastColumn="0"/>
            </w:pPr>
            <w:r w:rsidRPr="00F34280">
              <w:t>90</w:t>
            </w:r>
          </w:p>
        </w:tc>
      </w:tr>
      <w:tr w:rsidR="00B241C2" w:rsidRPr="00F34280" w14:paraId="410E93FF" w14:textId="77777777" w:rsidTr="002C53C9">
        <w:tc>
          <w:tcPr>
            <w:cnfStyle w:val="001000000000" w:firstRow="0" w:lastRow="0" w:firstColumn="1" w:lastColumn="0" w:oddVBand="0" w:evenVBand="0" w:oddHBand="0" w:evenHBand="0" w:firstRowFirstColumn="0" w:firstRowLastColumn="0" w:lastRowFirstColumn="0" w:lastRowLastColumn="0"/>
            <w:tcW w:w="2041" w:type="pct"/>
          </w:tcPr>
          <w:p w14:paraId="6A248376" w14:textId="77777777" w:rsidR="00B241C2" w:rsidRPr="00F34280" w:rsidRDefault="00B241C2" w:rsidP="002C53C9">
            <w:pPr>
              <w:pStyle w:val="TableText"/>
            </w:pPr>
            <w:r w:rsidRPr="00F34280">
              <w:t>Loading crushed product to trucks</w:t>
            </w:r>
          </w:p>
        </w:tc>
        <w:tc>
          <w:tcPr>
            <w:tcW w:w="1179" w:type="pct"/>
          </w:tcPr>
          <w:p w14:paraId="15D42C39" w14:textId="77777777" w:rsidR="00B241C2" w:rsidRPr="00F34280" w:rsidRDefault="00B241C2" w:rsidP="002C53C9">
            <w:pPr>
              <w:pStyle w:val="TableText"/>
              <w:jc w:val="center"/>
              <w:cnfStyle w:val="000000000000" w:firstRow="0" w:lastRow="0" w:firstColumn="0" w:lastColumn="0" w:oddVBand="0" w:evenVBand="0" w:oddHBand="0" w:evenHBand="0" w:firstRowFirstColumn="0" w:firstRowLastColumn="0" w:lastRowFirstColumn="0" w:lastRowLastColumn="0"/>
            </w:pPr>
            <w:r w:rsidRPr="00F34280">
              <w:t>2,400</w:t>
            </w:r>
          </w:p>
        </w:tc>
        <w:tc>
          <w:tcPr>
            <w:tcW w:w="943" w:type="pct"/>
          </w:tcPr>
          <w:p w14:paraId="07B13ED5" w14:textId="77777777" w:rsidR="00B241C2" w:rsidRPr="00F34280" w:rsidRDefault="00B241C2" w:rsidP="002C53C9">
            <w:pPr>
              <w:pStyle w:val="TableText"/>
              <w:jc w:val="center"/>
              <w:cnfStyle w:val="000000000000" w:firstRow="0" w:lastRow="0" w:firstColumn="0" w:lastColumn="0" w:oddVBand="0" w:evenVBand="0" w:oddHBand="0" w:evenHBand="0" w:firstRowFirstColumn="0" w:firstRowLastColumn="0" w:lastRowFirstColumn="0" w:lastRowLastColumn="0"/>
            </w:pPr>
            <w:r w:rsidRPr="00F34280">
              <w:t>1,020</w:t>
            </w:r>
          </w:p>
        </w:tc>
        <w:tc>
          <w:tcPr>
            <w:tcW w:w="837" w:type="pct"/>
          </w:tcPr>
          <w:p w14:paraId="35C426BB" w14:textId="77777777" w:rsidR="00B241C2" w:rsidRPr="00F34280" w:rsidRDefault="00B241C2" w:rsidP="002C53C9">
            <w:pPr>
              <w:pStyle w:val="TableText"/>
              <w:jc w:val="center"/>
              <w:cnfStyle w:val="000000000000" w:firstRow="0" w:lastRow="0" w:firstColumn="0" w:lastColumn="0" w:oddVBand="0" w:evenVBand="0" w:oddHBand="0" w:evenHBand="0" w:firstRowFirstColumn="0" w:firstRowLastColumn="0" w:lastRowFirstColumn="0" w:lastRowLastColumn="0"/>
            </w:pPr>
            <w:r w:rsidRPr="00F34280">
              <w:t>120</w:t>
            </w:r>
          </w:p>
        </w:tc>
      </w:tr>
      <w:tr w:rsidR="00B241C2" w:rsidRPr="00F34280" w14:paraId="78BA557E" w14:textId="77777777" w:rsidTr="002C53C9">
        <w:tc>
          <w:tcPr>
            <w:cnfStyle w:val="001000000000" w:firstRow="0" w:lastRow="0" w:firstColumn="1" w:lastColumn="0" w:oddVBand="0" w:evenVBand="0" w:oddHBand="0" w:evenHBand="0" w:firstRowFirstColumn="0" w:firstRowLastColumn="0" w:lastRowFirstColumn="0" w:lastRowLastColumn="0"/>
            <w:tcW w:w="2041" w:type="pct"/>
          </w:tcPr>
          <w:p w14:paraId="67508316" w14:textId="77777777" w:rsidR="00B241C2" w:rsidRPr="00F34280" w:rsidRDefault="00B241C2" w:rsidP="002C53C9">
            <w:pPr>
              <w:pStyle w:val="TableText"/>
            </w:pPr>
            <w:r w:rsidRPr="00F34280">
              <w:t>Hauling crushed product off-site</w:t>
            </w:r>
          </w:p>
        </w:tc>
        <w:tc>
          <w:tcPr>
            <w:tcW w:w="1179" w:type="pct"/>
          </w:tcPr>
          <w:p w14:paraId="16C1E0F3" w14:textId="77777777" w:rsidR="00B241C2" w:rsidRPr="00F34280" w:rsidRDefault="00B241C2" w:rsidP="002C53C9">
            <w:pPr>
              <w:pStyle w:val="TableText"/>
              <w:jc w:val="center"/>
              <w:cnfStyle w:val="000000000000" w:firstRow="0" w:lastRow="0" w:firstColumn="0" w:lastColumn="0" w:oddVBand="0" w:evenVBand="0" w:oddHBand="0" w:evenHBand="0" w:firstRowFirstColumn="0" w:firstRowLastColumn="0" w:lastRowFirstColumn="0" w:lastRowLastColumn="0"/>
            </w:pPr>
            <w:r w:rsidRPr="00F34280">
              <w:t>21,086</w:t>
            </w:r>
          </w:p>
        </w:tc>
        <w:tc>
          <w:tcPr>
            <w:tcW w:w="943" w:type="pct"/>
          </w:tcPr>
          <w:p w14:paraId="26DF8AB8" w14:textId="77777777" w:rsidR="00B241C2" w:rsidRPr="00F34280" w:rsidRDefault="00B241C2" w:rsidP="002C53C9">
            <w:pPr>
              <w:pStyle w:val="TableText"/>
              <w:jc w:val="center"/>
              <w:cnfStyle w:val="000000000000" w:firstRow="0" w:lastRow="0" w:firstColumn="0" w:lastColumn="0" w:oddVBand="0" w:evenVBand="0" w:oddHBand="0" w:evenHBand="0" w:firstRowFirstColumn="0" w:firstRowLastColumn="0" w:lastRowFirstColumn="0" w:lastRowLastColumn="0"/>
            </w:pPr>
            <w:r w:rsidRPr="00F34280">
              <w:t>6,231</w:t>
            </w:r>
          </w:p>
        </w:tc>
        <w:tc>
          <w:tcPr>
            <w:tcW w:w="837" w:type="pct"/>
          </w:tcPr>
          <w:p w14:paraId="68D97069" w14:textId="77777777" w:rsidR="00B241C2" w:rsidRPr="00F34280" w:rsidRDefault="00B241C2" w:rsidP="002C53C9">
            <w:pPr>
              <w:pStyle w:val="TableText"/>
              <w:jc w:val="center"/>
              <w:cnfStyle w:val="000000000000" w:firstRow="0" w:lastRow="0" w:firstColumn="0" w:lastColumn="0" w:oddVBand="0" w:evenVBand="0" w:oddHBand="0" w:evenHBand="0" w:firstRowFirstColumn="0" w:firstRowLastColumn="0" w:lastRowFirstColumn="0" w:lastRowLastColumn="0"/>
            </w:pPr>
            <w:r w:rsidRPr="00F34280">
              <w:t>1,054</w:t>
            </w:r>
          </w:p>
        </w:tc>
      </w:tr>
      <w:tr w:rsidR="00B241C2" w:rsidRPr="00F34280" w14:paraId="08783924" w14:textId="77777777" w:rsidTr="002C53C9">
        <w:tc>
          <w:tcPr>
            <w:cnfStyle w:val="001000000000" w:firstRow="0" w:lastRow="0" w:firstColumn="1" w:lastColumn="0" w:oddVBand="0" w:evenVBand="0" w:oddHBand="0" w:evenHBand="0" w:firstRowFirstColumn="0" w:firstRowLastColumn="0" w:lastRowFirstColumn="0" w:lastRowLastColumn="0"/>
            <w:tcW w:w="2041" w:type="pct"/>
          </w:tcPr>
          <w:p w14:paraId="1F6EAB73" w14:textId="68C5187B" w:rsidR="00B241C2" w:rsidRPr="00F34280" w:rsidRDefault="00B241C2" w:rsidP="002C53C9">
            <w:pPr>
              <w:pStyle w:val="TableText"/>
            </w:pPr>
            <w:r w:rsidRPr="00F34280">
              <w:t>Wind erosion from exposed areas/dumps</w:t>
            </w:r>
          </w:p>
        </w:tc>
        <w:tc>
          <w:tcPr>
            <w:tcW w:w="1179" w:type="pct"/>
          </w:tcPr>
          <w:p w14:paraId="73B42B2C" w14:textId="77777777" w:rsidR="00B241C2" w:rsidRPr="00F34280" w:rsidRDefault="00B241C2" w:rsidP="002C53C9">
            <w:pPr>
              <w:pStyle w:val="TableText"/>
              <w:jc w:val="center"/>
              <w:cnfStyle w:val="000000000000" w:firstRow="0" w:lastRow="0" w:firstColumn="0" w:lastColumn="0" w:oddVBand="0" w:evenVBand="0" w:oddHBand="0" w:evenHBand="0" w:firstRowFirstColumn="0" w:firstRowLastColumn="0" w:lastRowFirstColumn="0" w:lastRowLastColumn="0"/>
            </w:pPr>
            <w:r w:rsidRPr="00F34280">
              <w:t>10,862</w:t>
            </w:r>
          </w:p>
        </w:tc>
        <w:tc>
          <w:tcPr>
            <w:tcW w:w="943" w:type="pct"/>
          </w:tcPr>
          <w:p w14:paraId="61E9335D" w14:textId="77777777" w:rsidR="00B241C2" w:rsidRPr="00F34280" w:rsidRDefault="00B241C2" w:rsidP="002C53C9">
            <w:pPr>
              <w:pStyle w:val="TableText"/>
              <w:jc w:val="center"/>
              <w:cnfStyle w:val="000000000000" w:firstRow="0" w:lastRow="0" w:firstColumn="0" w:lastColumn="0" w:oddVBand="0" w:evenVBand="0" w:oddHBand="0" w:evenHBand="0" w:firstRowFirstColumn="0" w:firstRowLastColumn="0" w:lastRowFirstColumn="0" w:lastRowLastColumn="0"/>
            </w:pPr>
            <w:r w:rsidRPr="00F34280">
              <w:t>5,431</w:t>
            </w:r>
          </w:p>
        </w:tc>
        <w:tc>
          <w:tcPr>
            <w:tcW w:w="837" w:type="pct"/>
          </w:tcPr>
          <w:p w14:paraId="4A6464B4" w14:textId="77777777" w:rsidR="00B241C2" w:rsidRPr="00F34280" w:rsidRDefault="00B241C2" w:rsidP="002C53C9">
            <w:pPr>
              <w:pStyle w:val="TableText"/>
              <w:jc w:val="center"/>
              <w:cnfStyle w:val="000000000000" w:firstRow="0" w:lastRow="0" w:firstColumn="0" w:lastColumn="0" w:oddVBand="0" w:evenVBand="0" w:oddHBand="0" w:evenHBand="0" w:firstRowFirstColumn="0" w:firstRowLastColumn="0" w:lastRowFirstColumn="0" w:lastRowLastColumn="0"/>
            </w:pPr>
            <w:r w:rsidRPr="00F34280">
              <w:t>815</w:t>
            </w:r>
          </w:p>
        </w:tc>
      </w:tr>
      <w:tr w:rsidR="00B241C2" w:rsidRPr="00F34280" w14:paraId="2DFA1144" w14:textId="77777777" w:rsidTr="002C53C9">
        <w:tc>
          <w:tcPr>
            <w:cnfStyle w:val="001000000000" w:firstRow="0" w:lastRow="0" w:firstColumn="1" w:lastColumn="0" w:oddVBand="0" w:evenVBand="0" w:oddHBand="0" w:evenHBand="0" w:firstRowFirstColumn="0" w:firstRowLastColumn="0" w:lastRowFirstColumn="0" w:lastRowLastColumn="0"/>
            <w:tcW w:w="2041" w:type="pct"/>
          </w:tcPr>
          <w:p w14:paraId="0734D533" w14:textId="77777777" w:rsidR="00B241C2" w:rsidRPr="00F34280" w:rsidRDefault="00B241C2" w:rsidP="002C53C9">
            <w:pPr>
              <w:pStyle w:val="TableText"/>
            </w:pPr>
            <w:r w:rsidRPr="00F34280">
              <w:t>Wind erosion from active stockpiles</w:t>
            </w:r>
          </w:p>
        </w:tc>
        <w:tc>
          <w:tcPr>
            <w:tcW w:w="1179" w:type="pct"/>
          </w:tcPr>
          <w:p w14:paraId="10E3C512" w14:textId="77777777" w:rsidR="00B241C2" w:rsidRPr="00F34280" w:rsidRDefault="00B241C2" w:rsidP="002C53C9">
            <w:pPr>
              <w:pStyle w:val="TableText"/>
              <w:jc w:val="center"/>
              <w:cnfStyle w:val="000000000000" w:firstRow="0" w:lastRow="0" w:firstColumn="0" w:lastColumn="0" w:oddVBand="0" w:evenVBand="0" w:oddHBand="0" w:evenHBand="0" w:firstRowFirstColumn="0" w:firstRowLastColumn="0" w:lastRowFirstColumn="0" w:lastRowLastColumn="0"/>
            </w:pPr>
            <w:r w:rsidRPr="00F34280">
              <w:t>3,329</w:t>
            </w:r>
          </w:p>
        </w:tc>
        <w:tc>
          <w:tcPr>
            <w:tcW w:w="943" w:type="pct"/>
          </w:tcPr>
          <w:p w14:paraId="0D0BF838" w14:textId="77777777" w:rsidR="00B241C2" w:rsidRPr="00F34280" w:rsidRDefault="00B241C2" w:rsidP="002C53C9">
            <w:pPr>
              <w:pStyle w:val="TableText"/>
              <w:jc w:val="center"/>
              <w:cnfStyle w:val="000000000000" w:firstRow="0" w:lastRow="0" w:firstColumn="0" w:lastColumn="0" w:oddVBand="0" w:evenVBand="0" w:oddHBand="0" w:evenHBand="0" w:firstRowFirstColumn="0" w:firstRowLastColumn="0" w:lastRowFirstColumn="0" w:lastRowLastColumn="0"/>
            </w:pPr>
            <w:r w:rsidRPr="00F34280">
              <w:t>1,664</w:t>
            </w:r>
          </w:p>
        </w:tc>
        <w:tc>
          <w:tcPr>
            <w:tcW w:w="837" w:type="pct"/>
          </w:tcPr>
          <w:p w14:paraId="1F3E240F" w14:textId="77777777" w:rsidR="00B241C2" w:rsidRPr="00F34280" w:rsidRDefault="00B241C2" w:rsidP="002C53C9">
            <w:pPr>
              <w:pStyle w:val="TableText"/>
              <w:jc w:val="center"/>
              <w:cnfStyle w:val="000000000000" w:firstRow="0" w:lastRow="0" w:firstColumn="0" w:lastColumn="0" w:oddVBand="0" w:evenVBand="0" w:oddHBand="0" w:evenHBand="0" w:firstRowFirstColumn="0" w:firstRowLastColumn="0" w:lastRowFirstColumn="0" w:lastRowLastColumn="0"/>
            </w:pPr>
            <w:r w:rsidRPr="00F34280">
              <w:t>250</w:t>
            </w:r>
          </w:p>
        </w:tc>
      </w:tr>
      <w:tr w:rsidR="00B241C2" w:rsidRPr="00F34280" w14:paraId="6266E564" w14:textId="77777777" w:rsidTr="002C53C9">
        <w:tc>
          <w:tcPr>
            <w:cnfStyle w:val="001000000000" w:firstRow="0" w:lastRow="0" w:firstColumn="1" w:lastColumn="0" w:oddVBand="0" w:evenVBand="0" w:oddHBand="0" w:evenHBand="0" w:firstRowFirstColumn="0" w:firstRowLastColumn="0" w:lastRowFirstColumn="0" w:lastRowLastColumn="0"/>
            <w:tcW w:w="2041" w:type="pct"/>
          </w:tcPr>
          <w:p w14:paraId="6D7531EC" w14:textId="77777777" w:rsidR="00B241C2" w:rsidRPr="00F34280" w:rsidRDefault="00B241C2" w:rsidP="002C53C9">
            <w:pPr>
              <w:pStyle w:val="TableText"/>
              <w:jc w:val="right"/>
            </w:pPr>
            <w:r w:rsidRPr="00F34280">
              <w:rPr>
                <w:b/>
              </w:rPr>
              <w:t>TOTAL</w:t>
            </w:r>
          </w:p>
        </w:tc>
        <w:tc>
          <w:tcPr>
            <w:tcW w:w="1179" w:type="pct"/>
          </w:tcPr>
          <w:p w14:paraId="44090ADE" w14:textId="77777777" w:rsidR="00B241C2" w:rsidRPr="00F34280" w:rsidRDefault="00B241C2" w:rsidP="002C53C9">
            <w:pPr>
              <w:pStyle w:val="TableText"/>
              <w:jc w:val="center"/>
              <w:cnfStyle w:val="000000000000" w:firstRow="0" w:lastRow="0" w:firstColumn="0" w:lastColumn="0" w:oddVBand="0" w:evenVBand="0" w:oddHBand="0" w:evenHBand="0" w:firstRowFirstColumn="0" w:firstRowLastColumn="0" w:lastRowFirstColumn="0" w:lastRowLastColumn="0"/>
            </w:pPr>
            <w:r w:rsidRPr="00F34280">
              <w:rPr>
                <w:b/>
              </w:rPr>
              <w:t>130,200</w:t>
            </w:r>
          </w:p>
        </w:tc>
        <w:tc>
          <w:tcPr>
            <w:tcW w:w="943" w:type="pct"/>
          </w:tcPr>
          <w:p w14:paraId="29F2C24A" w14:textId="77777777" w:rsidR="00B241C2" w:rsidRPr="00F34280" w:rsidRDefault="00B241C2" w:rsidP="002C53C9">
            <w:pPr>
              <w:pStyle w:val="TableText"/>
              <w:jc w:val="center"/>
              <w:cnfStyle w:val="000000000000" w:firstRow="0" w:lastRow="0" w:firstColumn="0" w:lastColumn="0" w:oddVBand="0" w:evenVBand="0" w:oddHBand="0" w:evenHBand="0" w:firstRowFirstColumn="0" w:firstRowLastColumn="0" w:lastRowFirstColumn="0" w:lastRowLastColumn="0"/>
            </w:pPr>
            <w:r w:rsidRPr="00F34280">
              <w:rPr>
                <w:b/>
              </w:rPr>
              <w:t>46,078</w:t>
            </w:r>
          </w:p>
        </w:tc>
        <w:tc>
          <w:tcPr>
            <w:tcW w:w="837" w:type="pct"/>
          </w:tcPr>
          <w:p w14:paraId="611449FA" w14:textId="77777777" w:rsidR="00B241C2" w:rsidRPr="00F34280" w:rsidRDefault="00B241C2" w:rsidP="002C53C9">
            <w:pPr>
              <w:pStyle w:val="TableText"/>
              <w:jc w:val="center"/>
              <w:cnfStyle w:val="000000000000" w:firstRow="0" w:lastRow="0" w:firstColumn="0" w:lastColumn="0" w:oddVBand="0" w:evenVBand="0" w:oddHBand="0" w:evenHBand="0" w:firstRowFirstColumn="0" w:firstRowLastColumn="0" w:lastRowFirstColumn="0" w:lastRowLastColumn="0"/>
              <w:rPr>
                <w:b/>
              </w:rPr>
            </w:pPr>
            <w:r w:rsidRPr="00F34280">
              <w:rPr>
                <w:b/>
              </w:rPr>
              <w:t>6,865</w:t>
            </w:r>
          </w:p>
        </w:tc>
      </w:tr>
    </w:tbl>
    <w:p w14:paraId="3029F09B" w14:textId="77777777" w:rsidR="00B241C2" w:rsidRPr="00F34280" w:rsidRDefault="00B241C2" w:rsidP="000675E5">
      <w:pPr>
        <w:pStyle w:val="Heading5"/>
      </w:pPr>
      <w:r w:rsidRPr="00F34280">
        <w:t>Air dispersion modelling</w:t>
      </w:r>
    </w:p>
    <w:p w14:paraId="54003A7B" w14:textId="23521537" w:rsidR="00B241C2" w:rsidRPr="00F34280" w:rsidRDefault="00B241C2" w:rsidP="00B241C2">
      <w:pPr>
        <w:pStyle w:val="BodyText"/>
      </w:pPr>
      <w:r w:rsidRPr="00F34280">
        <w:t xml:space="preserve">Air dispersion modelling was undertaken using the emission estimates in </w:t>
      </w:r>
      <w:r w:rsidRPr="00F34280">
        <w:fldChar w:fldCharType="begin"/>
      </w:r>
      <w:r w:rsidRPr="00F34280">
        <w:instrText xml:space="preserve"> REF _Ref76460350 \h </w:instrText>
      </w:r>
      <w:r w:rsidRPr="00F34280">
        <w:fldChar w:fldCharType="separate"/>
      </w:r>
      <w:r w:rsidR="009056B9" w:rsidRPr="000675E5">
        <w:t xml:space="preserve">Table </w:t>
      </w:r>
      <w:r w:rsidR="009056B9">
        <w:rPr>
          <w:noProof/>
        </w:rPr>
        <w:t>20</w:t>
      </w:r>
      <w:r w:rsidR="009056B9" w:rsidRPr="000675E5">
        <w:t>.</w:t>
      </w:r>
      <w:r w:rsidR="009056B9">
        <w:rPr>
          <w:noProof/>
        </w:rPr>
        <w:t>8</w:t>
      </w:r>
      <w:r w:rsidRPr="00F34280">
        <w:fldChar w:fldCharType="end"/>
      </w:r>
      <w:r w:rsidRPr="00F34280">
        <w:t xml:space="preserve"> and meteorological data, as discussed in Section </w:t>
      </w:r>
      <w:r w:rsidRPr="00F34280">
        <w:fldChar w:fldCharType="begin"/>
      </w:r>
      <w:r w:rsidRPr="00F34280">
        <w:instrText xml:space="preserve"> REF _Ref76556097 \n \h </w:instrText>
      </w:r>
      <w:r w:rsidRPr="00F34280">
        <w:fldChar w:fldCharType="separate"/>
      </w:r>
      <w:r w:rsidR="009056B9">
        <w:t>20.4.2</w:t>
      </w:r>
      <w:r w:rsidRPr="00F34280">
        <w:fldChar w:fldCharType="end"/>
      </w:r>
      <w:r w:rsidRPr="00F34280">
        <w:t>.</w:t>
      </w:r>
    </w:p>
    <w:p w14:paraId="2EE0868B" w14:textId="77777777" w:rsidR="003154B2" w:rsidRDefault="00B241C2" w:rsidP="00B241C2">
      <w:pPr>
        <w:pStyle w:val="BodyText"/>
      </w:pPr>
      <w:r w:rsidRPr="00F34280">
        <w:t>For the quarry area, modelling indicates that predicted ground-level concentrations near the quarry site boundary exceed the air quality standard for PM</w:t>
      </w:r>
      <w:r w:rsidRPr="00F34280">
        <w:rPr>
          <w:vertAlign w:val="subscript"/>
        </w:rPr>
        <w:t>10</w:t>
      </w:r>
      <w:r w:rsidRPr="00F34280">
        <w:t>, PM</w:t>
      </w:r>
      <w:r w:rsidRPr="00F34280">
        <w:rPr>
          <w:vertAlign w:val="subscript"/>
        </w:rPr>
        <w:t>2.5</w:t>
      </w:r>
      <w:r w:rsidRPr="00F34280">
        <w:t>, respirable crystalline silica and deposited dust during quarry operations. Of these particulate emissions, predicted PM</w:t>
      </w:r>
      <w:r w:rsidRPr="00F34280">
        <w:rPr>
          <w:vertAlign w:val="subscript"/>
        </w:rPr>
        <w:t>10</w:t>
      </w:r>
      <w:r w:rsidRPr="00F34280">
        <w:t xml:space="preserve"> concentrations for both the </w:t>
      </w:r>
      <w:r w:rsidR="000675E5">
        <w:br/>
      </w:r>
      <w:r w:rsidRPr="00F34280">
        <w:t xml:space="preserve">24-hour and annual average were modelled to have the greatest potential to impact ambient air quality, with </w:t>
      </w:r>
      <w:bookmarkStart w:id="132" w:name="_Hlk78358295"/>
      <w:r w:rsidRPr="00F34280">
        <w:t>elevated levels above the project standard (the most conservative standard taken from legislation) predicted up to 1,000 metres south beyond the quarry work authority boundary</w:t>
      </w:r>
      <w:bookmarkEnd w:id="132"/>
      <w:r w:rsidRPr="00F34280">
        <w:t xml:space="preserve">. The AERMOD contour maps for these particulate emissions </w:t>
      </w:r>
      <w:r w:rsidR="00595532" w:rsidRPr="00F34280">
        <w:t xml:space="preserve">for the quarry site and surrounds </w:t>
      </w:r>
      <w:r w:rsidRPr="00F34280">
        <w:t xml:space="preserve">are shown in </w:t>
      </w:r>
      <w:r w:rsidRPr="00F34280">
        <w:fldChar w:fldCharType="begin"/>
      </w:r>
      <w:r w:rsidRPr="00F34280">
        <w:instrText xml:space="preserve"> REF _Ref77671770 \h </w:instrText>
      </w:r>
      <w:r w:rsidRPr="00F34280">
        <w:fldChar w:fldCharType="separate"/>
      </w:r>
      <w:r w:rsidR="009056B9" w:rsidRPr="000675E5">
        <w:t xml:space="preserve">Figure </w:t>
      </w:r>
      <w:r w:rsidR="009056B9">
        <w:rPr>
          <w:noProof/>
        </w:rPr>
        <w:t>20</w:t>
      </w:r>
      <w:r w:rsidR="009056B9" w:rsidRPr="000675E5">
        <w:t>.</w:t>
      </w:r>
      <w:r w:rsidR="009056B9">
        <w:rPr>
          <w:noProof/>
        </w:rPr>
        <w:t>5</w:t>
      </w:r>
      <w:r w:rsidRPr="00F34280">
        <w:fldChar w:fldCharType="end"/>
      </w:r>
      <w:r w:rsidRPr="00F34280">
        <w:t xml:space="preserve"> (maximum 24-hour PM</w:t>
      </w:r>
      <w:r w:rsidRPr="00F34280">
        <w:rPr>
          <w:vertAlign w:val="subscript"/>
        </w:rPr>
        <w:t>10</w:t>
      </w:r>
      <w:r w:rsidRPr="00F34280">
        <w:t xml:space="preserve">) and </w:t>
      </w:r>
      <w:r w:rsidRPr="00F34280">
        <w:fldChar w:fldCharType="begin"/>
      </w:r>
      <w:r w:rsidRPr="00F34280">
        <w:instrText xml:space="preserve"> REF _Ref77673034 \h </w:instrText>
      </w:r>
      <w:r w:rsidRPr="00F34280">
        <w:fldChar w:fldCharType="separate"/>
      </w:r>
      <w:r w:rsidR="009056B9" w:rsidRPr="000675E5">
        <w:t xml:space="preserve">Figure </w:t>
      </w:r>
      <w:r w:rsidR="009056B9">
        <w:rPr>
          <w:noProof/>
        </w:rPr>
        <w:t>20</w:t>
      </w:r>
      <w:r w:rsidR="009056B9" w:rsidRPr="000675E5">
        <w:t>.</w:t>
      </w:r>
      <w:r w:rsidR="009056B9">
        <w:rPr>
          <w:noProof/>
        </w:rPr>
        <w:t>6</w:t>
      </w:r>
      <w:r w:rsidRPr="00F34280">
        <w:fldChar w:fldCharType="end"/>
      </w:r>
      <w:r w:rsidRPr="00F34280">
        <w:t xml:space="preserve"> (annual average PM</w:t>
      </w:r>
      <w:r w:rsidRPr="00F34280">
        <w:rPr>
          <w:vertAlign w:val="subscript"/>
        </w:rPr>
        <w:t>10</w:t>
      </w:r>
      <w:r w:rsidRPr="00F34280">
        <w:t>). However, at the nearest sensitive receptor site (a participating landowner, 1.4 kilometres east), the predicted ground-level concentrations do not exceed the project standards for all air pollutants emitted from the quarry operations. As such, there is a low potential for air quality impacts at this site or other sites further away.</w:t>
      </w:r>
    </w:p>
    <w:p w14:paraId="0A18E670" w14:textId="616305C0" w:rsidR="009056B9" w:rsidRPr="009056B9" w:rsidRDefault="009056B9" w:rsidP="009056B9">
      <w:pPr>
        <w:sectPr w:rsidR="009056B9" w:rsidRPr="009056B9" w:rsidSect="00B241C2">
          <w:pgSz w:w="11907" w:h="16839" w:code="9"/>
          <w:pgMar w:top="1276" w:right="1418" w:bottom="1134" w:left="1418" w:header="709" w:footer="284" w:gutter="0"/>
          <w:pgNumType w:chapStyle="1"/>
          <w:cols w:space="708"/>
          <w:docGrid w:linePitch="360"/>
        </w:sectPr>
      </w:pPr>
    </w:p>
    <w:p w14:paraId="6A5EF3E9" w14:textId="0C2EB610" w:rsidR="003154B2" w:rsidRPr="00FE6524" w:rsidRDefault="009056B9" w:rsidP="0023075B">
      <w:pPr>
        <w:pStyle w:val="BodyText"/>
      </w:pPr>
      <w:r>
        <w:rPr>
          <w:noProof/>
        </w:rPr>
        <w:lastRenderedPageBreak/>
        <w:drawing>
          <wp:anchor distT="0" distB="0" distL="114300" distR="114300" simplePos="0" relativeHeight="251666432" behindDoc="0" locked="0" layoutInCell="1" allowOverlap="1" wp14:anchorId="000F087F" wp14:editId="22681537">
            <wp:simplePos x="0" y="0"/>
            <wp:positionH relativeFrom="column">
              <wp:posOffset>-719352</wp:posOffset>
            </wp:positionH>
            <wp:positionV relativeFrom="paragraph">
              <wp:posOffset>-890905</wp:posOffset>
            </wp:positionV>
            <wp:extent cx="10692000" cy="7560740"/>
            <wp:effectExtent l="0" t="0" r="0" b="2540"/>
            <wp:wrapNone/>
            <wp:docPr id="9" name="Picture 9" descr="Aerial map showing the location of the on-site quarry and sensitive receptors, and AERMOD contours for the project standard and modelled maximum PM10 ground-level concentrations for the 24-hour av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erial map showing the location of the on-site quarry and sensitive receptors, and AERMOD contours for the project standard and modelled maximum PM10 ground-level concentrations for the 24-hour average"/>
                    <pic:cNvPicPr/>
                  </pic:nvPicPr>
                  <pic:blipFill>
                    <a:blip r:embed="rId21">
                      <a:extLst>
                        <a:ext uri="{28A0092B-C50C-407E-A947-70E740481C1C}">
                          <a14:useLocalDpi xmlns:a14="http://schemas.microsoft.com/office/drawing/2010/main" val="0"/>
                        </a:ext>
                      </a:extLst>
                    </a:blip>
                    <a:stretch>
                      <a:fillRect/>
                    </a:stretch>
                  </pic:blipFill>
                  <pic:spPr>
                    <a:xfrm>
                      <a:off x="0" y="0"/>
                      <a:ext cx="10692000" cy="7560740"/>
                    </a:xfrm>
                    <a:prstGeom prst="rect">
                      <a:avLst/>
                    </a:prstGeom>
                  </pic:spPr>
                </pic:pic>
              </a:graphicData>
            </a:graphic>
            <wp14:sizeRelH relativeFrom="page">
              <wp14:pctWidth>0</wp14:pctWidth>
            </wp14:sizeRelH>
            <wp14:sizeRelV relativeFrom="page">
              <wp14:pctHeight>0</wp14:pctHeight>
            </wp14:sizeRelV>
          </wp:anchor>
        </w:drawing>
      </w:r>
    </w:p>
    <w:p w14:paraId="57C01C6B" w14:textId="4D81EB5A" w:rsidR="003154B2" w:rsidRDefault="003154B2" w:rsidP="003154B2">
      <w:pPr>
        <w:pStyle w:val="Caption"/>
        <w:keepNext w:val="0"/>
      </w:pPr>
      <w:bookmarkStart w:id="133" w:name="_Ref77671770"/>
      <w:bookmarkStart w:id="134" w:name="_Toc105144206"/>
      <w:r w:rsidRPr="000675E5">
        <w:t xml:space="preserve">Figure </w:t>
      </w:r>
      <w:r w:rsidR="00A75519">
        <w:fldChar w:fldCharType="begin"/>
      </w:r>
      <w:r w:rsidR="00A75519">
        <w:instrText xml:space="preserve"> STYLEREF 1 \s </w:instrText>
      </w:r>
      <w:r w:rsidR="00A75519">
        <w:fldChar w:fldCharType="separate"/>
      </w:r>
      <w:r w:rsidR="009056B9">
        <w:rPr>
          <w:noProof/>
        </w:rPr>
        <w:t>20</w:t>
      </w:r>
      <w:r w:rsidR="00A75519">
        <w:rPr>
          <w:noProof/>
        </w:rPr>
        <w:fldChar w:fldCharType="end"/>
      </w:r>
      <w:r w:rsidRPr="000675E5">
        <w:t>.</w:t>
      </w:r>
      <w:r w:rsidR="00A75519">
        <w:fldChar w:fldCharType="begin"/>
      </w:r>
      <w:r w:rsidR="00A75519">
        <w:instrText xml:space="preserve"> SEQ Figure \* ARABIC \s 1 </w:instrText>
      </w:r>
      <w:r w:rsidR="00A75519">
        <w:fldChar w:fldCharType="separate"/>
      </w:r>
      <w:r w:rsidR="009056B9">
        <w:rPr>
          <w:noProof/>
        </w:rPr>
        <w:t>5</w:t>
      </w:r>
      <w:r w:rsidR="00A75519">
        <w:rPr>
          <w:noProof/>
        </w:rPr>
        <w:fldChar w:fldCharType="end"/>
      </w:r>
      <w:bookmarkEnd w:id="133"/>
      <w:r w:rsidRPr="000675E5">
        <w:tab/>
        <w:t>Maximum PM</w:t>
      </w:r>
      <w:r w:rsidRPr="000675E5">
        <w:rPr>
          <w:vertAlign w:val="subscript"/>
        </w:rPr>
        <w:t>10</w:t>
      </w:r>
      <w:r w:rsidRPr="000675E5">
        <w:t xml:space="preserve"> ground-level concentrations for the 24-hour average (µg per m</w:t>
      </w:r>
      <w:r w:rsidRPr="000675E5">
        <w:rPr>
          <w:vertAlign w:val="superscript"/>
        </w:rPr>
        <w:t>3</w:t>
      </w:r>
      <w:r w:rsidRPr="000675E5">
        <w:t>)</w:t>
      </w:r>
      <w:bookmarkEnd w:id="134"/>
    </w:p>
    <w:p w14:paraId="65AA8CE8" w14:textId="77C3C0D5" w:rsidR="009056B9" w:rsidRDefault="009056B9">
      <w:pPr>
        <w:spacing w:before="0" w:after="160" w:line="259" w:lineRule="auto"/>
        <w:rPr>
          <w:noProof/>
        </w:rPr>
      </w:pPr>
      <w:r>
        <w:rPr>
          <w:noProof/>
        </w:rPr>
        <w:br w:type="page"/>
      </w:r>
    </w:p>
    <w:p w14:paraId="2BC995A1" w14:textId="4FD22B90" w:rsidR="003154B2" w:rsidRPr="00500B73" w:rsidRDefault="009056B9" w:rsidP="0023075B">
      <w:pPr>
        <w:pStyle w:val="BodyText"/>
      </w:pPr>
      <w:r>
        <w:rPr>
          <w:noProof/>
        </w:rPr>
        <w:lastRenderedPageBreak/>
        <w:drawing>
          <wp:anchor distT="0" distB="0" distL="114300" distR="114300" simplePos="0" relativeHeight="251667456" behindDoc="0" locked="0" layoutInCell="1" allowOverlap="1" wp14:anchorId="4CDE14CB" wp14:editId="1D045F90">
            <wp:simplePos x="0" y="0"/>
            <wp:positionH relativeFrom="column">
              <wp:posOffset>-710565</wp:posOffset>
            </wp:positionH>
            <wp:positionV relativeFrom="paragraph">
              <wp:posOffset>-890905</wp:posOffset>
            </wp:positionV>
            <wp:extent cx="10692000" cy="7560581"/>
            <wp:effectExtent l="0" t="0" r="0" b="2540"/>
            <wp:wrapNone/>
            <wp:docPr id="7" name="Picture 7" descr="Aerial map showing the location of the on-site quarry and sensitive receptors, and AERMOD contours for the project standard and modelled maximum PM10 ground-level concentrations for the annual av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erial map showing the location of the on-site quarry and sensitive receptors, and AERMOD contours for the project standard and modelled maximum PM10 ground-level concentrations for the annual average"/>
                    <pic:cNvPicPr/>
                  </pic:nvPicPr>
                  <pic:blipFill>
                    <a:blip r:embed="rId22">
                      <a:extLst>
                        <a:ext uri="{28A0092B-C50C-407E-A947-70E740481C1C}">
                          <a14:useLocalDpi xmlns:a14="http://schemas.microsoft.com/office/drawing/2010/main" val="0"/>
                        </a:ext>
                      </a:extLst>
                    </a:blip>
                    <a:stretch>
                      <a:fillRect/>
                    </a:stretch>
                  </pic:blipFill>
                  <pic:spPr>
                    <a:xfrm>
                      <a:off x="0" y="0"/>
                      <a:ext cx="10692000" cy="7560581"/>
                    </a:xfrm>
                    <a:prstGeom prst="rect">
                      <a:avLst/>
                    </a:prstGeom>
                  </pic:spPr>
                </pic:pic>
              </a:graphicData>
            </a:graphic>
            <wp14:sizeRelH relativeFrom="page">
              <wp14:pctWidth>0</wp14:pctWidth>
            </wp14:sizeRelH>
            <wp14:sizeRelV relativeFrom="page">
              <wp14:pctHeight>0</wp14:pctHeight>
            </wp14:sizeRelV>
          </wp:anchor>
        </w:drawing>
      </w:r>
    </w:p>
    <w:p w14:paraId="5AEC7DA4" w14:textId="6BCB46DC" w:rsidR="003154B2" w:rsidRPr="000675E5" w:rsidRDefault="003154B2" w:rsidP="003154B2">
      <w:pPr>
        <w:pStyle w:val="Caption"/>
      </w:pPr>
      <w:bookmarkStart w:id="135" w:name="_Ref77673034"/>
      <w:bookmarkStart w:id="136" w:name="_Toc105144207"/>
      <w:r w:rsidRPr="000675E5">
        <w:t xml:space="preserve">Figure </w:t>
      </w:r>
      <w:r w:rsidR="00A75519">
        <w:fldChar w:fldCharType="begin"/>
      </w:r>
      <w:r w:rsidR="00A75519">
        <w:instrText xml:space="preserve"> STYLEREF 1 \s </w:instrText>
      </w:r>
      <w:r w:rsidR="00A75519">
        <w:fldChar w:fldCharType="separate"/>
      </w:r>
      <w:r w:rsidR="009056B9">
        <w:rPr>
          <w:noProof/>
        </w:rPr>
        <w:t>20</w:t>
      </w:r>
      <w:r w:rsidR="00A75519">
        <w:rPr>
          <w:noProof/>
        </w:rPr>
        <w:fldChar w:fldCharType="end"/>
      </w:r>
      <w:r w:rsidRPr="000675E5">
        <w:t>.</w:t>
      </w:r>
      <w:r w:rsidR="00A75519">
        <w:fldChar w:fldCharType="begin"/>
      </w:r>
      <w:r w:rsidR="00A75519">
        <w:instrText xml:space="preserve"> SEQ Figure \* ARABIC \s 1 </w:instrText>
      </w:r>
      <w:r w:rsidR="00A75519">
        <w:fldChar w:fldCharType="separate"/>
      </w:r>
      <w:r w:rsidR="009056B9">
        <w:rPr>
          <w:noProof/>
        </w:rPr>
        <w:t>6</w:t>
      </w:r>
      <w:r w:rsidR="00A75519">
        <w:rPr>
          <w:noProof/>
        </w:rPr>
        <w:fldChar w:fldCharType="end"/>
      </w:r>
      <w:bookmarkEnd w:id="135"/>
      <w:r w:rsidRPr="000675E5">
        <w:tab/>
        <w:t>PM</w:t>
      </w:r>
      <w:r w:rsidRPr="000675E5">
        <w:rPr>
          <w:vertAlign w:val="subscript"/>
        </w:rPr>
        <w:t>10</w:t>
      </w:r>
      <w:r w:rsidRPr="000675E5">
        <w:t xml:space="preserve"> ground-level concentrations for the annual average (µg per m</w:t>
      </w:r>
      <w:r w:rsidRPr="000675E5">
        <w:rPr>
          <w:vertAlign w:val="superscript"/>
        </w:rPr>
        <w:t>3</w:t>
      </w:r>
      <w:r w:rsidRPr="000675E5">
        <w:t>)</w:t>
      </w:r>
      <w:bookmarkEnd w:id="136"/>
      <w:r w:rsidRPr="000675E5">
        <w:t xml:space="preserve"> </w:t>
      </w:r>
    </w:p>
    <w:p w14:paraId="24F963F9" w14:textId="54E7309D" w:rsidR="003154B2" w:rsidRDefault="003154B2" w:rsidP="00B241C2">
      <w:pPr>
        <w:pStyle w:val="BodyText"/>
        <w:sectPr w:rsidR="003154B2" w:rsidSect="0023075B">
          <w:pgSz w:w="16839" w:h="11907" w:orient="landscape" w:code="9"/>
          <w:pgMar w:top="1418" w:right="1276" w:bottom="1418" w:left="1134" w:header="709" w:footer="284" w:gutter="0"/>
          <w:pgNumType w:chapStyle="1"/>
          <w:cols w:space="708"/>
          <w:docGrid w:linePitch="360"/>
        </w:sectPr>
      </w:pPr>
    </w:p>
    <w:p w14:paraId="0138C0D2" w14:textId="05F1EF9C" w:rsidR="00B241C2" w:rsidRPr="00F34280" w:rsidRDefault="00B241C2" w:rsidP="00B241C2">
      <w:pPr>
        <w:pStyle w:val="BodyText"/>
      </w:pPr>
      <w:r w:rsidRPr="00F34280">
        <w:lastRenderedPageBreak/>
        <w:t xml:space="preserve">A summary of the maximum predicted ambient ground-level concentrations for all grid points in the quarry model area and across all sensitive receptor sites is provided in </w:t>
      </w:r>
      <w:r w:rsidRPr="00F34280">
        <w:rPr>
          <w:highlight w:val="yellow"/>
        </w:rPr>
        <w:fldChar w:fldCharType="begin"/>
      </w:r>
      <w:r w:rsidRPr="00F34280">
        <w:instrText xml:space="preserve"> REF _Ref76460391 \h </w:instrText>
      </w:r>
      <w:r w:rsidRPr="00F34280">
        <w:rPr>
          <w:highlight w:val="yellow"/>
        </w:rPr>
      </w:r>
      <w:r w:rsidRPr="00F34280">
        <w:rPr>
          <w:highlight w:val="yellow"/>
        </w:rPr>
        <w:fldChar w:fldCharType="separate"/>
      </w:r>
      <w:r w:rsidR="009056B9" w:rsidRPr="000675E5">
        <w:t xml:space="preserve">Table </w:t>
      </w:r>
      <w:r w:rsidR="009056B9">
        <w:rPr>
          <w:noProof/>
        </w:rPr>
        <w:t>20</w:t>
      </w:r>
      <w:r w:rsidR="009056B9" w:rsidRPr="000675E5">
        <w:t>.</w:t>
      </w:r>
      <w:r w:rsidR="009056B9">
        <w:rPr>
          <w:noProof/>
        </w:rPr>
        <w:t>9</w:t>
      </w:r>
      <w:r w:rsidRPr="00F34280">
        <w:rPr>
          <w:highlight w:val="yellow"/>
        </w:rPr>
        <w:fldChar w:fldCharType="end"/>
      </w:r>
      <w:r w:rsidRPr="00F34280">
        <w:t xml:space="preserve"> below. </w:t>
      </w:r>
    </w:p>
    <w:p w14:paraId="7949D62F" w14:textId="12FA65B9" w:rsidR="00B241C2" w:rsidRPr="000675E5" w:rsidRDefault="00B241C2" w:rsidP="000675E5">
      <w:pPr>
        <w:pStyle w:val="Caption"/>
      </w:pPr>
      <w:bookmarkStart w:id="137" w:name="_Ref76460391"/>
      <w:bookmarkStart w:id="138" w:name="_Toc84595794"/>
      <w:bookmarkStart w:id="139" w:name="_Toc105144200"/>
      <w:r w:rsidRPr="000675E5">
        <w:t xml:space="preserve">Table </w:t>
      </w:r>
      <w:fldSimple w:instr=" STYLEREF 1 \s ">
        <w:r w:rsidR="009056B9">
          <w:rPr>
            <w:noProof/>
          </w:rPr>
          <w:t>20</w:t>
        </w:r>
      </w:fldSimple>
      <w:r w:rsidRPr="000675E5">
        <w:t>.</w:t>
      </w:r>
      <w:fldSimple w:instr=" SEQ Table \* ARABIC \s 1 ">
        <w:r w:rsidR="009056B9">
          <w:rPr>
            <w:noProof/>
          </w:rPr>
          <w:t>9</w:t>
        </w:r>
      </w:fldSimple>
      <w:bookmarkEnd w:id="137"/>
      <w:r w:rsidRPr="000675E5">
        <w:tab/>
        <w:t>Summary of AERMOD model results</w:t>
      </w:r>
      <w:bookmarkEnd w:id="138"/>
      <w:bookmarkEnd w:id="139"/>
    </w:p>
    <w:tbl>
      <w:tblPr>
        <w:tblStyle w:val="Table1"/>
        <w:tblW w:w="5000" w:type="pct"/>
        <w:tblLook w:val="04A0" w:firstRow="1" w:lastRow="0" w:firstColumn="1" w:lastColumn="0" w:noHBand="0" w:noVBand="1"/>
      </w:tblPr>
      <w:tblGrid>
        <w:gridCol w:w="1559"/>
        <w:gridCol w:w="1291"/>
        <w:gridCol w:w="1119"/>
        <w:gridCol w:w="1161"/>
        <w:gridCol w:w="1849"/>
        <w:gridCol w:w="2092"/>
      </w:tblGrid>
      <w:tr w:rsidR="00B241C2" w:rsidRPr="00F34280" w14:paraId="45D7B0BA" w14:textId="77777777" w:rsidTr="000675E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59" w:type="pct"/>
            <w:vMerge w:val="restart"/>
          </w:tcPr>
          <w:p w14:paraId="20AAB520" w14:textId="77777777" w:rsidR="00B241C2" w:rsidRPr="00F34280" w:rsidRDefault="00B241C2" w:rsidP="000675E5">
            <w:pPr>
              <w:pStyle w:val="TableHeading"/>
            </w:pPr>
            <w:r w:rsidRPr="00F34280">
              <w:t>Assessment parameter</w:t>
            </w:r>
          </w:p>
        </w:tc>
        <w:tc>
          <w:tcPr>
            <w:tcW w:w="711" w:type="pct"/>
            <w:vMerge w:val="restart"/>
          </w:tcPr>
          <w:p w14:paraId="4FF348CB" w14:textId="77777777" w:rsidR="00B241C2" w:rsidRPr="00F34280" w:rsidRDefault="00B241C2" w:rsidP="000675E5">
            <w:pPr>
              <w:pStyle w:val="TableHeading"/>
              <w:cnfStyle w:val="100000000000" w:firstRow="1" w:lastRow="0" w:firstColumn="0" w:lastColumn="0" w:oddVBand="0" w:evenVBand="0" w:oddHBand="0" w:evenHBand="0" w:firstRowFirstColumn="0" w:firstRowLastColumn="0" w:lastRowFirstColumn="0" w:lastRowLastColumn="0"/>
            </w:pPr>
            <w:r w:rsidRPr="00F34280">
              <w:t>Averaging time</w:t>
            </w:r>
          </w:p>
        </w:tc>
        <w:tc>
          <w:tcPr>
            <w:tcW w:w="617" w:type="pct"/>
            <w:vMerge w:val="restart"/>
          </w:tcPr>
          <w:p w14:paraId="433C681E" w14:textId="73F52605" w:rsidR="00B241C2" w:rsidRPr="00F34280" w:rsidRDefault="00B241C2" w:rsidP="000675E5">
            <w:pPr>
              <w:pStyle w:val="TableHeading"/>
              <w:cnfStyle w:val="100000000000" w:firstRow="1" w:lastRow="0" w:firstColumn="0" w:lastColumn="0" w:oddVBand="0" w:evenVBand="0" w:oddHBand="0" w:evenHBand="0" w:firstRowFirstColumn="0" w:firstRowLastColumn="0" w:lastRowFirstColumn="0" w:lastRowLastColumn="0"/>
            </w:pPr>
            <w:r w:rsidRPr="00F34280">
              <w:t>Units</w:t>
            </w:r>
          </w:p>
        </w:tc>
        <w:tc>
          <w:tcPr>
            <w:tcW w:w="640" w:type="pct"/>
            <w:vMerge w:val="restart"/>
          </w:tcPr>
          <w:p w14:paraId="7F730E9A" w14:textId="77777777" w:rsidR="00B241C2" w:rsidRPr="00F34280" w:rsidRDefault="00B241C2" w:rsidP="002C53C9">
            <w:pPr>
              <w:pStyle w:val="TableHeading"/>
              <w:jc w:val="center"/>
              <w:cnfStyle w:val="100000000000" w:firstRow="1" w:lastRow="0" w:firstColumn="0" w:lastColumn="0" w:oddVBand="0" w:evenVBand="0" w:oddHBand="0" w:evenHBand="0" w:firstRowFirstColumn="0" w:firstRowLastColumn="0" w:lastRowFirstColumn="0" w:lastRowLastColumn="0"/>
            </w:pPr>
            <w:r w:rsidRPr="00F34280">
              <w:t>Project standard</w:t>
            </w:r>
          </w:p>
        </w:tc>
        <w:tc>
          <w:tcPr>
            <w:tcW w:w="2172" w:type="pct"/>
            <w:gridSpan w:val="2"/>
            <w:tcBorders>
              <w:top w:val="nil"/>
              <w:bottom w:val="single" w:sz="4" w:space="0" w:color="auto"/>
            </w:tcBorders>
          </w:tcPr>
          <w:p w14:paraId="7C0423A0" w14:textId="77777777" w:rsidR="00B241C2" w:rsidRPr="00F34280" w:rsidRDefault="00B241C2" w:rsidP="002C53C9">
            <w:pPr>
              <w:pStyle w:val="TableHeading"/>
              <w:jc w:val="center"/>
              <w:cnfStyle w:val="100000000000" w:firstRow="1" w:lastRow="0" w:firstColumn="0" w:lastColumn="0" w:oddVBand="0" w:evenVBand="0" w:oddHBand="0" w:evenHBand="0" w:firstRowFirstColumn="0" w:firstRowLastColumn="0" w:lastRowFirstColumn="0" w:lastRowLastColumn="0"/>
            </w:pPr>
            <w:r w:rsidRPr="00F34280">
              <w:t>Modelled result</w:t>
            </w:r>
          </w:p>
        </w:tc>
      </w:tr>
      <w:tr w:rsidR="00B241C2" w:rsidRPr="00F34280" w14:paraId="72368CAC" w14:textId="77777777" w:rsidTr="000675E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59" w:type="pct"/>
            <w:vMerge/>
          </w:tcPr>
          <w:p w14:paraId="7EA3B64B" w14:textId="77777777" w:rsidR="00B241C2" w:rsidRPr="00F34280" w:rsidRDefault="00B241C2" w:rsidP="002C53C9">
            <w:pPr>
              <w:pStyle w:val="TableText"/>
              <w:jc w:val="center"/>
            </w:pPr>
          </w:p>
        </w:tc>
        <w:tc>
          <w:tcPr>
            <w:tcW w:w="711" w:type="pct"/>
            <w:vMerge/>
          </w:tcPr>
          <w:p w14:paraId="69955C92" w14:textId="77777777" w:rsidR="00B241C2" w:rsidRPr="00F34280" w:rsidRDefault="00B241C2" w:rsidP="000675E5">
            <w:pPr>
              <w:pStyle w:val="TableText"/>
              <w:cnfStyle w:val="100000000000" w:firstRow="1" w:lastRow="0" w:firstColumn="0" w:lastColumn="0" w:oddVBand="0" w:evenVBand="0" w:oddHBand="0" w:evenHBand="0" w:firstRowFirstColumn="0" w:firstRowLastColumn="0" w:lastRowFirstColumn="0" w:lastRowLastColumn="0"/>
            </w:pPr>
          </w:p>
        </w:tc>
        <w:tc>
          <w:tcPr>
            <w:tcW w:w="617" w:type="pct"/>
            <w:vMerge/>
          </w:tcPr>
          <w:p w14:paraId="220D3AA9" w14:textId="77777777" w:rsidR="00B241C2" w:rsidRPr="00F34280" w:rsidRDefault="00B241C2" w:rsidP="000675E5">
            <w:pPr>
              <w:pStyle w:val="TableText"/>
              <w:cnfStyle w:val="100000000000" w:firstRow="1" w:lastRow="0" w:firstColumn="0" w:lastColumn="0" w:oddVBand="0" w:evenVBand="0" w:oddHBand="0" w:evenHBand="0" w:firstRowFirstColumn="0" w:firstRowLastColumn="0" w:lastRowFirstColumn="0" w:lastRowLastColumn="0"/>
            </w:pPr>
          </w:p>
        </w:tc>
        <w:tc>
          <w:tcPr>
            <w:tcW w:w="640" w:type="pct"/>
            <w:vMerge/>
          </w:tcPr>
          <w:p w14:paraId="70903544" w14:textId="77777777" w:rsidR="00B241C2" w:rsidRPr="00F34280" w:rsidRDefault="00B241C2" w:rsidP="002C53C9">
            <w:pPr>
              <w:pStyle w:val="TableText"/>
              <w:jc w:val="center"/>
              <w:cnfStyle w:val="100000000000" w:firstRow="1" w:lastRow="0" w:firstColumn="0" w:lastColumn="0" w:oddVBand="0" w:evenVBand="0" w:oddHBand="0" w:evenHBand="0" w:firstRowFirstColumn="0" w:firstRowLastColumn="0" w:lastRowFirstColumn="0" w:lastRowLastColumn="0"/>
            </w:pPr>
          </w:p>
        </w:tc>
        <w:tc>
          <w:tcPr>
            <w:tcW w:w="1019" w:type="pct"/>
            <w:tcBorders>
              <w:top w:val="single" w:sz="4" w:space="0" w:color="auto"/>
            </w:tcBorders>
          </w:tcPr>
          <w:p w14:paraId="675863AB" w14:textId="77777777" w:rsidR="00B241C2" w:rsidRPr="00F34280" w:rsidRDefault="00B241C2" w:rsidP="002C53C9">
            <w:pPr>
              <w:pStyle w:val="TableText"/>
              <w:jc w:val="center"/>
              <w:cnfStyle w:val="100000000000" w:firstRow="1" w:lastRow="0" w:firstColumn="0" w:lastColumn="0" w:oddVBand="0" w:evenVBand="0" w:oddHBand="0" w:evenHBand="0" w:firstRowFirstColumn="0" w:firstRowLastColumn="0" w:lastRowFirstColumn="0" w:lastRowLastColumn="0"/>
            </w:pPr>
            <w:r w:rsidRPr="00F34280">
              <w:rPr>
                <w:b/>
              </w:rPr>
              <w:t>Maximum grid ground-level concentrations</w:t>
            </w:r>
          </w:p>
        </w:tc>
        <w:tc>
          <w:tcPr>
            <w:tcW w:w="1153" w:type="pct"/>
            <w:tcBorders>
              <w:top w:val="single" w:sz="4" w:space="0" w:color="auto"/>
            </w:tcBorders>
          </w:tcPr>
          <w:p w14:paraId="44F47B9A" w14:textId="7D367720" w:rsidR="00B241C2" w:rsidRPr="00F34280" w:rsidRDefault="00B241C2" w:rsidP="002C53C9">
            <w:pPr>
              <w:pStyle w:val="TableText"/>
              <w:jc w:val="center"/>
              <w:cnfStyle w:val="100000000000" w:firstRow="1" w:lastRow="0" w:firstColumn="0" w:lastColumn="0" w:oddVBand="0" w:evenVBand="0" w:oddHBand="0" w:evenHBand="0" w:firstRowFirstColumn="0" w:firstRowLastColumn="0" w:lastRowFirstColumn="0" w:lastRowLastColumn="0"/>
              <w:rPr>
                <w:b/>
              </w:rPr>
            </w:pPr>
            <w:r w:rsidRPr="00F34280">
              <w:rPr>
                <w:b/>
              </w:rPr>
              <w:t>Maximum sensitive receptor ground-level concentrations</w:t>
            </w:r>
            <w:r w:rsidR="00595532">
              <w:rPr>
                <w:b/>
              </w:rPr>
              <w:t>*</w:t>
            </w:r>
          </w:p>
        </w:tc>
      </w:tr>
      <w:tr w:rsidR="000675E5" w:rsidRPr="00F34280" w14:paraId="66891955" w14:textId="77777777" w:rsidTr="000675E5">
        <w:tc>
          <w:tcPr>
            <w:cnfStyle w:val="001000000000" w:firstRow="0" w:lastRow="0" w:firstColumn="1" w:lastColumn="0" w:oddVBand="0" w:evenVBand="0" w:oddHBand="0" w:evenHBand="0" w:firstRowFirstColumn="0" w:firstRowLastColumn="0" w:lastRowFirstColumn="0" w:lastRowLastColumn="0"/>
            <w:tcW w:w="859" w:type="pct"/>
            <w:vMerge w:val="restart"/>
          </w:tcPr>
          <w:p w14:paraId="31BF987F" w14:textId="77777777" w:rsidR="00B241C2" w:rsidRPr="00F34280" w:rsidRDefault="00B241C2" w:rsidP="002C53C9">
            <w:pPr>
              <w:pStyle w:val="TableText"/>
            </w:pPr>
            <w:r w:rsidRPr="00F34280">
              <w:t>PM</w:t>
            </w:r>
            <w:r w:rsidRPr="00F34280">
              <w:rPr>
                <w:vertAlign w:val="subscript"/>
              </w:rPr>
              <w:t>10</w:t>
            </w:r>
          </w:p>
        </w:tc>
        <w:tc>
          <w:tcPr>
            <w:tcW w:w="711" w:type="pct"/>
          </w:tcPr>
          <w:p w14:paraId="1E4A1D46" w14:textId="77777777" w:rsidR="00B241C2" w:rsidRPr="00F34280" w:rsidRDefault="00B241C2" w:rsidP="000675E5">
            <w:pPr>
              <w:pStyle w:val="TableText"/>
              <w:cnfStyle w:val="000000000000" w:firstRow="0" w:lastRow="0" w:firstColumn="0" w:lastColumn="0" w:oddVBand="0" w:evenVBand="0" w:oddHBand="0" w:evenHBand="0" w:firstRowFirstColumn="0" w:firstRowLastColumn="0" w:lastRowFirstColumn="0" w:lastRowLastColumn="0"/>
            </w:pPr>
            <w:r w:rsidRPr="00F34280">
              <w:t>24 hours</w:t>
            </w:r>
          </w:p>
        </w:tc>
        <w:tc>
          <w:tcPr>
            <w:tcW w:w="617" w:type="pct"/>
          </w:tcPr>
          <w:p w14:paraId="1C51D7CE" w14:textId="77777777" w:rsidR="00B241C2" w:rsidRPr="00F34280" w:rsidRDefault="00B241C2" w:rsidP="000675E5">
            <w:pPr>
              <w:pStyle w:val="TableText"/>
              <w:cnfStyle w:val="000000000000" w:firstRow="0" w:lastRow="0" w:firstColumn="0" w:lastColumn="0" w:oddVBand="0" w:evenVBand="0" w:oddHBand="0" w:evenHBand="0" w:firstRowFirstColumn="0" w:firstRowLastColumn="0" w:lastRowFirstColumn="0" w:lastRowLastColumn="0"/>
            </w:pPr>
            <w:r w:rsidRPr="00F34280">
              <w:t>µg per m</w:t>
            </w:r>
            <w:r w:rsidRPr="00F34280">
              <w:rPr>
                <w:vertAlign w:val="superscript"/>
              </w:rPr>
              <w:t>3</w:t>
            </w:r>
          </w:p>
        </w:tc>
        <w:tc>
          <w:tcPr>
            <w:tcW w:w="640" w:type="pct"/>
          </w:tcPr>
          <w:p w14:paraId="0AD0B75B" w14:textId="77777777" w:rsidR="00B241C2" w:rsidRPr="00F34280" w:rsidRDefault="00B241C2" w:rsidP="002C53C9">
            <w:pPr>
              <w:pStyle w:val="TableText"/>
              <w:jc w:val="center"/>
              <w:cnfStyle w:val="000000000000" w:firstRow="0" w:lastRow="0" w:firstColumn="0" w:lastColumn="0" w:oddVBand="0" w:evenVBand="0" w:oddHBand="0" w:evenHBand="0" w:firstRowFirstColumn="0" w:firstRowLastColumn="0" w:lastRowFirstColumn="0" w:lastRowLastColumn="0"/>
            </w:pPr>
            <w:r w:rsidRPr="00F34280">
              <w:t>50</w:t>
            </w:r>
          </w:p>
        </w:tc>
        <w:tc>
          <w:tcPr>
            <w:tcW w:w="1019" w:type="pct"/>
          </w:tcPr>
          <w:p w14:paraId="0416D669" w14:textId="77777777" w:rsidR="00B241C2" w:rsidRPr="00F34280" w:rsidRDefault="00B241C2" w:rsidP="002C53C9">
            <w:pPr>
              <w:pStyle w:val="TableText"/>
              <w:jc w:val="center"/>
              <w:cnfStyle w:val="000000000000" w:firstRow="0" w:lastRow="0" w:firstColumn="0" w:lastColumn="0" w:oddVBand="0" w:evenVBand="0" w:oddHBand="0" w:evenHBand="0" w:firstRowFirstColumn="0" w:firstRowLastColumn="0" w:lastRowFirstColumn="0" w:lastRowLastColumn="0"/>
            </w:pPr>
            <w:r w:rsidRPr="00F34280">
              <w:t>802</w:t>
            </w:r>
          </w:p>
        </w:tc>
        <w:tc>
          <w:tcPr>
            <w:tcW w:w="1153" w:type="pct"/>
          </w:tcPr>
          <w:p w14:paraId="7B2C1E08" w14:textId="77777777" w:rsidR="00B241C2" w:rsidRPr="00F34280" w:rsidRDefault="00B241C2" w:rsidP="002C53C9">
            <w:pPr>
              <w:pStyle w:val="TableText"/>
              <w:jc w:val="center"/>
              <w:cnfStyle w:val="000000000000" w:firstRow="0" w:lastRow="0" w:firstColumn="0" w:lastColumn="0" w:oddVBand="0" w:evenVBand="0" w:oddHBand="0" w:evenHBand="0" w:firstRowFirstColumn="0" w:firstRowLastColumn="0" w:lastRowFirstColumn="0" w:lastRowLastColumn="0"/>
            </w:pPr>
            <w:r w:rsidRPr="00F34280">
              <w:t>30</w:t>
            </w:r>
          </w:p>
        </w:tc>
      </w:tr>
      <w:tr w:rsidR="000675E5" w:rsidRPr="00F34280" w14:paraId="734A47A6" w14:textId="77777777" w:rsidTr="000675E5">
        <w:tc>
          <w:tcPr>
            <w:cnfStyle w:val="001000000000" w:firstRow="0" w:lastRow="0" w:firstColumn="1" w:lastColumn="0" w:oddVBand="0" w:evenVBand="0" w:oddHBand="0" w:evenHBand="0" w:firstRowFirstColumn="0" w:firstRowLastColumn="0" w:lastRowFirstColumn="0" w:lastRowLastColumn="0"/>
            <w:tcW w:w="859" w:type="pct"/>
            <w:vMerge/>
          </w:tcPr>
          <w:p w14:paraId="349DB89B" w14:textId="77777777" w:rsidR="00B241C2" w:rsidRPr="00F34280" w:rsidRDefault="00B241C2" w:rsidP="002C53C9"/>
        </w:tc>
        <w:tc>
          <w:tcPr>
            <w:tcW w:w="711" w:type="pct"/>
          </w:tcPr>
          <w:p w14:paraId="21BFED46" w14:textId="77777777" w:rsidR="00B241C2" w:rsidRPr="00F34280" w:rsidRDefault="00B241C2" w:rsidP="000675E5">
            <w:pPr>
              <w:pStyle w:val="TableText"/>
              <w:cnfStyle w:val="000000000000" w:firstRow="0" w:lastRow="0" w:firstColumn="0" w:lastColumn="0" w:oddVBand="0" w:evenVBand="0" w:oddHBand="0" w:evenHBand="0" w:firstRowFirstColumn="0" w:firstRowLastColumn="0" w:lastRowFirstColumn="0" w:lastRowLastColumn="0"/>
            </w:pPr>
            <w:r w:rsidRPr="00F34280">
              <w:t>Annual</w:t>
            </w:r>
          </w:p>
        </w:tc>
        <w:tc>
          <w:tcPr>
            <w:tcW w:w="617" w:type="pct"/>
          </w:tcPr>
          <w:p w14:paraId="5AFE5D89" w14:textId="77777777" w:rsidR="00B241C2" w:rsidRPr="00F34280" w:rsidRDefault="00B241C2" w:rsidP="000675E5">
            <w:pPr>
              <w:pStyle w:val="TableText"/>
              <w:cnfStyle w:val="000000000000" w:firstRow="0" w:lastRow="0" w:firstColumn="0" w:lastColumn="0" w:oddVBand="0" w:evenVBand="0" w:oddHBand="0" w:evenHBand="0" w:firstRowFirstColumn="0" w:firstRowLastColumn="0" w:lastRowFirstColumn="0" w:lastRowLastColumn="0"/>
            </w:pPr>
            <w:r w:rsidRPr="00F34280">
              <w:t>µg per m</w:t>
            </w:r>
            <w:r w:rsidRPr="00F34280">
              <w:rPr>
                <w:vertAlign w:val="superscript"/>
              </w:rPr>
              <w:t>3</w:t>
            </w:r>
          </w:p>
        </w:tc>
        <w:tc>
          <w:tcPr>
            <w:tcW w:w="640" w:type="pct"/>
          </w:tcPr>
          <w:p w14:paraId="6B573911" w14:textId="77777777" w:rsidR="00B241C2" w:rsidRPr="00F34280" w:rsidRDefault="00B241C2" w:rsidP="002C53C9">
            <w:pPr>
              <w:pStyle w:val="TableText"/>
              <w:jc w:val="center"/>
              <w:cnfStyle w:val="000000000000" w:firstRow="0" w:lastRow="0" w:firstColumn="0" w:lastColumn="0" w:oddVBand="0" w:evenVBand="0" w:oddHBand="0" w:evenHBand="0" w:firstRowFirstColumn="0" w:firstRowLastColumn="0" w:lastRowFirstColumn="0" w:lastRowLastColumn="0"/>
            </w:pPr>
            <w:r w:rsidRPr="00F34280">
              <w:t>20</w:t>
            </w:r>
          </w:p>
        </w:tc>
        <w:tc>
          <w:tcPr>
            <w:tcW w:w="1019" w:type="pct"/>
          </w:tcPr>
          <w:p w14:paraId="0C353B63" w14:textId="77777777" w:rsidR="00B241C2" w:rsidRPr="00F34280" w:rsidRDefault="00B241C2" w:rsidP="002C53C9">
            <w:pPr>
              <w:pStyle w:val="TableText"/>
              <w:jc w:val="center"/>
              <w:cnfStyle w:val="000000000000" w:firstRow="0" w:lastRow="0" w:firstColumn="0" w:lastColumn="0" w:oddVBand="0" w:evenVBand="0" w:oddHBand="0" w:evenHBand="0" w:firstRowFirstColumn="0" w:firstRowLastColumn="0" w:lastRowFirstColumn="0" w:lastRowLastColumn="0"/>
            </w:pPr>
            <w:r w:rsidRPr="00F34280">
              <w:t>161</w:t>
            </w:r>
          </w:p>
        </w:tc>
        <w:tc>
          <w:tcPr>
            <w:tcW w:w="1153" w:type="pct"/>
          </w:tcPr>
          <w:p w14:paraId="71340254" w14:textId="77777777" w:rsidR="00B241C2" w:rsidRPr="00F34280" w:rsidRDefault="00B241C2" w:rsidP="002C53C9">
            <w:pPr>
              <w:pStyle w:val="TableText"/>
              <w:jc w:val="center"/>
              <w:cnfStyle w:val="000000000000" w:firstRow="0" w:lastRow="0" w:firstColumn="0" w:lastColumn="0" w:oddVBand="0" w:evenVBand="0" w:oddHBand="0" w:evenHBand="0" w:firstRowFirstColumn="0" w:firstRowLastColumn="0" w:lastRowFirstColumn="0" w:lastRowLastColumn="0"/>
            </w:pPr>
            <w:r w:rsidRPr="00F34280">
              <w:t>15</w:t>
            </w:r>
          </w:p>
        </w:tc>
      </w:tr>
      <w:tr w:rsidR="000675E5" w:rsidRPr="00F34280" w14:paraId="5CB13C6C" w14:textId="77777777" w:rsidTr="000675E5">
        <w:tc>
          <w:tcPr>
            <w:cnfStyle w:val="001000000000" w:firstRow="0" w:lastRow="0" w:firstColumn="1" w:lastColumn="0" w:oddVBand="0" w:evenVBand="0" w:oddHBand="0" w:evenHBand="0" w:firstRowFirstColumn="0" w:firstRowLastColumn="0" w:lastRowFirstColumn="0" w:lastRowLastColumn="0"/>
            <w:tcW w:w="859" w:type="pct"/>
            <w:vMerge w:val="restart"/>
          </w:tcPr>
          <w:p w14:paraId="03ABA451" w14:textId="77777777" w:rsidR="00B241C2" w:rsidRPr="00F34280" w:rsidRDefault="00B241C2" w:rsidP="002C53C9">
            <w:pPr>
              <w:pStyle w:val="TableText"/>
            </w:pPr>
            <w:r w:rsidRPr="00F34280">
              <w:t>PM</w:t>
            </w:r>
            <w:r w:rsidRPr="00F34280">
              <w:rPr>
                <w:vertAlign w:val="subscript"/>
              </w:rPr>
              <w:t>2.5</w:t>
            </w:r>
          </w:p>
        </w:tc>
        <w:tc>
          <w:tcPr>
            <w:tcW w:w="711" w:type="pct"/>
          </w:tcPr>
          <w:p w14:paraId="6ACB7863" w14:textId="77777777" w:rsidR="00B241C2" w:rsidRPr="00F34280" w:rsidRDefault="00B241C2" w:rsidP="000675E5">
            <w:pPr>
              <w:pStyle w:val="TableText"/>
              <w:cnfStyle w:val="000000000000" w:firstRow="0" w:lastRow="0" w:firstColumn="0" w:lastColumn="0" w:oddVBand="0" w:evenVBand="0" w:oddHBand="0" w:evenHBand="0" w:firstRowFirstColumn="0" w:firstRowLastColumn="0" w:lastRowFirstColumn="0" w:lastRowLastColumn="0"/>
            </w:pPr>
            <w:r w:rsidRPr="00F34280">
              <w:t>24 hours</w:t>
            </w:r>
          </w:p>
        </w:tc>
        <w:tc>
          <w:tcPr>
            <w:tcW w:w="617" w:type="pct"/>
          </w:tcPr>
          <w:p w14:paraId="1AD65A50" w14:textId="77777777" w:rsidR="00B241C2" w:rsidRPr="00F34280" w:rsidRDefault="00B241C2" w:rsidP="000675E5">
            <w:pPr>
              <w:pStyle w:val="TableText"/>
              <w:cnfStyle w:val="000000000000" w:firstRow="0" w:lastRow="0" w:firstColumn="0" w:lastColumn="0" w:oddVBand="0" w:evenVBand="0" w:oddHBand="0" w:evenHBand="0" w:firstRowFirstColumn="0" w:firstRowLastColumn="0" w:lastRowFirstColumn="0" w:lastRowLastColumn="0"/>
            </w:pPr>
            <w:r w:rsidRPr="00F34280">
              <w:t>µg per m</w:t>
            </w:r>
            <w:r w:rsidRPr="00F34280">
              <w:rPr>
                <w:vertAlign w:val="superscript"/>
              </w:rPr>
              <w:t>3</w:t>
            </w:r>
          </w:p>
        </w:tc>
        <w:tc>
          <w:tcPr>
            <w:tcW w:w="640" w:type="pct"/>
          </w:tcPr>
          <w:p w14:paraId="2C537BB7" w14:textId="77777777" w:rsidR="00B241C2" w:rsidRPr="00F34280" w:rsidRDefault="00B241C2" w:rsidP="002C53C9">
            <w:pPr>
              <w:pStyle w:val="TableText"/>
              <w:jc w:val="center"/>
              <w:cnfStyle w:val="000000000000" w:firstRow="0" w:lastRow="0" w:firstColumn="0" w:lastColumn="0" w:oddVBand="0" w:evenVBand="0" w:oddHBand="0" w:evenHBand="0" w:firstRowFirstColumn="0" w:firstRowLastColumn="0" w:lastRowFirstColumn="0" w:lastRowLastColumn="0"/>
            </w:pPr>
            <w:r w:rsidRPr="00F34280">
              <w:t>25</w:t>
            </w:r>
          </w:p>
        </w:tc>
        <w:tc>
          <w:tcPr>
            <w:tcW w:w="1019" w:type="pct"/>
          </w:tcPr>
          <w:p w14:paraId="19BDEE5B" w14:textId="77777777" w:rsidR="00B241C2" w:rsidRPr="00F34280" w:rsidRDefault="00B241C2" w:rsidP="002C53C9">
            <w:pPr>
              <w:pStyle w:val="TableText"/>
              <w:jc w:val="center"/>
              <w:cnfStyle w:val="000000000000" w:firstRow="0" w:lastRow="0" w:firstColumn="0" w:lastColumn="0" w:oddVBand="0" w:evenVBand="0" w:oddHBand="0" w:evenHBand="0" w:firstRowFirstColumn="0" w:firstRowLastColumn="0" w:lastRowFirstColumn="0" w:lastRowLastColumn="0"/>
            </w:pPr>
            <w:r w:rsidRPr="00F34280">
              <w:t>112</w:t>
            </w:r>
          </w:p>
        </w:tc>
        <w:tc>
          <w:tcPr>
            <w:tcW w:w="1153" w:type="pct"/>
          </w:tcPr>
          <w:p w14:paraId="266DC87D" w14:textId="77777777" w:rsidR="00B241C2" w:rsidRPr="00F34280" w:rsidRDefault="00B241C2" w:rsidP="002C53C9">
            <w:pPr>
              <w:pStyle w:val="TableText"/>
              <w:jc w:val="center"/>
              <w:cnfStyle w:val="000000000000" w:firstRow="0" w:lastRow="0" w:firstColumn="0" w:lastColumn="0" w:oddVBand="0" w:evenVBand="0" w:oddHBand="0" w:evenHBand="0" w:firstRowFirstColumn="0" w:firstRowLastColumn="0" w:lastRowFirstColumn="0" w:lastRowLastColumn="0"/>
            </w:pPr>
            <w:r w:rsidRPr="00F34280">
              <w:t>9.7</w:t>
            </w:r>
          </w:p>
        </w:tc>
      </w:tr>
      <w:tr w:rsidR="000675E5" w:rsidRPr="00F34280" w14:paraId="4CB48580" w14:textId="77777777" w:rsidTr="000675E5">
        <w:tc>
          <w:tcPr>
            <w:cnfStyle w:val="001000000000" w:firstRow="0" w:lastRow="0" w:firstColumn="1" w:lastColumn="0" w:oddVBand="0" w:evenVBand="0" w:oddHBand="0" w:evenHBand="0" w:firstRowFirstColumn="0" w:firstRowLastColumn="0" w:lastRowFirstColumn="0" w:lastRowLastColumn="0"/>
            <w:tcW w:w="859" w:type="pct"/>
            <w:vMerge/>
          </w:tcPr>
          <w:p w14:paraId="1667F359" w14:textId="77777777" w:rsidR="00B241C2" w:rsidRPr="00F34280" w:rsidRDefault="00B241C2" w:rsidP="002C53C9"/>
        </w:tc>
        <w:tc>
          <w:tcPr>
            <w:tcW w:w="711" w:type="pct"/>
          </w:tcPr>
          <w:p w14:paraId="2CEF5754" w14:textId="77777777" w:rsidR="00B241C2" w:rsidRPr="00F34280" w:rsidRDefault="00B241C2" w:rsidP="000675E5">
            <w:pPr>
              <w:pStyle w:val="TableText"/>
              <w:cnfStyle w:val="000000000000" w:firstRow="0" w:lastRow="0" w:firstColumn="0" w:lastColumn="0" w:oddVBand="0" w:evenVBand="0" w:oddHBand="0" w:evenHBand="0" w:firstRowFirstColumn="0" w:firstRowLastColumn="0" w:lastRowFirstColumn="0" w:lastRowLastColumn="0"/>
            </w:pPr>
            <w:r w:rsidRPr="00F34280">
              <w:t>Annual</w:t>
            </w:r>
          </w:p>
        </w:tc>
        <w:tc>
          <w:tcPr>
            <w:tcW w:w="617" w:type="pct"/>
          </w:tcPr>
          <w:p w14:paraId="74F5FB9E" w14:textId="77777777" w:rsidR="00B241C2" w:rsidRPr="00F34280" w:rsidRDefault="00B241C2" w:rsidP="000675E5">
            <w:pPr>
              <w:pStyle w:val="TableText"/>
              <w:cnfStyle w:val="000000000000" w:firstRow="0" w:lastRow="0" w:firstColumn="0" w:lastColumn="0" w:oddVBand="0" w:evenVBand="0" w:oddHBand="0" w:evenHBand="0" w:firstRowFirstColumn="0" w:firstRowLastColumn="0" w:lastRowFirstColumn="0" w:lastRowLastColumn="0"/>
            </w:pPr>
            <w:r w:rsidRPr="00F34280">
              <w:t>µg per m</w:t>
            </w:r>
            <w:r w:rsidRPr="00F34280">
              <w:rPr>
                <w:vertAlign w:val="superscript"/>
              </w:rPr>
              <w:t>3</w:t>
            </w:r>
          </w:p>
        </w:tc>
        <w:tc>
          <w:tcPr>
            <w:tcW w:w="640" w:type="pct"/>
          </w:tcPr>
          <w:p w14:paraId="1BC2CEE4" w14:textId="77777777" w:rsidR="00B241C2" w:rsidRPr="00F34280" w:rsidRDefault="00B241C2" w:rsidP="002C53C9">
            <w:pPr>
              <w:pStyle w:val="TableText"/>
              <w:jc w:val="center"/>
              <w:cnfStyle w:val="000000000000" w:firstRow="0" w:lastRow="0" w:firstColumn="0" w:lastColumn="0" w:oddVBand="0" w:evenVBand="0" w:oddHBand="0" w:evenHBand="0" w:firstRowFirstColumn="0" w:firstRowLastColumn="0" w:lastRowFirstColumn="0" w:lastRowLastColumn="0"/>
            </w:pPr>
            <w:r w:rsidRPr="00F34280">
              <w:t>8</w:t>
            </w:r>
          </w:p>
        </w:tc>
        <w:tc>
          <w:tcPr>
            <w:tcW w:w="1019" w:type="pct"/>
          </w:tcPr>
          <w:p w14:paraId="1B87C949" w14:textId="77777777" w:rsidR="00B241C2" w:rsidRPr="00F34280" w:rsidRDefault="00B241C2" w:rsidP="002C53C9">
            <w:pPr>
              <w:pStyle w:val="TableText"/>
              <w:jc w:val="center"/>
              <w:cnfStyle w:val="000000000000" w:firstRow="0" w:lastRow="0" w:firstColumn="0" w:lastColumn="0" w:oddVBand="0" w:evenVBand="0" w:oddHBand="0" w:evenHBand="0" w:firstRowFirstColumn="0" w:firstRowLastColumn="0" w:lastRowFirstColumn="0" w:lastRowLastColumn="0"/>
            </w:pPr>
            <w:r w:rsidRPr="00F34280">
              <w:t>26</w:t>
            </w:r>
          </w:p>
        </w:tc>
        <w:tc>
          <w:tcPr>
            <w:tcW w:w="1153" w:type="pct"/>
          </w:tcPr>
          <w:p w14:paraId="4341C1CC" w14:textId="77777777" w:rsidR="00B241C2" w:rsidRPr="00F34280" w:rsidRDefault="00B241C2" w:rsidP="002C53C9">
            <w:pPr>
              <w:pStyle w:val="TableText"/>
              <w:jc w:val="center"/>
              <w:cnfStyle w:val="000000000000" w:firstRow="0" w:lastRow="0" w:firstColumn="0" w:lastColumn="0" w:oddVBand="0" w:evenVBand="0" w:oddHBand="0" w:evenHBand="0" w:firstRowFirstColumn="0" w:firstRowLastColumn="0" w:lastRowFirstColumn="0" w:lastRowLastColumn="0"/>
            </w:pPr>
            <w:r w:rsidRPr="00F34280">
              <w:t>6.5</w:t>
            </w:r>
          </w:p>
        </w:tc>
      </w:tr>
      <w:tr w:rsidR="000675E5" w:rsidRPr="00F34280" w14:paraId="4949F448" w14:textId="77777777" w:rsidTr="000675E5">
        <w:tc>
          <w:tcPr>
            <w:cnfStyle w:val="001000000000" w:firstRow="0" w:lastRow="0" w:firstColumn="1" w:lastColumn="0" w:oddVBand="0" w:evenVBand="0" w:oddHBand="0" w:evenHBand="0" w:firstRowFirstColumn="0" w:firstRowLastColumn="0" w:lastRowFirstColumn="0" w:lastRowLastColumn="0"/>
            <w:tcW w:w="859" w:type="pct"/>
          </w:tcPr>
          <w:p w14:paraId="447269E6" w14:textId="77777777" w:rsidR="00B241C2" w:rsidRPr="00F34280" w:rsidRDefault="00B241C2" w:rsidP="002C53C9">
            <w:pPr>
              <w:pStyle w:val="TableText"/>
            </w:pPr>
            <w:r w:rsidRPr="00F34280">
              <w:t>Respirable crystalline silica</w:t>
            </w:r>
          </w:p>
        </w:tc>
        <w:tc>
          <w:tcPr>
            <w:tcW w:w="711" w:type="pct"/>
          </w:tcPr>
          <w:p w14:paraId="745573B2" w14:textId="77777777" w:rsidR="00B241C2" w:rsidRPr="00F34280" w:rsidRDefault="00B241C2" w:rsidP="000675E5">
            <w:pPr>
              <w:pStyle w:val="TableText"/>
              <w:cnfStyle w:val="000000000000" w:firstRow="0" w:lastRow="0" w:firstColumn="0" w:lastColumn="0" w:oddVBand="0" w:evenVBand="0" w:oddHBand="0" w:evenHBand="0" w:firstRowFirstColumn="0" w:firstRowLastColumn="0" w:lastRowFirstColumn="0" w:lastRowLastColumn="0"/>
            </w:pPr>
            <w:r w:rsidRPr="00F34280">
              <w:t>Annual</w:t>
            </w:r>
          </w:p>
        </w:tc>
        <w:tc>
          <w:tcPr>
            <w:tcW w:w="617" w:type="pct"/>
          </w:tcPr>
          <w:p w14:paraId="0D445706" w14:textId="77777777" w:rsidR="00B241C2" w:rsidRPr="00F34280" w:rsidRDefault="00B241C2" w:rsidP="000675E5">
            <w:pPr>
              <w:pStyle w:val="TableText"/>
              <w:cnfStyle w:val="000000000000" w:firstRow="0" w:lastRow="0" w:firstColumn="0" w:lastColumn="0" w:oddVBand="0" w:evenVBand="0" w:oddHBand="0" w:evenHBand="0" w:firstRowFirstColumn="0" w:firstRowLastColumn="0" w:lastRowFirstColumn="0" w:lastRowLastColumn="0"/>
            </w:pPr>
            <w:r w:rsidRPr="00F34280">
              <w:t>µg per m</w:t>
            </w:r>
            <w:r w:rsidRPr="00F34280">
              <w:rPr>
                <w:vertAlign w:val="superscript"/>
              </w:rPr>
              <w:t>3</w:t>
            </w:r>
          </w:p>
        </w:tc>
        <w:tc>
          <w:tcPr>
            <w:tcW w:w="640" w:type="pct"/>
          </w:tcPr>
          <w:p w14:paraId="11CB2F44" w14:textId="77777777" w:rsidR="00B241C2" w:rsidRPr="00F34280" w:rsidRDefault="00B241C2" w:rsidP="002C53C9">
            <w:pPr>
              <w:pStyle w:val="TableText"/>
              <w:jc w:val="center"/>
              <w:cnfStyle w:val="000000000000" w:firstRow="0" w:lastRow="0" w:firstColumn="0" w:lastColumn="0" w:oddVBand="0" w:evenVBand="0" w:oddHBand="0" w:evenHBand="0" w:firstRowFirstColumn="0" w:firstRowLastColumn="0" w:lastRowFirstColumn="0" w:lastRowLastColumn="0"/>
            </w:pPr>
            <w:r w:rsidRPr="00F34280">
              <w:t>3</w:t>
            </w:r>
          </w:p>
        </w:tc>
        <w:tc>
          <w:tcPr>
            <w:tcW w:w="1019" w:type="pct"/>
          </w:tcPr>
          <w:p w14:paraId="3AE0EC04" w14:textId="74C4125F" w:rsidR="00B241C2" w:rsidRPr="00F34280" w:rsidRDefault="00B241C2" w:rsidP="002C53C9">
            <w:pPr>
              <w:pStyle w:val="TableText"/>
              <w:jc w:val="center"/>
              <w:cnfStyle w:val="000000000000" w:firstRow="0" w:lastRow="0" w:firstColumn="0" w:lastColumn="0" w:oddVBand="0" w:evenVBand="0" w:oddHBand="0" w:evenHBand="0" w:firstRowFirstColumn="0" w:firstRowLastColumn="0" w:lastRowFirstColumn="0" w:lastRowLastColumn="0"/>
            </w:pPr>
            <w:r w:rsidRPr="00F34280">
              <w:t>20</w:t>
            </w:r>
          </w:p>
        </w:tc>
        <w:tc>
          <w:tcPr>
            <w:tcW w:w="1153" w:type="pct"/>
          </w:tcPr>
          <w:p w14:paraId="61CB24A7" w14:textId="77777777" w:rsidR="00B241C2" w:rsidRPr="00F34280" w:rsidRDefault="00B241C2" w:rsidP="002C53C9">
            <w:pPr>
              <w:pStyle w:val="TableText"/>
              <w:jc w:val="center"/>
              <w:cnfStyle w:val="000000000000" w:firstRow="0" w:lastRow="0" w:firstColumn="0" w:lastColumn="0" w:oddVBand="0" w:evenVBand="0" w:oddHBand="0" w:evenHBand="0" w:firstRowFirstColumn="0" w:firstRowLastColumn="0" w:lastRowFirstColumn="0" w:lastRowLastColumn="0"/>
            </w:pPr>
            <w:r w:rsidRPr="00F34280">
              <w:t>0.1</w:t>
            </w:r>
          </w:p>
        </w:tc>
      </w:tr>
      <w:tr w:rsidR="00B241C2" w:rsidRPr="00F34280" w14:paraId="6146534D" w14:textId="77777777" w:rsidTr="000675E5">
        <w:tc>
          <w:tcPr>
            <w:cnfStyle w:val="001000000000" w:firstRow="0" w:lastRow="0" w:firstColumn="1" w:lastColumn="0" w:oddVBand="0" w:evenVBand="0" w:oddHBand="0" w:evenHBand="0" w:firstRowFirstColumn="0" w:firstRowLastColumn="0" w:lastRowFirstColumn="0" w:lastRowLastColumn="0"/>
            <w:tcW w:w="859" w:type="pct"/>
          </w:tcPr>
          <w:p w14:paraId="352D514A" w14:textId="77777777" w:rsidR="00B241C2" w:rsidRPr="00F34280" w:rsidRDefault="00B241C2" w:rsidP="002C53C9">
            <w:pPr>
              <w:pStyle w:val="TableText"/>
            </w:pPr>
            <w:r w:rsidRPr="00F34280">
              <w:t>Deposited dust</w:t>
            </w:r>
          </w:p>
        </w:tc>
        <w:tc>
          <w:tcPr>
            <w:tcW w:w="711" w:type="pct"/>
          </w:tcPr>
          <w:p w14:paraId="26944346" w14:textId="77777777" w:rsidR="00B241C2" w:rsidRPr="00F34280" w:rsidRDefault="00B241C2" w:rsidP="000675E5">
            <w:pPr>
              <w:pStyle w:val="TableText"/>
              <w:cnfStyle w:val="000000000000" w:firstRow="0" w:lastRow="0" w:firstColumn="0" w:lastColumn="0" w:oddVBand="0" w:evenVBand="0" w:oddHBand="0" w:evenHBand="0" w:firstRowFirstColumn="0" w:firstRowLastColumn="0" w:lastRowFirstColumn="0" w:lastRowLastColumn="0"/>
            </w:pPr>
            <w:r w:rsidRPr="00F34280">
              <w:t>Monthly</w:t>
            </w:r>
          </w:p>
        </w:tc>
        <w:tc>
          <w:tcPr>
            <w:tcW w:w="617" w:type="pct"/>
          </w:tcPr>
          <w:p w14:paraId="20E5A188" w14:textId="77777777" w:rsidR="00B241C2" w:rsidRPr="00F34280" w:rsidRDefault="00B241C2" w:rsidP="000675E5">
            <w:pPr>
              <w:pStyle w:val="TableText"/>
              <w:cnfStyle w:val="000000000000" w:firstRow="0" w:lastRow="0" w:firstColumn="0" w:lastColumn="0" w:oddVBand="0" w:evenVBand="0" w:oddHBand="0" w:evenHBand="0" w:firstRowFirstColumn="0" w:firstRowLastColumn="0" w:lastRowFirstColumn="0" w:lastRowLastColumn="0"/>
            </w:pPr>
            <w:r w:rsidRPr="00F34280">
              <w:t>g per m</w:t>
            </w:r>
            <w:r w:rsidRPr="00F34280">
              <w:rPr>
                <w:vertAlign w:val="superscript"/>
              </w:rPr>
              <w:t>2</w:t>
            </w:r>
            <w:r w:rsidRPr="00F34280">
              <w:t xml:space="preserve"> per month</w:t>
            </w:r>
          </w:p>
        </w:tc>
        <w:tc>
          <w:tcPr>
            <w:tcW w:w="640" w:type="pct"/>
          </w:tcPr>
          <w:p w14:paraId="2472B4BA" w14:textId="77777777" w:rsidR="00B241C2" w:rsidRPr="00F34280" w:rsidRDefault="00B241C2" w:rsidP="002C53C9">
            <w:pPr>
              <w:pStyle w:val="TableText"/>
              <w:jc w:val="center"/>
              <w:cnfStyle w:val="000000000000" w:firstRow="0" w:lastRow="0" w:firstColumn="0" w:lastColumn="0" w:oddVBand="0" w:evenVBand="0" w:oddHBand="0" w:evenHBand="0" w:firstRowFirstColumn="0" w:firstRowLastColumn="0" w:lastRowFirstColumn="0" w:lastRowLastColumn="0"/>
            </w:pPr>
            <w:r w:rsidRPr="00F34280">
              <w:t>4</w:t>
            </w:r>
          </w:p>
        </w:tc>
        <w:tc>
          <w:tcPr>
            <w:tcW w:w="1019" w:type="pct"/>
          </w:tcPr>
          <w:p w14:paraId="5F8C00A3" w14:textId="77777777" w:rsidR="00B241C2" w:rsidRPr="00F34280" w:rsidRDefault="00B241C2" w:rsidP="002C53C9">
            <w:pPr>
              <w:pStyle w:val="TableText"/>
              <w:jc w:val="center"/>
              <w:cnfStyle w:val="000000000000" w:firstRow="0" w:lastRow="0" w:firstColumn="0" w:lastColumn="0" w:oddVBand="0" w:evenVBand="0" w:oddHBand="0" w:evenHBand="0" w:firstRowFirstColumn="0" w:firstRowLastColumn="0" w:lastRowFirstColumn="0" w:lastRowLastColumn="0"/>
            </w:pPr>
            <w:r w:rsidRPr="00F34280">
              <w:t>63</w:t>
            </w:r>
          </w:p>
        </w:tc>
        <w:tc>
          <w:tcPr>
            <w:tcW w:w="1153" w:type="pct"/>
          </w:tcPr>
          <w:p w14:paraId="1901487B" w14:textId="77777777" w:rsidR="00B241C2" w:rsidRPr="00F34280" w:rsidRDefault="00B241C2" w:rsidP="002C53C9">
            <w:pPr>
              <w:pStyle w:val="TableText"/>
              <w:jc w:val="center"/>
              <w:cnfStyle w:val="000000000000" w:firstRow="0" w:lastRow="0" w:firstColumn="0" w:lastColumn="0" w:oddVBand="0" w:evenVBand="0" w:oddHBand="0" w:evenHBand="0" w:firstRowFirstColumn="0" w:firstRowLastColumn="0" w:lastRowFirstColumn="0" w:lastRowLastColumn="0"/>
            </w:pPr>
            <w:r w:rsidRPr="00F34280">
              <w:t>2.1</w:t>
            </w:r>
          </w:p>
        </w:tc>
      </w:tr>
    </w:tbl>
    <w:p w14:paraId="61F688C9" w14:textId="57FC5644" w:rsidR="00B241C2" w:rsidRPr="00F34280" w:rsidRDefault="00B241C2" w:rsidP="000675E5">
      <w:pPr>
        <w:pStyle w:val="Notes"/>
      </w:pPr>
      <w:r w:rsidRPr="00F34280">
        <w:t>* For each model, the highest predicted ground-level concentration at a sensitive receptor occurs for the nearest receptor site located approximately 1.4 km south-east of the quarry site</w:t>
      </w:r>
    </w:p>
    <w:p w14:paraId="23222918" w14:textId="77777777" w:rsidR="00B241C2" w:rsidRPr="00F34280" w:rsidRDefault="00B241C2" w:rsidP="008C1A52">
      <w:pPr>
        <w:pStyle w:val="Heading5"/>
      </w:pPr>
      <w:r w:rsidRPr="00F34280">
        <w:t>Gas emissions</w:t>
      </w:r>
    </w:p>
    <w:p w14:paraId="708F5263" w14:textId="77777777" w:rsidR="00B241C2" w:rsidRPr="00F34280" w:rsidRDefault="00B241C2" w:rsidP="00B241C2">
      <w:pPr>
        <w:pStyle w:val="BodyText"/>
      </w:pPr>
      <w:r w:rsidRPr="00F34280">
        <w:t>Due to the relatively small fleet of heavy moving equipment, mobile processing plants and light mobile equipment required for the project, and the short and periodic nature of the blasting operations, gas emissions from diesel combustion and blasting are expected to be insignificant for the project quarry site. As such, these emissions were not included in the modelling.</w:t>
      </w:r>
    </w:p>
    <w:p w14:paraId="4558838B" w14:textId="77777777" w:rsidR="00B241C2" w:rsidRPr="00B241C2" w:rsidRDefault="00B241C2" w:rsidP="00B241C2">
      <w:pPr>
        <w:pStyle w:val="Heading4"/>
      </w:pPr>
      <w:r w:rsidRPr="00B241C2">
        <w:t>Other project activities – Construction, operation and decommissioning</w:t>
      </w:r>
    </w:p>
    <w:p w14:paraId="6FBB54C5" w14:textId="77777777" w:rsidR="00B241C2" w:rsidRPr="00F34280" w:rsidRDefault="00B241C2" w:rsidP="008C1A52">
      <w:pPr>
        <w:pStyle w:val="Heading5"/>
      </w:pPr>
      <w:r w:rsidRPr="00F34280">
        <w:t>Dust-generating activities</w:t>
      </w:r>
    </w:p>
    <w:p w14:paraId="00AFEB47" w14:textId="4465BFDD" w:rsidR="00B241C2" w:rsidRPr="00F34280" w:rsidRDefault="00B241C2" w:rsidP="00B241C2">
      <w:pPr>
        <w:pStyle w:val="BodyText"/>
      </w:pPr>
      <w:r w:rsidRPr="00F34280">
        <w:t xml:space="preserve">Construction dust emissions for each turbine foundation site are expected to be significantly less than those for the quarry and </w:t>
      </w:r>
      <w:r w:rsidR="00730B5D">
        <w:t>would</w:t>
      </w:r>
      <w:r w:rsidRPr="00F34280">
        <w:t xml:space="preserve"> occur over relatively short periods for each site. Similarly, the construction of the on-site substation, battery energy storage system and temporary construction offices </w:t>
      </w:r>
      <w:r w:rsidR="00730B5D">
        <w:t>would</w:t>
      </w:r>
      <w:r w:rsidRPr="00F34280">
        <w:t xml:space="preserve"> have significantly lower dust emissions compared to the quarry site and </w:t>
      </w:r>
      <w:r w:rsidR="00730B5D">
        <w:t>would</w:t>
      </w:r>
      <w:r w:rsidRPr="00F34280">
        <w:t xml:space="preserve"> be of short duration.</w:t>
      </w:r>
    </w:p>
    <w:p w14:paraId="77E1B0DF" w14:textId="6749D3B7" w:rsidR="00B241C2" w:rsidRPr="00F34280" w:rsidRDefault="00B241C2" w:rsidP="008C1A52">
      <w:pPr>
        <w:pStyle w:val="BodyText"/>
        <w:keepLines/>
      </w:pPr>
      <w:r w:rsidRPr="00F34280">
        <w:t xml:space="preserve">The closest concrete batch plant, used for the construction of the wind turbine sites, is approximately </w:t>
      </w:r>
      <w:r w:rsidR="00C73B1F">
        <w:t>1.2 </w:t>
      </w:r>
      <w:r w:rsidRPr="00F34280">
        <w:t>kilometre</w:t>
      </w:r>
      <w:r w:rsidR="00C73B1F">
        <w:t>s</w:t>
      </w:r>
      <w:r w:rsidRPr="00F34280">
        <w:t xml:space="preserve"> from the nearest sensitive receptor. This distance is ten times greater than the minimum separation distance of 100 metres for concrete plants under the guideline </w:t>
      </w:r>
      <w:r w:rsidRPr="00F34280">
        <w:rPr>
          <w:i/>
        </w:rPr>
        <w:t>Recommended separation distances for industrial residual air emissions</w:t>
      </w:r>
      <w:r w:rsidRPr="00F34280">
        <w:t xml:space="preserve"> (EPA</w:t>
      </w:r>
      <w:r w:rsidR="00C73B1F">
        <w:t xml:space="preserve"> Victoria</w:t>
      </w:r>
      <w:r w:rsidRPr="00F34280">
        <w:t>, 2013)</w:t>
      </w:r>
      <w:r w:rsidR="00A967F5">
        <w:t>,</w:t>
      </w:r>
      <w:r w:rsidRPr="00F34280">
        <w:t xml:space="preserve"> which is applied to minimise off-site air quality impacts arising from industrial activities including concrete batching. As such, activities at these sites are unlikely to have any significant impact to ambient air quality for sensitive receptors. </w:t>
      </w:r>
    </w:p>
    <w:p w14:paraId="284B500D" w14:textId="77777777" w:rsidR="00B241C2" w:rsidRPr="00F34280" w:rsidRDefault="00B241C2" w:rsidP="00B241C2">
      <w:pPr>
        <w:pStyle w:val="BodyText"/>
      </w:pPr>
      <w:r w:rsidRPr="00F34280">
        <w:t>During project operation, light vehicles and small trucks would travel from the site office and maintenance yard to individual turbines and substation, mostly via internal unsealed roads. Larger vehicles may occasionally deliver large equipment. Dust generated from vehicle movements on unsealed roads during operation and decommissioning (outside of the quarry activities) are expected to be minor and of short duration. Overall, the emissions from the activities across the broader project site are not expected to be significant contributors to the dust impact of the project.</w:t>
      </w:r>
    </w:p>
    <w:p w14:paraId="6C4ADD75" w14:textId="77777777" w:rsidR="00B241C2" w:rsidRPr="00F34280" w:rsidRDefault="00B241C2" w:rsidP="008C1A52">
      <w:pPr>
        <w:pStyle w:val="Heading5"/>
      </w:pPr>
      <w:r w:rsidRPr="00F34280">
        <w:t>Gas emissions</w:t>
      </w:r>
    </w:p>
    <w:p w14:paraId="0F1ED070" w14:textId="77777777" w:rsidR="00B241C2" w:rsidRPr="00F34280" w:rsidRDefault="00B241C2" w:rsidP="00B241C2">
      <w:pPr>
        <w:pStyle w:val="BodyText"/>
      </w:pPr>
      <w:r w:rsidRPr="00F34280">
        <w:t>As per dust emissions, combustion emissions during construction, operation and decommissioning (outside of the quarry activities) are expected to be minor and of short duration.</w:t>
      </w:r>
    </w:p>
    <w:p w14:paraId="2C2F00C7" w14:textId="77777777" w:rsidR="00B241C2" w:rsidRPr="00B241C2" w:rsidRDefault="00B241C2" w:rsidP="009056B9">
      <w:pPr>
        <w:pStyle w:val="Heading3"/>
      </w:pPr>
      <w:bookmarkStart w:id="140" w:name="_Toc84595776"/>
      <w:bookmarkStart w:id="141" w:name="_Toc105144190"/>
      <w:r w:rsidRPr="00B241C2">
        <w:lastRenderedPageBreak/>
        <w:t>Impact assessment summary</w:t>
      </w:r>
      <w:bookmarkEnd w:id="140"/>
      <w:bookmarkEnd w:id="141"/>
    </w:p>
    <w:p w14:paraId="223D8C97" w14:textId="187C764A" w:rsidR="00B241C2" w:rsidRPr="00F34280" w:rsidRDefault="00B241C2" w:rsidP="009056B9">
      <w:pPr>
        <w:pStyle w:val="BodyText"/>
        <w:keepNext/>
      </w:pPr>
      <w:r w:rsidRPr="00F34280">
        <w:t xml:space="preserve">A summary of the air quality impact assessment is shown in </w:t>
      </w:r>
      <w:r w:rsidRPr="00F34280">
        <w:fldChar w:fldCharType="begin"/>
      </w:r>
      <w:r w:rsidRPr="00F34280">
        <w:instrText xml:space="preserve"> REF _Ref64370157 \h </w:instrText>
      </w:r>
      <w:r w:rsidRPr="00F34280">
        <w:fldChar w:fldCharType="separate"/>
      </w:r>
      <w:r w:rsidR="009056B9" w:rsidRPr="008C1A52">
        <w:t xml:space="preserve">Table </w:t>
      </w:r>
      <w:r w:rsidR="009056B9">
        <w:rPr>
          <w:noProof/>
        </w:rPr>
        <w:t>20</w:t>
      </w:r>
      <w:r w:rsidR="009056B9" w:rsidRPr="008C1A52">
        <w:t>.</w:t>
      </w:r>
      <w:r w:rsidR="009056B9">
        <w:rPr>
          <w:noProof/>
        </w:rPr>
        <w:t>10</w:t>
      </w:r>
      <w:r w:rsidRPr="00F34280">
        <w:fldChar w:fldCharType="end"/>
      </w:r>
      <w:r w:rsidRPr="00F34280">
        <w:t xml:space="preserve"> below, with the full assessment presented in Appendix L – </w:t>
      </w:r>
      <w:r w:rsidRPr="00B241C2">
        <w:rPr>
          <w:i/>
          <w:iCs/>
        </w:rPr>
        <w:t>Air quality</w:t>
      </w:r>
      <w:r w:rsidRPr="00F34280">
        <w:t>.</w:t>
      </w:r>
    </w:p>
    <w:p w14:paraId="2E473C79" w14:textId="56AC8730" w:rsidR="00B241C2" w:rsidRPr="008C1A52" w:rsidRDefault="00B241C2" w:rsidP="008C1A52">
      <w:pPr>
        <w:pStyle w:val="Caption"/>
      </w:pPr>
      <w:bookmarkStart w:id="142" w:name="_Ref64370157"/>
      <w:bookmarkStart w:id="143" w:name="_Toc66301210"/>
      <w:bookmarkStart w:id="144" w:name="_Toc74652576"/>
      <w:bookmarkStart w:id="145" w:name="_Toc84595795"/>
      <w:bookmarkStart w:id="146" w:name="_Toc105144201"/>
      <w:bookmarkEnd w:id="128"/>
      <w:r w:rsidRPr="008C1A52">
        <w:t xml:space="preserve">Table </w:t>
      </w:r>
      <w:fldSimple w:instr=" STYLEREF 1 \s ">
        <w:r w:rsidR="009056B9">
          <w:rPr>
            <w:noProof/>
          </w:rPr>
          <w:t>20</w:t>
        </w:r>
      </w:fldSimple>
      <w:r w:rsidRPr="008C1A52">
        <w:t>.</w:t>
      </w:r>
      <w:fldSimple w:instr=" SEQ Table \* ARABIC \s 1 ">
        <w:r w:rsidR="009056B9">
          <w:rPr>
            <w:noProof/>
          </w:rPr>
          <w:t>10</w:t>
        </w:r>
      </w:fldSimple>
      <w:bookmarkEnd w:id="142"/>
      <w:r w:rsidRPr="008C1A52">
        <w:tab/>
        <w:t>Air quality impact assessment</w:t>
      </w:r>
      <w:bookmarkEnd w:id="143"/>
      <w:r w:rsidRPr="008C1A52">
        <w:t xml:space="preserve"> summary</w:t>
      </w:r>
      <w:bookmarkEnd w:id="144"/>
      <w:bookmarkEnd w:id="145"/>
      <w:bookmarkEnd w:id="146"/>
    </w:p>
    <w:tbl>
      <w:tblPr>
        <w:tblStyle w:val="Table1"/>
        <w:tblW w:w="5000" w:type="pct"/>
        <w:tblLayout w:type="fixed"/>
        <w:tblLook w:val="04A0" w:firstRow="1" w:lastRow="0" w:firstColumn="1" w:lastColumn="0" w:noHBand="0" w:noVBand="1"/>
      </w:tblPr>
      <w:tblGrid>
        <w:gridCol w:w="1131"/>
        <w:gridCol w:w="1435"/>
        <w:gridCol w:w="1687"/>
        <w:gridCol w:w="2946"/>
        <w:gridCol w:w="1872"/>
      </w:tblGrid>
      <w:tr w:rsidR="00B241C2" w:rsidRPr="00F34280" w14:paraId="46A2B9D9" w14:textId="77777777" w:rsidTr="008C1A5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623" w:type="pct"/>
          </w:tcPr>
          <w:p w14:paraId="7DE7A999" w14:textId="77777777" w:rsidR="00B241C2" w:rsidRPr="00F34280" w:rsidRDefault="00B241C2" w:rsidP="002C53C9">
            <w:pPr>
              <w:pStyle w:val="TableHeading"/>
            </w:pPr>
            <w:r w:rsidRPr="00F34280">
              <w:t>Air quality values</w:t>
            </w:r>
          </w:p>
        </w:tc>
        <w:tc>
          <w:tcPr>
            <w:tcW w:w="791" w:type="pct"/>
          </w:tcPr>
          <w:p w14:paraId="3B6242E6" w14:textId="77777777" w:rsidR="00B241C2" w:rsidRPr="00F34280" w:rsidRDefault="00B241C2" w:rsidP="002C53C9">
            <w:pPr>
              <w:pStyle w:val="TableHeading"/>
              <w:cnfStyle w:val="100000000000" w:firstRow="1" w:lastRow="0" w:firstColumn="0" w:lastColumn="0" w:oddVBand="0" w:evenVBand="0" w:oddHBand="0" w:evenHBand="0" w:firstRowFirstColumn="0" w:firstRowLastColumn="0" w:lastRowFirstColumn="0" w:lastRowLastColumn="0"/>
            </w:pPr>
            <w:r w:rsidRPr="00F34280">
              <w:t>Potential impact pathway</w:t>
            </w:r>
          </w:p>
        </w:tc>
        <w:tc>
          <w:tcPr>
            <w:tcW w:w="930" w:type="pct"/>
          </w:tcPr>
          <w:p w14:paraId="43AD562F" w14:textId="77777777" w:rsidR="00B241C2" w:rsidRPr="00F34280" w:rsidRDefault="00B241C2" w:rsidP="002C53C9">
            <w:pPr>
              <w:pStyle w:val="TableHeading"/>
              <w:cnfStyle w:val="100000000000" w:firstRow="1" w:lastRow="0" w:firstColumn="0" w:lastColumn="0" w:oddVBand="0" w:evenVBand="0" w:oddHBand="0" w:evenHBand="0" w:firstRowFirstColumn="0" w:firstRowLastColumn="0" w:lastRowFirstColumn="0" w:lastRowLastColumn="0"/>
            </w:pPr>
            <w:r w:rsidRPr="00F34280">
              <w:t>Project phase</w:t>
            </w:r>
          </w:p>
        </w:tc>
        <w:tc>
          <w:tcPr>
            <w:tcW w:w="1624" w:type="pct"/>
          </w:tcPr>
          <w:p w14:paraId="6BD020BD" w14:textId="77777777" w:rsidR="00B241C2" w:rsidRPr="00F34280" w:rsidRDefault="00B241C2" w:rsidP="002C53C9">
            <w:pPr>
              <w:pStyle w:val="TableHeading"/>
              <w:cnfStyle w:val="100000000000" w:firstRow="1" w:lastRow="0" w:firstColumn="0" w:lastColumn="0" w:oddVBand="0" w:evenVBand="0" w:oddHBand="0" w:evenHBand="0" w:firstRowFirstColumn="0" w:firstRowLastColumn="0" w:lastRowFirstColumn="0" w:lastRowLastColumn="0"/>
            </w:pPr>
            <w:r w:rsidRPr="00F34280">
              <w:t>Likely impact (magnitude, extent and duration)</w:t>
            </w:r>
          </w:p>
        </w:tc>
        <w:tc>
          <w:tcPr>
            <w:tcW w:w="1032" w:type="pct"/>
            <w:noWrap/>
            <w:hideMark/>
          </w:tcPr>
          <w:p w14:paraId="2A84E06F" w14:textId="4B029C04" w:rsidR="00B241C2" w:rsidRPr="00F34280" w:rsidRDefault="00B241C2" w:rsidP="002C53C9">
            <w:pPr>
              <w:pStyle w:val="TableHeading"/>
              <w:cnfStyle w:val="100000000000" w:firstRow="1" w:lastRow="0" w:firstColumn="0" w:lastColumn="0" w:oddVBand="0" w:evenVBand="0" w:oddHBand="0" w:evenHBand="0" w:firstRowFirstColumn="0" w:firstRowLastColumn="0" w:lastRowFirstColumn="0" w:lastRowLastColumn="0"/>
            </w:pPr>
            <w:r w:rsidRPr="00F34280">
              <w:t>Impact rating and justification</w:t>
            </w:r>
          </w:p>
        </w:tc>
      </w:tr>
      <w:tr w:rsidR="00B241C2" w:rsidRPr="00F34280" w14:paraId="480332E4" w14:textId="77777777" w:rsidTr="008C1A52">
        <w:trPr>
          <w:cantSplit/>
        </w:trPr>
        <w:tc>
          <w:tcPr>
            <w:cnfStyle w:val="001000000000" w:firstRow="0" w:lastRow="0" w:firstColumn="1" w:lastColumn="0" w:oddVBand="0" w:evenVBand="0" w:oddHBand="0" w:evenHBand="0" w:firstRowFirstColumn="0" w:firstRowLastColumn="0" w:lastRowFirstColumn="0" w:lastRowLastColumn="0"/>
            <w:tcW w:w="623" w:type="pct"/>
            <w:vMerge w:val="restart"/>
          </w:tcPr>
          <w:p w14:paraId="6BC08429" w14:textId="77777777" w:rsidR="00B241C2" w:rsidRPr="00F34280" w:rsidRDefault="00B241C2" w:rsidP="002C53C9">
            <w:pPr>
              <w:pStyle w:val="TableText"/>
            </w:pPr>
            <w:r w:rsidRPr="00F34280">
              <w:t>Sensitive receptors</w:t>
            </w:r>
          </w:p>
        </w:tc>
        <w:tc>
          <w:tcPr>
            <w:tcW w:w="791" w:type="pct"/>
          </w:tcPr>
          <w:p w14:paraId="539AF9ED" w14:textId="33BFD09E" w:rsidR="00B241C2" w:rsidRPr="00F34280" w:rsidRDefault="00B241C2" w:rsidP="002C53C9">
            <w:pPr>
              <w:pStyle w:val="TableText"/>
              <w:cnfStyle w:val="000000000000" w:firstRow="0" w:lastRow="0" w:firstColumn="0" w:lastColumn="0" w:oddVBand="0" w:evenVBand="0" w:oddHBand="0" w:evenHBand="0" w:firstRowFirstColumn="0" w:firstRowLastColumn="0" w:lastRowFirstColumn="0" w:lastRowLastColumn="0"/>
            </w:pPr>
            <w:r w:rsidRPr="00F34280">
              <w:t>Particulate and dust emissions generated by quarry activities</w:t>
            </w:r>
          </w:p>
        </w:tc>
        <w:tc>
          <w:tcPr>
            <w:tcW w:w="930" w:type="pct"/>
          </w:tcPr>
          <w:p w14:paraId="7B72DBA0" w14:textId="77777777" w:rsidR="00B241C2" w:rsidRPr="00F34280" w:rsidRDefault="00B241C2" w:rsidP="002C53C9">
            <w:pPr>
              <w:pStyle w:val="TableText"/>
              <w:cnfStyle w:val="000000000000" w:firstRow="0" w:lastRow="0" w:firstColumn="0" w:lastColumn="0" w:oddVBand="0" w:evenVBand="0" w:oddHBand="0" w:evenHBand="0" w:firstRowFirstColumn="0" w:firstRowLastColumn="0" w:lastRowFirstColumn="0" w:lastRowLastColumn="0"/>
            </w:pPr>
            <w:r w:rsidRPr="00F34280">
              <w:t>Construction and Operation</w:t>
            </w:r>
          </w:p>
        </w:tc>
        <w:tc>
          <w:tcPr>
            <w:tcW w:w="1624" w:type="pct"/>
          </w:tcPr>
          <w:p w14:paraId="006083DD" w14:textId="23595C99" w:rsidR="00B241C2" w:rsidRPr="00F34280" w:rsidRDefault="00B241C2" w:rsidP="002C53C9">
            <w:pPr>
              <w:pStyle w:val="TableText"/>
              <w:cnfStyle w:val="000000000000" w:firstRow="0" w:lastRow="0" w:firstColumn="0" w:lastColumn="0" w:oddVBand="0" w:evenVBand="0" w:oddHBand="0" w:evenHBand="0" w:firstRowFirstColumn="0" w:firstRowLastColumn="0" w:lastRowFirstColumn="0" w:lastRowLastColumn="0"/>
            </w:pPr>
            <w:r w:rsidRPr="00F34280">
              <w:t>During quarry operation</w:t>
            </w:r>
            <w:r w:rsidR="00A967F5">
              <w:t xml:space="preserve"> (should it be used)</w:t>
            </w:r>
            <w:r w:rsidRPr="00F34280">
              <w:t>, the highest emission rates are attributed to dust that is generated by trucks hauling material over unsealed roads, followed by loading and unloading operations.</w:t>
            </w:r>
          </w:p>
          <w:p w14:paraId="11AF56C8" w14:textId="5C7429C4" w:rsidR="00B241C2" w:rsidRPr="00F34280" w:rsidRDefault="00B241C2" w:rsidP="002C53C9">
            <w:pPr>
              <w:pStyle w:val="TableText"/>
              <w:cnfStyle w:val="000000000000" w:firstRow="0" w:lastRow="0" w:firstColumn="0" w:lastColumn="0" w:oddVBand="0" w:evenVBand="0" w:oddHBand="0" w:evenHBand="0" w:firstRowFirstColumn="0" w:firstRowLastColumn="0" w:lastRowFirstColumn="0" w:lastRowLastColumn="0"/>
            </w:pPr>
            <w:r w:rsidRPr="00F34280">
              <w:t xml:space="preserve">These emissions </w:t>
            </w:r>
            <w:r w:rsidR="00730B5D">
              <w:t>would</w:t>
            </w:r>
            <w:r w:rsidRPr="00F34280">
              <w:t xml:space="preserve"> occur for an extended period (with the quarry potentially operating for up to 24</w:t>
            </w:r>
            <w:r w:rsidR="008C1A52">
              <w:t> </w:t>
            </w:r>
            <w:r w:rsidRPr="00F34280">
              <w:t xml:space="preserve">months), </w:t>
            </w:r>
            <w:r w:rsidR="00730B5D">
              <w:t>would</w:t>
            </w:r>
            <w:r w:rsidRPr="00F34280">
              <w:t xml:space="preserve"> involve intensive material movement, and are expected to represent the most significant source of air quality impact for the project.</w:t>
            </w:r>
          </w:p>
          <w:p w14:paraId="0EA0F18E" w14:textId="77777777" w:rsidR="00B241C2" w:rsidRPr="00F34280" w:rsidRDefault="00B241C2" w:rsidP="002C53C9">
            <w:pPr>
              <w:pStyle w:val="TableText"/>
              <w:cnfStyle w:val="000000000000" w:firstRow="0" w:lastRow="0" w:firstColumn="0" w:lastColumn="0" w:oddVBand="0" w:evenVBand="0" w:oddHBand="0" w:evenHBand="0" w:firstRowFirstColumn="0" w:firstRowLastColumn="0" w:lastRowFirstColumn="0" w:lastRowLastColumn="0"/>
            </w:pPr>
            <w:r w:rsidRPr="00F34280">
              <w:t xml:space="preserve">Modelling indicates that predicted ground-level concentrations at the nearest sensitive receptor site do not exceed air quality standards during quarry operations. </w:t>
            </w:r>
          </w:p>
        </w:tc>
        <w:tc>
          <w:tcPr>
            <w:tcW w:w="1032" w:type="pct"/>
            <w:noWrap/>
          </w:tcPr>
          <w:p w14:paraId="4F5F8D96" w14:textId="77777777" w:rsidR="00B241C2" w:rsidRPr="00F34280" w:rsidRDefault="00B241C2" w:rsidP="002C53C9">
            <w:pPr>
              <w:pStyle w:val="TableText"/>
              <w:cnfStyle w:val="000000000000" w:firstRow="0" w:lastRow="0" w:firstColumn="0" w:lastColumn="0" w:oddVBand="0" w:evenVBand="0" w:oddHBand="0" w:evenHBand="0" w:firstRowFirstColumn="0" w:firstRowLastColumn="0" w:lastRowFirstColumn="0" w:lastRowLastColumn="0"/>
              <w:rPr>
                <w:b/>
              </w:rPr>
            </w:pPr>
            <w:r w:rsidRPr="00F34280">
              <w:rPr>
                <w:b/>
              </w:rPr>
              <w:t>Low</w:t>
            </w:r>
          </w:p>
          <w:p w14:paraId="1FC79DF3" w14:textId="1F652A26" w:rsidR="00B241C2" w:rsidRPr="00F34280" w:rsidRDefault="00B241C2" w:rsidP="002C53C9">
            <w:pPr>
              <w:pStyle w:val="TableText"/>
              <w:cnfStyle w:val="000000000000" w:firstRow="0" w:lastRow="0" w:firstColumn="0" w:lastColumn="0" w:oddVBand="0" w:evenVBand="0" w:oddHBand="0" w:evenHBand="0" w:firstRowFirstColumn="0" w:firstRowLastColumn="0" w:lastRowFirstColumn="0" w:lastRowLastColumn="0"/>
              <w:rPr>
                <w:b/>
                <w:highlight w:val="yellow"/>
              </w:rPr>
            </w:pPr>
            <w:r w:rsidRPr="00F34280">
              <w:t>The project is in a rural area with limited and isolated, sensitive receptor locations</w:t>
            </w:r>
            <w:r w:rsidR="00C73B1F">
              <w:t>. T</w:t>
            </w:r>
            <w:r w:rsidRPr="00F34280">
              <w:t>herefore</w:t>
            </w:r>
            <w:r w:rsidR="00C73B1F">
              <w:t>,</w:t>
            </w:r>
            <w:r w:rsidRPr="00F34280">
              <w:t xml:space="preserve"> the potential for air quality impacts at sensitive receptor sites is low.</w:t>
            </w:r>
          </w:p>
        </w:tc>
      </w:tr>
      <w:tr w:rsidR="00B241C2" w:rsidRPr="00F34280" w14:paraId="1D867A15" w14:textId="77777777" w:rsidTr="008C1A52">
        <w:trPr>
          <w:cantSplit/>
        </w:trPr>
        <w:tc>
          <w:tcPr>
            <w:cnfStyle w:val="001000000000" w:firstRow="0" w:lastRow="0" w:firstColumn="1" w:lastColumn="0" w:oddVBand="0" w:evenVBand="0" w:oddHBand="0" w:evenHBand="0" w:firstRowFirstColumn="0" w:firstRowLastColumn="0" w:lastRowFirstColumn="0" w:lastRowLastColumn="0"/>
            <w:tcW w:w="623" w:type="pct"/>
            <w:vMerge/>
          </w:tcPr>
          <w:p w14:paraId="3DC436D6" w14:textId="77777777" w:rsidR="00B241C2" w:rsidRPr="00F34280" w:rsidRDefault="00B241C2" w:rsidP="002C53C9"/>
        </w:tc>
        <w:tc>
          <w:tcPr>
            <w:tcW w:w="791" w:type="pct"/>
          </w:tcPr>
          <w:p w14:paraId="2B7879B3" w14:textId="77777777" w:rsidR="00B241C2" w:rsidRPr="00F34280" w:rsidRDefault="00B241C2" w:rsidP="002C53C9">
            <w:pPr>
              <w:pStyle w:val="TableText"/>
              <w:cnfStyle w:val="000000000000" w:firstRow="0" w:lastRow="0" w:firstColumn="0" w:lastColumn="0" w:oddVBand="0" w:evenVBand="0" w:oddHBand="0" w:evenHBand="0" w:firstRowFirstColumn="0" w:firstRowLastColumn="0" w:lastRowFirstColumn="0" w:lastRowLastColumn="0"/>
            </w:pPr>
            <w:r w:rsidRPr="00F34280">
              <w:t>Gas emissions at the quarry site from combustion of diesel and blasting of explosives</w:t>
            </w:r>
          </w:p>
        </w:tc>
        <w:tc>
          <w:tcPr>
            <w:tcW w:w="930" w:type="pct"/>
          </w:tcPr>
          <w:p w14:paraId="47E18638" w14:textId="77777777" w:rsidR="00B241C2" w:rsidRPr="00F34280" w:rsidRDefault="00B241C2" w:rsidP="002C53C9">
            <w:pPr>
              <w:pStyle w:val="TableText"/>
              <w:cnfStyle w:val="000000000000" w:firstRow="0" w:lastRow="0" w:firstColumn="0" w:lastColumn="0" w:oddVBand="0" w:evenVBand="0" w:oddHBand="0" w:evenHBand="0" w:firstRowFirstColumn="0" w:firstRowLastColumn="0" w:lastRowFirstColumn="0" w:lastRowLastColumn="0"/>
            </w:pPr>
            <w:r w:rsidRPr="00F34280">
              <w:t>Construction</w:t>
            </w:r>
          </w:p>
        </w:tc>
        <w:tc>
          <w:tcPr>
            <w:tcW w:w="1624" w:type="pct"/>
          </w:tcPr>
          <w:p w14:paraId="31E6E30B" w14:textId="57C9DBDB" w:rsidR="00B241C2" w:rsidRPr="00F34280" w:rsidRDefault="00B241C2" w:rsidP="002C53C9">
            <w:pPr>
              <w:pStyle w:val="TableText"/>
              <w:cnfStyle w:val="000000000000" w:firstRow="0" w:lastRow="0" w:firstColumn="0" w:lastColumn="0" w:oddVBand="0" w:evenVBand="0" w:oddHBand="0" w:evenHBand="0" w:firstRowFirstColumn="0" w:firstRowLastColumn="0" w:lastRowFirstColumn="0" w:lastRowLastColumn="0"/>
            </w:pPr>
            <w:r w:rsidRPr="00F34280">
              <w:t xml:space="preserve">Gas emissions from diesel combustion </w:t>
            </w:r>
            <w:r w:rsidR="00730B5D">
              <w:t>would</w:t>
            </w:r>
            <w:r w:rsidRPr="00F34280">
              <w:t xml:space="preserve"> mainly be nitrogen oxides, carbon monoxide and </w:t>
            </w:r>
            <w:r w:rsidR="00C73B1F" w:rsidRPr="00C73B1F">
              <w:t>volatile organic compounds</w:t>
            </w:r>
            <w:r w:rsidRPr="00F34280">
              <w:t xml:space="preserve">. </w:t>
            </w:r>
          </w:p>
          <w:p w14:paraId="01A0E887" w14:textId="4241DFDF" w:rsidR="00B241C2" w:rsidRPr="00F34280" w:rsidRDefault="00B241C2" w:rsidP="002C53C9">
            <w:pPr>
              <w:pStyle w:val="TableText"/>
              <w:cnfStyle w:val="000000000000" w:firstRow="0" w:lastRow="0" w:firstColumn="0" w:lastColumn="0" w:oddVBand="0" w:evenVBand="0" w:oddHBand="0" w:evenHBand="0" w:firstRowFirstColumn="0" w:firstRowLastColumn="0" w:lastRowFirstColumn="0" w:lastRowLastColumn="0"/>
            </w:pPr>
            <w:r w:rsidRPr="00F34280">
              <w:t xml:space="preserve">Emissions during the blasting operations </w:t>
            </w:r>
            <w:r w:rsidR="00730B5D">
              <w:t>would</w:t>
            </w:r>
            <w:r w:rsidRPr="00F34280">
              <w:t xml:space="preserve"> be nitrogen oxides, carbon monoxide and sulphur dioxide.</w:t>
            </w:r>
          </w:p>
          <w:p w14:paraId="15053A1E" w14:textId="77777777" w:rsidR="00B241C2" w:rsidRPr="00F34280" w:rsidRDefault="00B241C2" w:rsidP="002C53C9">
            <w:pPr>
              <w:pStyle w:val="TableText"/>
              <w:cnfStyle w:val="000000000000" w:firstRow="0" w:lastRow="0" w:firstColumn="0" w:lastColumn="0" w:oddVBand="0" w:evenVBand="0" w:oddHBand="0" w:evenHBand="0" w:firstRowFirstColumn="0" w:firstRowLastColumn="0" w:lastRowFirstColumn="0" w:lastRowLastColumn="0"/>
            </w:pPr>
            <w:r w:rsidRPr="00F34280">
              <w:t>Impacts are anticipated to be short and periodic.</w:t>
            </w:r>
          </w:p>
        </w:tc>
        <w:tc>
          <w:tcPr>
            <w:tcW w:w="1032" w:type="pct"/>
            <w:noWrap/>
          </w:tcPr>
          <w:p w14:paraId="049357C9" w14:textId="77777777" w:rsidR="00B241C2" w:rsidRPr="00F34280" w:rsidRDefault="00B241C2" w:rsidP="002C53C9">
            <w:pPr>
              <w:pStyle w:val="TableText"/>
              <w:cnfStyle w:val="000000000000" w:firstRow="0" w:lastRow="0" w:firstColumn="0" w:lastColumn="0" w:oddVBand="0" w:evenVBand="0" w:oddHBand="0" w:evenHBand="0" w:firstRowFirstColumn="0" w:firstRowLastColumn="0" w:lastRowFirstColumn="0" w:lastRowLastColumn="0"/>
              <w:rPr>
                <w:b/>
              </w:rPr>
            </w:pPr>
            <w:r w:rsidRPr="00F34280">
              <w:rPr>
                <w:b/>
              </w:rPr>
              <w:t>Negligible</w:t>
            </w:r>
          </w:p>
          <w:p w14:paraId="239B728E" w14:textId="77777777" w:rsidR="00B241C2" w:rsidRPr="00F34280" w:rsidRDefault="00B241C2" w:rsidP="002C53C9">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F34280">
              <w:t xml:space="preserve">Due to the relatively small fleet of equipment, and short and periodic nature of the blasting operations, these gas emissions are expected to be insignificant for the project quarry site. </w:t>
            </w:r>
          </w:p>
        </w:tc>
      </w:tr>
      <w:tr w:rsidR="00B241C2" w:rsidRPr="00F34280" w14:paraId="653A58C3" w14:textId="77777777" w:rsidTr="008C1A52">
        <w:trPr>
          <w:cantSplit/>
        </w:trPr>
        <w:tc>
          <w:tcPr>
            <w:cnfStyle w:val="001000000000" w:firstRow="0" w:lastRow="0" w:firstColumn="1" w:lastColumn="0" w:oddVBand="0" w:evenVBand="0" w:oddHBand="0" w:evenHBand="0" w:firstRowFirstColumn="0" w:firstRowLastColumn="0" w:lastRowFirstColumn="0" w:lastRowLastColumn="0"/>
            <w:tcW w:w="623" w:type="pct"/>
            <w:vMerge/>
          </w:tcPr>
          <w:p w14:paraId="4B063435" w14:textId="77777777" w:rsidR="00B241C2" w:rsidRPr="00F34280" w:rsidRDefault="00B241C2" w:rsidP="002C53C9"/>
        </w:tc>
        <w:tc>
          <w:tcPr>
            <w:tcW w:w="791" w:type="pct"/>
          </w:tcPr>
          <w:p w14:paraId="480DBCC4" w14:textId="77777777" w:rsidR="00B241C2" w:rsidRPr="00F34280" w:rsidRDefault="00B241C2" w:rsidP="002C53C9">
            <w:pPr>
              <w:pStyle w:val="TableText"/>
              <w:cnfStyle w:val="000000000000" w:firstRow="0" w:lastRow="0" w:firstColumn="0" w:lastColumn="0" w:oddVBand="0" w:evenVBand="0" w:oddHBand="0" w:evenHBand="0" w:firstRowFirstColumn="0" w:firstRowLastColumn="0" w:lastRowFirstColumn="0" w:lastRowLastColumn="0"/>
            </w:pPr>
            <w:r w:rsidRPr="00F34280">
              <w:t>Particulate and dust emissions generated by other project activities</w:t>
            </w:r>
          </w:p>
        </w:tc>
        <w:tc>
          <w:tcPr>
            <w:tcW w:w="930" w:type="pct"/>
          </w:tcPr>
          <w:p w14:paraId="520F95C0" w14:textId="77777777" w:rsidR="00B241C2" w:rsidRPr="00F34280" w:rsidRDefault="00B241C2" w:rsidP="002C53C9">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F34280">
              <w:t>Construction, Operation and Decommissioning</w:t>
            </w:r>
          </w:p>
        </w:tc>
        <w:tc>
          <w:tcPr>
            <w:tcW w:w="1624" w:type="pct"/>
          </w:tcPr>
          <w:p w14:paraId="3AF0CBD4" w14:textId="2C491DA6" w:rsidR="00B241C2" w:rsidRPr="00F34280" w:rsidRDefault="00B241C2" w:rsidP="002C53C9">
            <w:pPr>
              <w:pStyle w:val="TableText"/>
              <w:cnfStyle w:val="000000000000" w:firstRow="0" w:lastRow="0" w:firstColumn="0" w:lastColumn="0" w:oddVBand="0" w:evenVBand="0" w:oddHBand="0" w:evenHBand="0" w:firstRowFirstColumn="0" w:firstRowLastColumn="0" w:lastRowFirstColumn="0" w:lastRowLastColumn="0"/>
            </w:pPr>
            <w:r w:rsidRPr="00F34280">
              <w:t xml:space="preserve">Dust emissions associated with the construction of turbine foundations, on-site substation, battery energy storage system and temporary construction offices </w:t>
            </w:r>
            <w:r w:rsidR="00730B5D">
              <w:t>would</w:t>
            </w:r>
            <w:r w:rsidRPr="00F34280">
              <w:t xml:space="preserve"> have significantly lower dust emissions compared to the quarry site. These impacts </w:t>
            </w:r>
            <w:r w:rsidR="00730B5D">
              <w:t>would</w:t>
            </w:r>
            <w:r w:rsidRPr="00F34280">
              <w:t xml:space="preserve"> occur over relatively short periods for each site.</w:t>
            </w:r>
          </w:p>
          <w:p w14:paraId="42C85F21" w14:textId="77777777" w:rsidR="00B241C2" w:rsidRPr="00F34280" w:rsidRDefault="00B241C2" w:rsidP="002C53C9">
            <w:pPr>
              <w:pStyle w:val="TableText"/>
              <w:cnfStyle w:val="000000000000" w:firstRow="0" w:lastRow="0" w:firstColumn="0" w:lastColumn="0" w:oddVBand="0" w:evenVBand="0" w:oddHBand="0" w:evenHBand="0" w:firstRowFirstColumn="0" w:firstRowLastColumn="0" w:lastRowFirstColumn="0" w:lastRowLastColumn="0"/>
            </w:pPr>
            <w:r w:rsidRPr="00F34280">
              <w:t xml:space="preserve">Impacts from concrete batch plants are unlikely due to the distance to the nearest sensitive receptor. </w:t>
            </w:r>
          </w:p>
          <w:p w14:paraId="1BF64A09" w14:textId="77777777" w:rsidR="00B241C2" w:rsidRPr="00F34280" w:rsidRDefault="00B241C2" w:rsidP="002C53C9">
            <w:pPr>
              <w:pStyle w:val="TableText"/>
              <w:cnfStyle w:val="000000000000" w:firstRow="0" w:lastRow="0" w:firstColumn="0" w:lastColumn="0" w:oddVBand="0" w:evenVBand="0" w:oddHBand="0" w:evenHBand="0" w:firstRowFirstColumn="0" w:firstRowLastColumn="0" w:lastRowFirstColumn="0" w:lastRowLastColumn="0"/>
            </w:pPr>
            <w:r w:rsidRPr="00F34280">
              <w:t xml:space="preserve">Dust generated from vehicle movements on unsealed roads during operation and decommissioning other project activities (outside of the quarry activities) are expected to be minor and of short duration. </w:t>
            </w:r>
          </w:p>
        </w:tc>
        <w:tc>
          <w:tcPr>
            <w:tcW w:w="1032" w:type="pct"/>
            <w:noWrap/>
          </w:tcPr>
          <w:p w14:paraId="5282F4F7" w14:textId="77777777" w:rsidR="00B241C2" w:rsidRPr="00F34280" w:rsidRDefault="00B241C2" w:rsidP="002C53C9">
            <w:pPr>
              <w:pStyle w:val="TableText"/>
              <w:cnfStyle w:val="000000000000" w:firstRow="0" w:lastRow="0" w:firstColumn="0" w:lastColumn="0" w:oddVBand="0" w:evenVBand="0" w:oddHBand="0" w:evenHBand="0" w:firstRowFirstColumn="0" w:firstRowLastColumn="0" w:lastRowFirstColumn="0" w:lastRowLastColumn="0"/>
              <w:rPr>
                <w:b/>
              </w:rPr>
            </w:pPr>
            <w:r w:rsidRPr="00F34280">
              <w:rPr>
                <w:b/>
              </w:rPr>
              <w:t xml:space="preserve">Negligible </w:t>
            </w:r>
          </w:p>
          <w:p w14:paraId="04FC7C54" w14:textId="77777777" w:rsidR="00B241C2" w:rsidRPr="00F34280" w:rsidRDefault="00B241C2" w:rsidP="002C53C9">
            <w:pPr>
              <w:pStyle w:val="TableText"/>
              <w:cnfStyle w:val="000000000000" w:firstRow="0" w:lastRow="0" w:firstColumn="0" w:lastColumn="0" w:oddVBand="0" w:evenVBand="0" w:oddHBand="0" w:evenHBand="0" w:firstRowFirstColumn="0" w:firstRowLastColumn="0" w:lastRowFirstColumn="0" w:lastRowLastColumn="0"/>
            </w:pPr>
            <w:r w:rsidRPr="00F34280">
              <w:t xml:space="preserve">Emissions from other project activities, outside of the quarry activities, are not expected to be significant contributors to the overall dust impact for the project. </w:t>
            </w:r>
          </w:p>
        </w:tc>
      </w:tr>
      <w:tr w:rsidR="008C1A52" w:rsidRPr="00F34280" w14:paraId="31D2EB9A" w14:textId="77777777" w:rsidTr="008C1A52">
        <w:trPr>
          <w:cantSplit/>
        </w:trPr>
        <w:tc>
          <w:tcPr>
            <w:cnfStyle w:val="001000000000" w:firstRow="0" w:lastRow="0" w:firstColumn="1" w:lastColumn="0" w:oddVBand="0" w:evenVBand="0" w:oddHBand="0" w:evenHBand="0" w:firstRowFirstColumn="0" w:firstRowLastColumn="0" w:lastRowFirstColumn="0" w:lastRowLastColumn="0"/>
            <w:tcW w:w="623" w:type="pct"/>
            <w:vMerge/>
          </w:tcPr>
          <w:p w14:paraId="0A6C1E2A" w14:textId="77777777" w:rsidR="00B241C2" w:rsidRPr="00F34280" w:rsidRDefault="00B241C2" w:rsidP="002C53C9"/>
        </w:tc>
        <w:tc>
          <w:tcPr>
            <w:tcW w:w="791" w:type="pct"/>
          </w:tcPr>
          <w:p w14:paraId="70CDE541" w14:textId="77777777" w:rsidR="00B241C2" w:rsidRPr="00F34280" w:rsidRDefault="00B241C2" w:rsidP="002C53C9">
            <w:pPr>
              <w:pStyle w:val="TableText"/>
              <w:cnfStyle w:val="000000000000" w:firstRow="0" w:lastRow="0" w:firstColumn="0" w:lastColumn="0" w:oddVBand="0" w:evenVBand="0" w:oddHBand="0" w:evenHBand="0" w:firstRowFirstColumn="0" w:firstRowLastColumn="0" w:lastRowFirstColumn="0" w:lastRowLastColumn="0"/>
            </w:pPr>
            <w:r w:rsidRPr="00F34280">
              <w:t>Gas emissions generated by other project activities</w:t>
            </w:r>
          </w:p>
        </w:tc>
        <w:tc>
          <w:tcPr>
            <w:tcW w:w="930" w:type="pct"/>
          </w:tcPr>
          <w:p w14:paraId="25E0F111" w14:textId="77777777" w:rsidR="00B241C2" w:rsidRPr="00F34280" w:rsidRDefault="00B241C2" w:rsidP="002C53C9">
            <w:pPr>
              <w:pStyle w:val="TableText"/>
              <w:cnfStyle w:val="000000000000" w:firstRow="0" w:lastRow="0" w:firstColumn="0" w:lastColumn="0" w:oddVBand="0" w:evenVBand="0" w:oddHBand="0" w:evenHBand="0" w:firstRowFirstColumn="0" w:firstRowLastColumn="0" w:lastRowFirstColumn="0" w:lastRowLastColumn="0"/>
            </w:pPr>
            <w:r w:rsidRPr="00F34280">
              <w:t>Construction, Operation and Decommissioning</w:t>
            </w:r>
          </w:p>
        </w:tc>
        <w:tc>
          <w:tcPr>
            <w:tcW w:w="1624" w:type="pct"/>
          </w:tcPr>
          <w:p w14:paraId="418CD5CB" w14:textId="77777777" w:rsidR="00B241C2" w:rsidRPr="00F34280" w:rsidRDefault="00B241C2" w:rsidP="002C53C9">
            <w:pPr>
              <w:pStyle w:val="TableText"/>
              <w:cnfStyle w:val="000000000000" w:firstRow="0" w:lastRow="0" w:firstColumn="0" w:lastColumn="0" w:oddVBand="0" w:evenVBand="0" w:oddHBand="0" w:evenHBand="0" w:firstRowFirstColumn="0" w:firstRowLastColumn="0" w:lastRowFirstColumn="0" w:lastRowLastColumn="0"/>
            </w:pPr>
            <w:r w:rsidRPr="00F34280">
              <w:t>Combustion emissions during operation and decommissioning of other project activities (outside of the quarry activities) are expected to be minor and of short duration.</w:t>
            </w:r>
          </w:p>
        </w:tc>
        <w:tc>
          <w:tcPr>
            <w:tcW w:w="1032" w:type="pct"/>
            <w:noWrap/>
          </w:tcPr>
          <w:p w14:paraId="52F2A490" w14:textId="77777777" w:rsidR="00B241C2" w:rsidRPr="00F34280" w:rsidRDefault="00B241C2" w:rsidP="002C53C9">
            <w:pPr>
              <w:pStyle w:val="TableText"/>
              <w:cnfStyle w:val="000000000000" w:firstRow="0" w:lastRow="0" w:firstColumn="0" w:lastColumn="0" w:oddVBand="0" w:evenVBand="0" w:oddHBand="0" w:evenHBand="0" w:firstRowFirstColumn="0" w:firstRowLastColumn="0" w:lastRowFirstColumn="0" w:lastRowLastColumn="0"/>
              <w:rPr>
                <w:b/>
              </w:rPr>
            </w:pPr>
            <w:r w:rsidRPr="00F34280">
              <w:rPr>
                <w:b/>
              </w:rPr>
              <w:t xml:space="preserve">Negligible </w:t>
            </w:r>
          </w:p>
          <w:p w14:paraId="419FFDA8" w14:textId="77777777" w:rsidR="00B241C2" w:rsidRPr="00F34280" w:rsidRDefault="00B241C2" w:rsidP="002C53C9">
            <w:pPr>
              <w:pStyle w:val="TableText"/>
              <w:cnfStyle w:val="000000000000" w:firstRow="0" w:lastRow="0" w:firstColumn="0" w:lastColumn="0" w:oddVBand="0" w:evenVBand="0" w:oddHBand="0" w:evenHBand="0" w:firstRowFirstColumn="0" w:firstRowLastColumn="0" w:lastRowFirstColumn="0" w:lastRowLastColumn="0"/>
              <w:rPr>
                <w:b/>
              </w:rPr>
            </w:pPr>
            <w:r w:rsidRPr="00F34280">
              <w:t>Emissions from other project activities, outside of the quarry activities, are not expected to be significant contributors to the overall dust impact for the project.</w:t>
            </w:r>
          </w:p>
        </w:tc>
      </w:tr>
    </w:tbl>
    <w:p w14:paraId="743DF231" w14:textId="77777777" w:rsidR="00B241C2" w:rsidRPr="00B241C2" w:rsidRDefault="00B241C2" w:rsidP="00B241C2">
      <w:pPr>
        <w:pStyle w:val="Heading2"/>
      </w:pPr>
      <w:bookmarkStart w:id="147" w:name="_Toc84595777"/>
      <w:bookmarkStart w:id="148" w:name="_Toc105144191"/>
      <w:r w:rsidRPr="00B241C2">
        <w:t>Conclusions</w:t>
      </w:r>
      <w:bookmarkEnd w:id="147"/>
      <w:bookmarkEnd w:id="148"/>
    </w:p>
    <w:p w14:paraId="07814767" w14:textId="702A6FFF" w:rsidR="00B241C2" w:rsidRPr="00F34280" w:rsidRDefault="00B241C2" w:rsidP="00B241C2">
      <w:pPr>
        <w:pStyle w:val="BodyText"/>
      </w:pPr>
      <w:r w:rsidRPr="00F34280">
        <w:t>Air pollutant emission modelling for quarry operation activities indicates that ground-level concentrations surrounding the quarry site exceed the air quality standard for PM</w:t>
      </w:r>
      <w:r w:rsidRPr="00F34280">
        <w:rPr>
          <w:vertAlign w:val="subscript"/>
        </w:rPr>
        <w:t>10</w:t>
      </w:r>
      <w:r w:rsidRPr="00F34280">
        <w:t>, PM</w:t>
      </w:r>
      <w:r w:rsidRPr="00F34280">
        <w:rPr>
          <w:vertAlign w:val="subscript"/>
        </w:rPr>
        <w:t>2.5</w:t>
      </w:r>
      <w:r w:rsidRPr="00F34280">
        <w:t xml:space="preserve">, respirable crystalline silica and deposited dust. The </w:t>
      </w:r>
      <w:r w:rsidR="00A967F5">
        <w:t xml:space="preserve">final </w:t>
      </w:r>
      <w:r w:rsidRPr="00F34280">
        <w:t xml:space="preserve">Quarry Work Plan, as required under the </w:t>
      </w:r>
      <w:r w:rsidRPr="00F34280">
        <w:rPr>
          <w:i/>
        </w:rPr>
        <w:t>Mineral Resources (Sustainable Development) Act 1990</w:t>
      </w:r>
      <w:r w:rsidRPr="00F34280">
        <w:t xml:space="preserve">, </w:t>
      </w:r>
      <w:r w:rsidR="00730B5D">
        <w:t>would</w:t>
      </w:r>
      <w:r w:rsidRPr="00F34280">
        <w:t xml:space="preserve"> contain measures for the control of emissions of dust or other particulates from the quarry work authority area during construction and operation of the quarry. No exceedances of the project air quality standards </w:t>
      </w:r>
      <w:r w:rsidR="00A967F5">
        <w:t>are</w:t>
      </w:r>
      <w:r w:rsidR="00A967F5" w:rsidRPr="00F34280">
        <w:t xml:space="preserve"> </w:t>
      </w:r>
      <w:r w:rsidRPr="00F34280">
        <w:t xml:space="preserve">predicted at any of the sensitive receptors in the vicinity of the quarry. </w:t>
      </w:r>
    </w:p>
    <w:p w14:paraId="059CE8CD" w14:textId="77777777" w:rsidR="00B241C2" w:rsidRPr="00F34280" w:rsidRDefault="00B241C2" w:rsidP="00B241C2">
      <w:pPr>
        <w:pStyle w:val="BodyText"/>
      </w:pPr>
      <w:r w:rsidRPr="00F34280">
        <w:t xml:space="preserve">Gas emissions from diesel combustion and blasting operations associated with quarry activities are anticipated to be short and periodic and were assessed to be insignificant for the project quarry site. </w:t>
      </w:r>
    </w:p>
    <w:p w14:paraId="6F9BC4A8" w14:textId="78FCDBD2" w:rsidR="00B241C2" w:rsidRPr="00F34280" w:rsidRDefault="00B241C2" w:rsidP="00B241C2">
      <w:pPr>
        <w:pStyle w:val="BodyText"/>
      </w:pPr>
      <w:r w:rsidRPr="00F34280">
        <w:t xml:space="preserve">Gas and particulate (dust) emissions from other project activities, outside of the quarry activities, are not expected to be significant contributors to the overall dust impact for the project and would be effectively managed using dust management measures targeted for each specific activity. The project </w:t>
      </w:r>
      <w:r w:rsidR="00730B5D">
        <w:t>would</w:t>
      </w:r>
      <w:r w:rsidRPr="00F34280">
        <w:t xml:space="preserve"> develop and implement a dust management plan, outlining best practice design controls and management practices to minimise potential dust emissions and air quality impacts. This site</w:t>
      </w:r>
      <w:r w:rsidR="00C73B1F">
        <w:t>-</w:t>
      </w:r>
      <w:r w:rsidRPr="00F34280">
        <w:t xml:space="preserve">specific dust management plan </w:t>
      </w:r>
      <w:r w:rsidR="00730B5D">
        <w:t>would</w:t>
      </w:r>
      <w:r w:rsidRPr="00F34280">
        <w:t xml:space="preserve"> also contain a monitoring procedure for the generation of dust and contingency measures to be implemented if dust plumes are observed and/or credible dust related complaints are received.</w:t>
      </w:r>
    </w:p>
    <w:p w14:paraId="45D4461C" w14:textId="359E5ED7" w:rsidR="00B241C2" w:rsidRPr="00F34280" w:rsidRDefault="00B241C2" w:rsidP="008C1A52">
      <w:pPr>
        <w:pStyle w:val="BodyText"/>
        <w:keepLines/>
      </w:pPr>
      <w:r w:rsidRPr="00F34280">
        <w:t xml:space="preserve">To address its </w:t>
      </w:r>
      <w:r w:rsidR="00C73B1F">
        <w:t>g</w:t>
      </w:r>
      <w:r w:rsidRPr="00F34280">
        <w:t xml:space="preserve">eneral </w:t>
      </w:r>
      <w:r w:rsidR="00C73B1F">
        <w:t>e</w:t>
      </w:r>
      <w:r w:rsidRPr="00F34280">
        <w:t xml:space="preserve">nvironmental </w:t>
      </w:r>
      <w:r w:rsidR="00C73B1F">
        <w:t>d</w:t>
      </w:r>
      <w:r w:rsidRPr="00F34280">
        <w:t xml:space="preserve">uty relating to air quality, the project </w:t>
      </w:r>
      <w:r w:rsidR="00730B5D">
        <w:t>would</w:t>
      </w:r>
      <w:r w:rsidRPr="00F34280">
        <w:t xml:space="preserve"> put in place reasonably practicable measures to reduce the risks of harm to people and the environment from air pollution where they cannot be eliminated. The approach has been to first avoid or limit potential impacts by creating appropriate separation distances between proposed project infrastructure (such as the quarry, concrete batching plants and the wind turbines) and sensitive receptors. The air quality impact assessment (Appendix L) has identified the potential impacts to air quality caused by project activities and provided management controls to mitigate against the risk of air pollution impacts. These take a proactive approach to avoid the generation of dust through the application of dust prevention measures and the monitoring of weather conditions to guide what construction activities can take place, and if additional dust suppression measures (e.g., additional water spraying) are required to permit the activities to continue. </w:t>
      </w:r>
    </w:p>
    <w:p w14:paraId="7B927B5B" w14:textId="27513BC6" w:rsidR="00B241C2" w:rsidRPr="00F34280" w:rsidRDefault="00B241C2" w:rsidP="00B241C2">
      <w:pPr>
        <w:pStyle w:val="BodyText"/>
      </w:pPr>
      <w:r w:rsidRPr="00F34280">
        <w:t xml:space="preserve">The project </w:t>
      </w:r>
      <w:r w:rsidR="00730B5D">
        <w:t>would</w:t>
      </w:r>
      <w:r w:rsidRPr="00F34280">
        <w:t xml:space="preserve"> also monitor for the generation of dust, and if identified, implement contingency measures to supress further dust generation and ensure that dust effects are minimised. The project </w:t>
      </w:r>
      <w:r w:rsidR="00C73B1F">
        <w:t>environmental management plan</w:t>
      </w:r>
      <w:r w:rsidRPr="00F34280">
        <w:t xml:space="preserve"> </w:t>
      </w:r>
      <w:r w:rsidR="00730B5D">
        <w:t>would</w:t>
      </w:r>
      <w:r w:rsidRPr="00F34280">
        <w:t xml:space="preserve"> include requirements for the project to provide information, instruction, supervision and training to people engaged in activities to enable them to comply with the </w:t>
      </w:r>
      <w:r w:rsidR="00C73B1F">
        <w:t>general environmental duty</w:t>
      </w:r>
      <w:r w:rsidRPr="00F34280">
        <w:t>.</w:t>
      </w:r>
    </w:p>
    <w:p w14:paraId="3D93546F" w14:textId="77777777" w:rsidR="00B241C2" w:rsidRPr="00F34280" w:rsidRDefault="00B241C2" w:rsidP="00B241C2">
      <w:pPr>
        <w:pStyle w:val="BodyText"/>
      </w:pPr>
      <w:r w:rsidRPr="00F34280">
        <w:t>With the implementation of recommended management measures, the potential impact to air quality for nearby sensitive receptors is considered to be low.</w:t>
      </w:r>
    </w:p>
    <w:bookmarkEnd w:id="2"/>
    <w:sectPr w:rsidR="00B241C2" w:rsidRPr="00F34280" w:rsidSect="00B241C2">
      <w:pgSz w:w="11907" w:h="16839" w:code="9"/>
      <w:pgMar w:top="1276" w:right="1418" w:bottom="1134" w:left="1418" w:header="709" w:footer="28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B7DE55" w14:textId="77777777" w:rsidR="005C4474" w:rsidRDefault="005C4474" w:rsidP="00DC10B3">
      <w:pPr>
        <w:spacing w:after="0"/>
      </w:pPr>
      <w:r>
        <w:separator/>
      </w:r>
    </w:p>
    <w:p w14:paraId="7AD96FBE" w14:textId="77777777" w:rsidR="005C4474" w:rsidRDefault="005C4474"/>
  </w:endnote>
  <w:endnote w:type="continuationSeparator" w:id="0">
    <w:p w14:paraId="6E461920" w14:textId="77777777" w:rsidR="005C4474" w:rsidRDefault="005C4474" w:rsidP="00DC10B3">
      <w:pPr>
        <w:spacing w:after="0"/>
      </w:pPr>
      <w:r>
        <w:continuationSeparator/>
      </w:r>
    </w:p>
    <w:p w14:paraId="123ECB7A" w14:textId="77777777" w:rsidR="005C4474" w:rsidRDefault="005C44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ontserra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2"/>
      <w:gridCol w:w="8640"/>
    </w:tblGrid>
    <w:tr w:rsidR="0032621A" w14:paraId="6A1D7417" w14:textId="77777777" w:rsidTr="00CD6056">
      <w:tc>
        <w:tcPr>
          <w:tcW w:w="425" w:type="dxa"/>
          <w:tcMar>
            <w:left w:w="0" w:type="dxa"/>
            <w:right w:w="0" w:type="dxa"/>
          </w:tcMar>
        </w:tcPr>
        <w:p w14:paraId="1CB128DB" w14:textId="77777777" w:rsidR="0032621A" w:rsidRPr="00632BD3" w:rsidRDefault="0032621A" w:rsidP="0032621A">
          <w:pPr>
            <w:pStyle w:val="Footer"/>
            <w:rPr>
              <w:b/>
            </w:rPr>
          </w:pPr>
          <w:r w:rsidRPr="00632BD3">
            <w:rPr>
              <w:b/>
              <w:color w:val="auto"/>
            </w:rPr>
            <w:fldChar w:fldCharType="begin"/>
          </w:r>
          <w:r w:rsidRPr="00632BD3">
            <w:rPr>
              <w:b/>
              <w:color w:val="auto"/>
            </w:rPr>
            <w:instrText xml:space="preserve"> PAGE   \* MERGEFORMAT </w:instrText>
          </w:r>
          <w:r w:rsidRPr="00632BD3">
            <w:rPr>
              <w:b/>
              <w:color w:val="auto"/>
            </w:rPr>
            <w:fldChar w:fldCharType="separate"/>
          </w:r>
          <w:r w:rsidRPr="00632BD3">
            <w:rPr>
              <w:b/>
              <w:color w:val="auto"/>
            </w:rPr>
            <w:t>1-1</w:t>
          </w:r>
          <w:r w:rsidRPr="00632BD3">
            <w:rPr>
              <w:b/>
              <w:noProof/>
              <w:color w:val="auto"/>
            </w:rPr>
            <w:fldChar w:fldCharType="end"/>
          </w:r>
        </w:p>
      </w:tc>
      <w:tc>
        <w:tcPr>
          <w:tcW w:w="8506" w:type="dxa"/>
        </w:tcPr>
        <w:p w14:paraId="537928C2" w14:textId="36460A25" w:rsidR="0032621A" w:rsidRPr="009056B9" w:rsidRDefault="00A75519" w:rsidP="0032621A">
          <w:pPr>
            <w:pStyle w:val="Footer"/>
          </w:pPr>
          <w:r>
            <w:fldChar w:fldCharType="begin"/>
          </w:r>
          <w:r>
            <w:instrText xml:space="preserve"> TITLE   \* MERGEFORMAT </w:instrText>
          </w:r>
          <w:r>
            <w:fldChar w:fldCharType="separate"/>
          </w:r>
          <w:r w:rsidR="009056B9" w:rsidRPr="009056B9">
            <w:rPr>
              <w:b/>
              <w:bCs/>
            </w:rPr>
            <w:t>Willatook Wind Farm</w:t>
          </w:r>
          <w:r w:rsidR="009056B9">
            <w:t xml:space="preserve"> | Environment Effects Statement</w:t>
          </w:r>
          <w:r>
            <w:fldChar w:fldCharType="end"/>
          </w:r>
          <w:r>
            <w:fldChar w:fldCharType="begin"/>
          </w:r>
          <w:r>
            <w:instrText xml:space="preserve"> STYLEREF  "Heading 1"  \* MERGEFORMAT </w:instrText>
          </w:r>
          <w:r>
            <w:fldChar w:fldCharType="separate"/>
          </w:r>
          <w:r w:rsidRPr="00A75519">
            <w:rPr>
              <w:noProof/>
              <w:lang w:val="en-US"/>
            </w:rPr>
            <w:br/>
            <w:t>Air quality</w:t>
          </w:r>
          <w:r>
            <w:rPr>
              <w:noProof/>
              <w:lang w:val="en-US"/>
            </w:rPr>
            <w:fldChar w:fldCharType="end"/>
          </w:r>
          <w:r w:rsidR="0032621A" w:rsidRPr="009056B9">
            <w:t xml:space="preserve"> </w:t>
          </w:r>
        </w:p>
      </w:tc>
    </w:tr>
  </w:tbl>
  <w:p w14:paraId="06FB797D" w14:textId="77777777" w:rsidR="00895F12" w:rsidRPr="0032621A" w:rsidRDefault="00895F12" w:rsidP="003262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49"/>
      <w:gridCol w:w="423"/>
    </w:tblGrid>
    <w:tr w:rsidR="0032621A" w14:paraId="02EA3726" w14:textId="77777777" w:rsidTr="00CD6056">
      <w:trPr>
        <w:jc w:val="right"/>
      </w:trPr>
      <w:tc>
        <w:tcPr>
          <w:tcW w:w="8647" w:type="dxa"/>
        </w:tcPr>
        <w:p w14:paraId="0C7DD894" w14:textId="31ABC03B" w:rsidR="0032621A" w:rsidRPr="009056B9" w:rsidRDefault="00A75519" w:rsidP="00335632">
          <w:pPr>
            <w:pStyle w:val="Footer"/>
            <w:jc w:val="right"/>
          </w:pPr>
          <w:r>
            <w:fldChar w:fldCharType="begin"/>
          </w:r>
          <w:r>
            <w:instrText xml:space="preserve"> TITLE   \* MERGEFORMAT </w:instrText>
          </w:r>
          <w:r>
            <w:fldChar w:fldCharType="separate"/>
          </w:r>
          <w:r w:rsidR="009056B9" w:rsidRPr="009056B9">
            <w:rPr>
              <w:b/>
              <w:bCs/>
            </w:rPr>
            <w:t>Willatook Wind Farm</w:t>
          </w:r>
          <w:r w:rsidR="009056B9">
            <w:t xml:space="preserve"> | Environment Effects Statement</w:t>
          </w:r>
          <w:r>
            <w:fldChar w:fldCharType="end"/>
          </w:r>
          <w:r>
            <w:fldChar w:fldCharType="begin"/>
          </w:r>
          <w:r>
            <w:instrText xml:space="preserve"> STYLEREF  "Heading 1"  \* MERGEFORMAT </w:instrText>
          </w:r>
          <w:r>
            <w:fldChar w:fldCharType="separate"/>
          </w:r>
          <w:r w:rsidRPr="00A75519">
            <w:rPr>
              <w:noProof/>
              <w:lang w:val="en-US"/>
            </w:rPr>
            <w:br/>
            <w:t>Air quality</w:t>
          </w:r>
          <w:r>
            <w:rPr>
              <w:noProof/>
              <w:lang w:val="en-US"/>
            </w:rPr>
            <w:fldChar w:fldCharType="end"/>
          </w:r>
          <w:r w:rsidR="0032621A" w:rsidRPr="009056B9">
            <w:t xml:space="preserve"> </w:t>
          </w:r>
        </w:p>
      </w:tc>
      <w:tc>
        <w:tcPr>
          <w:tcW w:w="423" w:type="dxa"/>
          <w:tcMar>
            <w:left w:w="0" w:type="dxa"/>
            <w:right w:w="0" w:type="dxa"/>
          </w:tcMar>
        </w:tcPr>
        <w:p w14:paraId="52EA55CB" w14:textId="77777777" w:rsidR="0032621A" w:rsidRPr="00632BD3" w:rsidRDefault="0032621A" w:rsidP="00335632">
          <w:pPr>
            <w:pStyle w:val="Footer"/>
            <w:jc w:val="right"/>
            <w:rPr>
              <w:b/>
              <w:color w:val="5BC3EB"/>
            </w:rPr>
          </w:pPr>
          <w:r w:rsidRPr="00632BD3">
            <w:rPr>
              <w:b/>
              <w:color w:val="auto"/>
            </w:rPr>
            <w:fldChar w:fldCharType="begin"/>
          </w:r>
          <w:r w:rsidRPr="00632BD3">
            <w:rPr>
              <w:b/>
              <w:color w:val="auto"/>
            </w:rPr>
            <w:instrText xml:space="preserve"> PAGE   \* MERGEFORMAT </w:instrText>
          </w:r>
          <w:r w:rsidRPr="00632BD3">
            <w:rPr>
              <w:b/>
              <w:color w:val="auto"/>
            </w:rPr>
            <w:fldChar w:fldCharType="separate"/>
          </w:r>
          <w:r w:rsidRPr="00632BD3">
            <w:rPr>
              <w:b/>
              <w:color w:val="auto"/>
            </w:rPr>
            <w:t>1-1</w:t>
          </w:r>
          <w:r w:rsidRPr="00632BD3">
            <w:rPr>
              <w:b/>
              <w:noProof/>
              <w:color w:val="auto"/>
            </w:rPr>
            <w:fldChar w:fldCharType="end"/>
          </w:r>
        </w:p>
      </w:tc>
    </w:tr>
  </w:tbl>
  <w:p w14:paraId="6E525D95" w14:textId="77777777" w:rsidR="00A8282B" w:rsidRDefault="00A8282B" w:rsidP="0032621A">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AFE86" w14:textId="2EB90982" w:rsidR="00E13EA9" w:rsidRDefault="00A75519" w:rsidP="008C12B0">
    <w:pPr>
      <w:pStyle w:val="Footer"/>
      <w:jc w:val="right"/>
    </w:pPr>
    <w:r>
      <w:fldChar w:fldCharType="begin"/>
    </w:r>
    <w:r>
      <w:instrText xml:space="preserve"> TITLE   \* MERGEFORMAT </w:instrText>
    </w:r>
    <w:r>
      <w:fldChar w:fldCharType="separate"/>
    </w:r>
    <w:r w:rsidR="009056B9">
      <w:t>Willatook Wind Farm | Environment Effects Statement</w:t>
    </w:r>
    <w:r>
      <w:fldChar w:fldCharType="end"/>
    </w:r>
    <w:r w:rsidR="00E13EA9">
      <w:t xml:space="preserve"> 2018 </w:t>
    </w:r>
    <w:r w:rsidR="00E13EA9" w:rsidRPr="008D2F0D">
      <w:rPr>
        <w:b/>
      </w:rPr>
      <w:t xml:space="preserve">| </w:t>
    </w:r>
    <w:r w:rsidR="00E13EA9" w:rsidRPr="008D2F0D">
      <w:rPr>
        <w:b/>
      </w:rPr>
      <w:fldChar w:fldCharType="begin"/>
    </w:r>
    <w:r w:rsidR="00E13EA9" w:rsidRPr="008D2F0D">
      <w:rPr>
        <w:b/>
      </w:rPr>
      <w:instrText xml:space="preserve"> PAGE   \* MERGEFORMAT </w:instrText>
    </w:r>
    <w:r w:rsidR="00E13EA9" w:rsidRPr="008D2F0D">
      <w:rPr>
        <w:b/>
      </w:rPr>
      <w:fldChar w:fldCharType="separate"/>
    </w:r>
    <w:r w:rsidR="00E13EA9">
      <w:rPr>
        <w:b/>
        <w:noProof/>
      </w:rPr>
      <w:t>2</w:t>
    </w:r>
    <w:r w:rsidR="00E13EA9" w:rsidRPr="008D2F0D">
      <w:rPr>
        <w:b/>
        <w:noProof/>
      </w:rPr>
      <w:fldChar w:fldCharType="end"/>
    </w:r>
  </w:p>
  <w:p w14:paraId="00B318FD" w14:textId="77777777" w:rsidR="00E13EA9" w:rsidRDefault="00E13EA9" w:rsidP="008C12B0"/>
  <w:p w14:paraId="71D24384" w14:textId="77777777" w:rsidR="00E13EA9" w:rsidRPr="008C12B0" w:rsidRDefault="00E13EA9" w:rsidP="008C12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0B5A98" w14:textId="77777777" w:rsidR="005C4474" w:rsidRDefault="005C4474" w:rsidP="00DC10B3">
      <w:pPr>
        <w:spacing w:after="0"/>
      </w:pPr>
      <w:r>
        <w:separator/>
      </w:r>
    </w:p>
    <w:p w14:paraId="659F3E13" w14:textId="77777777" w:rsidR="005C4474" w:rsidRDefault="005C4474"/>
  </w:footnote>
  <w:footnote w:type="continuationSeparator" w:id="0">
    <w:p w14:paraId="666C1C44" w14:textId="77777777" w:rsidR="005C4474" w:rsidRDefault="005C4474" w:rsidP="00DC10B3">
      <w:pPr>
        <w:spacing w:after="0"/>
      </w:pPr>
      <w:r>
        <w:continuationSeparator/>
      </w:r>
    </w:p>
    <w:p w14:paraId="5C85526A" w14:textId="77777777" w:rsidR="005C4474" w:rsidRDefault="005C4474"/>
  </w:footnote>
  <w:footnote w:id="1">
    <w:p w14:paraId="456D6ECD" w14:textId="77777777" w:rsidR="00B241C2" w:rsidRPr="003154B2" w:rsidRDefault="00B241C2" w:rsidP="009056B9">
      <w:pPr>
        <w:pStyle w:val="FootnoteText"/>
        <w:tabs>
          <w:tab w:val="left" w:pos="284"/>
        </w:tabs>
        <w:spacing w:before="0"/>
        <w:ind w:left="284" w:hanging="284"/>
        <w:rPr>
          <w:sz w:val="16"/>
          <w:szCs w:val="16"/>
        </w:rPr>
      </w:pPr>
      <w:r w:rsidRPr="003154B2">
        <w:rPr>
          <w:rStyle w:val="FootnoteReference"/>
          <w:sz w:val="16"/>
          <w:szCs w:val="16"/>
        </w:rPr>
        <w:footnoteRef/>
      </w:r>
      <w:r w:rsidRPr="003154B2">
        <w:rPr>
          <w:sz w:val="16"/>
          <w:szCs w:val="16"/>
        </w:rPr>
        <w:tab/>
        <w:t>Year 2019 background data was not selected as this year was characterised by two major bushfires in Victoria, resulting in high levels of PM</w:t>
      </w:r>
      <w:r w:rsidRPr="003154B2">
        <w:rPr>
          <w:sz w:val="16"/>
          <w:szCs w:val="16"/>
          <w:vertAlign w:val="subscript"/>
        </w:rPr>
        <w:t xml:space="preserve">2.5 </w:t>
      </w:r>
      <w:r w:rsidRPr="003154B2">
        <w:rPr>
          <w:sz w:val="16"/>
          <w:szCs w:val="16"/>
        </w:rPr>
        <w:t>and higher than typical PM</w:t>
      </w:r>
      <w:r w:rsidRPr="003154B2">
        <w:rPr>
          <w:sz w:val="16"/>
          <w:szCs w:val="16"/>
          <w:vertAlign w:val="subscript"/>
        </w:rPr>
        <w:t>10</w:t>
      </w:r>
      <w:r w:rsidRPr="003154B2">
        <w:rPr>
          <w:sz w:val="16"/>
          <w:szCs w:val="16"/>
        </w:rPr>
        <w:t xml:space="preserve"> levels, as well as lower than average rainfall. Additionally, the PM</w:t>
      </w:r>
      <w:r w:rsidRPr="003154B2">
        <w:rPr>
          <w:sz w:val="16"/>
          <w:szCs w:val="16"/>
          <w:vertAlign w:val="subscript"/>
        </w:rPr>
        <w:t>2.5</w:t>
      </w:r>
      <w:r w:rsidRPr="003154B2">
        <w:rPr>
          <w:sz w:val="16"/>
          <w:szCs w:val="16"/>
        </w:rPr>
        <w:t xml:space="preserve"> dataset for this year was incomplete due to errors in the monitoring equipment. </w:t>
      </w:r>
    </w:p>
    <w:p w14:paraId="124094FA" w14:textId="77777777" w:rsidR="00B241C2" w:rsidRDefault="00B241C2" w:rsidP="00B241C2">
      <w:pPr>
        <w:pStyle w:val="FootnoteText"/>
        <w:ind w:left="284"/>
      </w:pPr>
      <w:r w:rsidRPr="003154B2">
        <w:rPr>
          <w:sz w:val="16"/>
          <w:szCs w:val="16"/>
        </w:rPr>
        <w:t>Published background data for 2020 was not available at the time of the air quality impact assessment.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A30FA" w14:textId="77777777" w:rsidR="00094EB8" w:rsidRDefault="00B02211">
    <w:pPr>
      <w:pStyle w:val="Header"/>
    </w:pPr>
    <w:r>
      <w:rPr>
        <w:noProof/>
      </w:rPr>
      <w:drawing>
        <wp:anchor distT="0" distB="0" distL="114300" distR="114300" simplePos="0" relativeHeight="251676672" behindDoc="0" locked="0" layoutInCell="1" allowOverlap="1" wp14:anchorId="5FA59D59" wp14:editId="348F21C2">
          <wp:simplePos x="0" y="0"/>
          <wp:positionH relativeFrom="column">
            <wp:posOffset>-885825</wp:posOffset>
          </wp:positionH>
          <wp:positionV relativeFrom="paragraph">
            <wp:posOffset>-438785</wp:posOffset>
          </wp:positionV>
          <wp:extent cx="3600000" cy="565395"/>
          <wp:effectExtent l="0" t="0" r="0" b="0"/>
          <wp:wrapSquare wrapText="bothSides"/>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52607" b="94738"/>
                  <a:stretch/>
                </pic:blipFill>
                <pic:spPr bwMode="auto">
                  <a:xfrm flipH="1">
                    <a:off x="0" y="0"/>
                    <a:ext cx="3600000" cy="565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D4CA5" w14:textId="77777777" w:rsidR="00E13EA9" w:rsidRDefault="00B02211">
    <w:pPr>
      <w:pStyle w:val="Header"/>
    </w:pPr>
    <w:r>
      <w:rPr>
        <w:noProof/>
      </w:rPr>
      <w:drawing>
        <wp:anchor distT="0" distB="0" distL="114300" distR="114300" simplePos="0" relativeHeight="251674624" behindDoc="0" locked="0" layoutInCell="1" allowOverlap="1" wp14:anchorId="59968869" wp14:editId="54F9687C">
          <wp:simplePos x="0" y="0"/>
          <wp:positionH relativeFrom="column">
            <wp:posOffset>3061335</wp:posOffset>
          </wp:positionH>
          <wp:positionV relativeFrom="paragraph">
            <wp:posOffset>-440690</wp:posOffset>
          </wp:positionV>
          <wp:extent cx="3600000" cy="565395"/>
          <wp:effectExtent l="0" t="0" r="635" b="0"/>
          <wp:wrapSquare wrapText="bothSides"/>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52607" b="94738"/>
                  <a:stretch/>
                </pic:blipFill>
                <pic:spPr bwMode="auto">
                  <a:xfrm>
                    <a:off x="0" y="0"/>
                    <a:ext cx="3600000" cy="565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8806C" w14:textId="77777777" w:rsidR="00E13EA9" w:rsidRDefault="00E13EA9">
    <w:pPr>
      <w:pStyle w:val="Header"/>
    </w:pPr>
    <w:bookmarkStart w:id="57" w:name="_Hlk519249691"/>
    <w:bookmarkStart w:id="58" w:name="_Hlk519249692"/>
    <w:bookmarkStart w:id="59" w:name="_Hlk519249693"/>
    <w:bookmarkEnd w:id="57"/>
    <w:bookmarkEnd w:id="58"/>
    <w:bookmarkEnd w:id="59"/>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EAC857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47E6FCE"/>
    <w:lvl w:ilvl="0">
      <w:start w:val="1"/>
      <w:numFmt w:val="decimal"/>
      <w:pStyle w:val="ListNumber4"/>
      <w:lvlText w:val="%1."/>
      <w:lvlJc w:val="left"/>
      <w:pPr>
        <w:tabs>
          <w:tab w:val="num" w:pos="1209"/>
        </w:tabs>
        <w:ind w:left="1209" w:hanging="360"/>
      </w:pPr>
    </w:lvl>
  </w:abstractNum>
  <w:abstractNum w:abstractNumId="2"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3B57116"/>
    <w:multiLevelType w:val="multilevel"/>
    <w:tmpl w:val="5B0EA9CA"/>
    <w:lvl w:ilvl="0">
      <w:start w:val="1"/>
      <w:numFmt w:val="none"/>
      <w:suff w:val="nothing"/>
      <w:lvlText w:val=""/>
      <w:lvlJc w:val="left"/>
      <w:pPr>
        <w:ind w:left="113" w:firstLine="0"/>
      </w:pPr>
      <w:rPr>
        <w:rFonts w:hint="default"/>
      </w:rPr>
    </w:lvl>
    <w:lvl w:ilvl="1">
      <w:start w:val="1"/>
      <w:numFmt w:val="decimal"/>
      <w:pStyle w:val="Footnotes"/>
      <w:lvlText w:val="%2."/>
      <w:lvlJc w:val="left"/>
      <w:pPr>
        <w:tabs>
          <w:tab w:val="num" w:pos="357"/>
        </w:tabs>
        <w:ind w:left="357" w:hanging="357"/>
      </w:pPr>
      <w:rPr>
        <w:rFonts w:hint="default"/>
        <w:b w:val="0"/>
        <w:bCs/>
        <w:i w:val="0"/>
        <w:color w:val="1C2B39" w:themeColor="text2"/>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4" w15:restartNumberingAfterBreak="0">
    <w:nsid w:val="064F3927"/>
    <w:multiLevelType w:val="multilevel"/>
    <w:tmpl w:val="5262EEF0"/>
    <w:numStyleLink w:val="LXRANumberedList"/>
  </w:abstractNum>
  <w:abstractNum w:abstractNumId="5" w15:restartNumberingAfterBreak="0">
    <w:nsid w:val="0FB2573F"/>
    <w:multiLevelType w:val="multilevel"/>
    <w:tmpl w:val="DE1A4C60"/>
    <w:lvl w:ilvl="0">
      <w:start w:val="1"/>
      <w:numFmt w:val="none"/>
      <w:suff w:val="nothing"/>
      <w:lvlText w:val=""/>
      <w:lvlJc w:val="left"/>
      <w:pPr>
        <w:ind w:left="113" w:firstLine="0"/>
      </w:pPr>
      <w:rPr>
        <w:rFonts w:hint="default"/>
        <w:spacing w:val="-10"/>
      </w:rPr>
    </w:lvl>
    <w:lvl w:ilvl="1">
      <w:start w:val="1"/>
      <w:numFmt w:val="decimal"/>
      <w:pStyle w:val="TableFootnotes"/>
      <w:lvlText w:val="(%2)"/>
      <w:lvlJc w:val="left"/>
      <w:pPr>
        <w:tabs>
          <w:tab w:val="num" w:pos="425"/>
        </w:tabs>
        <w:ind w:left="425" w:hanging="425"/>
      </w:pPr>
      <w:rPr>
        <w:rFonts w:hint="default"/>
        <w:spacing w:val="0"/>
        <w:w w:val="100"/>
        <w:kern w:val="0"/>
        <w:position w:val="0"/>
      </w:rPr>
    </w:lvl>
    <w:lvl w:ilvl="2">
      <w:start w:val="1"/>
      <w:numFmt w:val="none"/>
      <w:lvlRestart w:val="1"/>
      <w:lvlText w:val=""/>
      <w:lvlJc w:val="left"/>
      <w:pPr>
        <w:tabs>
          <w:tab w:val="num" w:pos="284"/>
        </w:tabs>
        <w:ind w:left="284" w:hanging="284"/>
      </w:pPr>
      <w:rPr>
        <w:rFonts w:hint="default"/>
        <w:color w:val="auto"/>
        <w:spacing w:val="-4"/>
      </w:rPr>
    </w:lvl>
    <w:lvl w:ilvl="3">
      <w:start w:val="1"/>
      <w:numFmt w:val="none"/>
      <w:lvlText w:val=""/>
      <w:lvlJc w:val="left"/>
      <w:pPr>
        <w:tabs>
          <w:tab w:val="num" w:pos="0"/>
        </w:tabs>
        <w:ind w:left="-709" w:firstLine="0"/>
      </w:pPr>
      <w:rPr>
        <w:rFonts w:hint="default"/>
        <w:spacing w:val="-10"/>
        <w:w w:val="100"/>
      </w:rPr>
    </w:lvl>
    <w:lvl w:ilvl="4">
      <w:start w:val="1"/>
      <w:numFmt w:val="none"/>
      <w:lvlText w:val=""/>
      <w:lvlJc w:val="left"/>
      <w:pPr>
        <w:tabs>
          <w:tab w:val="num" w:pos="2835"/>
        </w:tabs>
        <w:ind w:left="2835" w:hanging="567"/>
      </w:pPr>
      <w:rPr>
        <w:rFonts w:hint="default"/>
      </w:rPr>
    </w:lvl>
    <w:lvl w:ilvl="5">
      <w:start w:val="1"/>
      <w:numFmt w:val="none"/>
      <w:lvlText w:val=""/>
      <w:lvlJc w:val="left"/>
      <w:pPr>
        <w:tabs>
          <w:tab w:val="num" w:pos="2160"/>
        </w:tabs>
        <w:ind w:left="2016" w:hanging="936"/>
      </w:pPr>
      <w:rPr>
        <w:rFonts w:hint="default"/>
      </w:rPr>
    </w:lvl>
    <w:lvl w:ilvl="6">
      <w:start w:val="1"/>
      <w:numFmt w:val="lowerRoman"/>
      <w:lvlRestart w:val="1"/>
      <w:lvlText w:val="%7"/>
      <w:lvlJc w:val="left"/>
      <w:pPr>
        <w:tabs>
          <w:tab w:val="num" w:pos="369"/>
        </w:tabs>
        <w:ind w:left="369" w:hanging="369"/>
      </w:pPr>
      <w:rPr>
        <w:rFonts w:hint="default"/>
      </w:rPr>
    </w:lvl>
    <w:lvl w:ilvl="7">
      <w:start w:val="1"/>
      <w:numFmt w:val="lowerLetter"/>
      <w:lvlText w:val="%8."/>
      <w:lvlJc w:val="left"/>
      <w:pPr>
        <w:tabs>
          <w:tab w:val="num" w:pos="737"/>
        </w:tabs>
        <w:ind w:left="737" w:hanging="368"/>
      </w:pPr>
      <w:rPr>
        <w:rFonts w:hint="default"/>
        <w:position w:val="0"/>
      </w:rPr>
    </w:lvl>
    <w:lvl w:ilvl="8">
      <w:start w:val="1"/>
      <w:numFmt w:val="bullet"/>
      <w:lvlText w:val=""/>
      <w:lvlJc w:val="left"/>
      <w:pPr>
        <w:tabs>
          <w:tab w:val="num" w:pos="1106"/>
        </w:tabs>
        <w:ind w:left="1106" w:hanging="369"/>
      </w:pPr>
      <w:rPr>
        <w:rFonts w:ascii="Symbol" w:hAnsi="Symbol" w:hint="default"/>
        <w:position w:val="2"/>
        <w:sz w:val="20"/>
        <w:szCs w:val="20"/>
      </w:rPr>
    </w:lvl>
  </w:abstractNum>
  <w:abstractNum w:abstractNumId="6" w15:restartNumberingAfterBreak="0">
    <w:nsid w:val="1AC53308"/>
    <w:multiLevelType w:val="multilevel"/>
    <w:tmpl w:val="8A7298B6"/>
    <w:lvl w:ilvl="0">
      <w:start w:val="20"/>
      <w:numFmt w:val="decimal"/>
      <w:pStyle w:val="Heading1"/>
      <w:suff w:val="nothing"/>
      <w:lvlText w:val="Chapter %1"/>
      <w:lvlJc w:val="left"/>
      <w:pPr>
        <w:ind w:left="1134" w:hanging="1134"/>
      </w:pPr>
      <w:rPr>
        <w:rFonts w:hint="default"/>
        <w:color w:val="auto"/>
        <w:sz w:val="48"/>
        <w:szCs w:val="48"/>
      </w:rPr>
    </w:lvl>
    <w:lvl w:ilvl="1">
      <w:start w:val="1"/>
      <w:numFmt w:val="decimal"/>
      <w:pStyle w:val="Heading2"/>
      <w:lvlText w:val="%1.%2"/>
      <w:lvlJc w:val="left"/>
      <w:pPr>
        <w:ind w:left="1134" w:hanging="1134"/>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1134" w:hanging="1134"/>
      </w:pPr>
      <w:rPr>
        <w:rFonts w:hint="default"/>
        <w:b w:val="0"/>
        <w:bCs w:val="0"/>
      </w:rPr>
    </w:lvl>
    <w:lvl w:ilvl="3">
      <w:start w:val="1"/>
      <w:numFmt w:val="decimal"/>
      <w:lvlText w:val="%1.%2.%3.%4"/>
      <w:lvlJc w:val="left"/>
      <w:pPr>
        <w:ind w:left="1134" w:hanging="1134"/>
      </w:pPr>
      <w:rPr>
        <w:rFonts w:hint="default"/>
      </w:rPr>
    </w:lvl>
    <w:lvl w:ilvl="4">
      <w:start w:val="1"/>
      <w:numFmt w:val="none"/>
      <w:lvlText w:val=""/>
      <w:lvlJc w:val="left"/>
      <w:pPr>
        <w:ind w:left="1134" w:hanging="1134"/>
      </w:pPr>
      <w:rPr>
        <w:rFonts w:hint="default"/>
      </w:rPr>
    </w:lvl>
    <w:lvl w:ilvl="5">
      <w:start w:val="1"/>
      <w:numFmt w:val="none"/>
      <w:lvlText w:val=""/>
      <w:lvlJc w:val="left"/>
      <w:pPr>
        <w:ind w:left="1134" w:hanging="1134"/>
      </w:pPr>
      <w:rPr>
        <w:rFonts w:hint="default"/>
      </w:rPr>
    </w:lvl>
    <w:lvl w:ilvl="6">
      <w:start w:val="1"/>
      <w:numFmt w:val="none"/>
      <w:lvlText w:val=""/>
      <w:lvlJc w:val="left"/>
      <w:pPr>
        <w:ind w:left="1134" w:hanging="1134"/>
      </w:pPr>
      <w:rPr>
        <w:rFonts w:hint="default"/>
      </w:rPr>
    </w:lvl>
    <w:lvl w:ilvl="7">
      <w:start w:val="1"/>
      <w:numFmt w:val="none"/>
      <w:lvlText w:val=""/>
      <w:lvlJc w:val="left"/>
      <w:pPr>
        <w:ind w:left="1134" w:hanging="1134"/>
      </w:pPr>
      <w:rPr>
        <w:rFonts w:hint="default"/>
      </w:rPr>
    </w:lvl>
    <w:lvl w:ilvl="8">
      <w:start w:val="1"/>
      <w:numFmt w:val="none"/>
      <w:lvlText w:val=""/>
      <w:lvlJc w:val="left"/>
      <w:pPr>
        <w:ind w:left="1134" w:hanging="1134"/>
      </w:pPr>
      <w:rPr>
        <w:rFonts w:hint="default"/>
      </w:rPr>
    </w:lvl>
  </w:abstractNum>
  <w:abstractNum w:abstractNumId="7"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8" w15:restartNumberingAfterBreak="0">
    <w:nsid w:val="2C976934"/>
    <w:multiLevelType w:val="multilevel"/>
    <w:tmpl w:val="C9881CB4"/>
    <w:styleLink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9" w15:restartNumberingAfterBreak="0">
    <w:nsid w:val="3178730F"/>
    <w:multiLevelType w:val="multilevel"/>
    <w:tmpl w:val="AB24EEA4"/>
    <w:name w:val="WSP Appendices"/>
    <w:lvl w:ilvl="0">
      <w:start w:val="1"/>
      <w:numFmt w:val="upperLetter"/>
      <w:lvlText w:val="Appendix %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134" w:hanging="1134"/>
      </w:pPr>
      <w:rPr>
        <w:rFonts w:hint="default"/>
      </w:rPr>
    </w:lvl>
    <w:lvl w:ilvl="5">
      <w:start w:val="1"/>
      <w:numFmt w:val="lowerRoman"/>
      <w:lvlText w:val="%6."/>
      <w:lvlJc w:val="left"/>
      <w:pPr>
        <w:ind w:left="1134" w:hanging="1134"/>
      </w:pPr>
      <w:rPr>
        <w:rFonts w:hint="default"/>
      </w:rPr>
    </w:lvl>
    <w:lvl w:ilvl="6">
      <w:start w:val="1"/>
      <w:numFmt w:val="decimal"/>
      <w:lvlText w:val="%7."/>
      <w:lvlJc w:val="left"/>
      <w:pPr>
        <w:ind w:left="1134" w:hanging="1134"/>
      </w:pPr>
      <w:rPr>
        <w:rFonts w:hint="default"/>
      </w:rPr>
    </w:lvl>
    <w:lvl w:ilvl="7">
      <w:start w:val="1"/>
      <w:numFmt w:val="lowerLetter"/>
      <w:lvlText w:val="%8."/>
      <w:lvlJc w:val="left"/>
      <w:pPr>
        <w:ind w:left="1134" w:hanging="1134"/>
      </w:pPr>
      <w:rPr>
        <w:rFonts w:hint="default"/>
      </w:rPr>
    </w:lvl>
    <w:lvl w:ilvl="8">
      <w:start w:val="1"/>
      <w:numFmt w:val="lowerRoman"/>
      <w:lvlText w:val="%9."/>
      <w:lvlJc w:val="right"/>
      <w:pPr>
        <w:ind w:left="1134" w:hanging="1134"/>
      </w:pPr>
      <w:rPr>
        <w:rFonts w:hint="default"/>
      </w:rPr>
    </w:lvl>
  </w:abstractNum>
  <w:abstractNum w:abstractNumId="10" w15:restartNumberingAfterBreak="0">
    <w:nsid w:val="3AAB7112"/>
    <w:multiLevelType w:val="multilevel"/>
    <w:tmpl w:val="5262EEF0"/>
    <w:styleLink w:val="LXRANumberedList"/>
    <w:lvl w:ilvl="0">
      <w:start w:val="1"/>
      <w:numFmt w:val="decimal"/>
      <w:pStyle w:val="ListNumber"/>
      <w:lvlText w:val="%1."/>
      <w:lvlJc w:val="left"/>
      <w:pPr>
        <w:tabs>
          <w:tab w:val="num" w:pos="360"/>
        </w:tabs>
        <w:ind w:left="284" w:hanging="284"/>
      </w:pPr>
      <w:rPr>
        <w:rFonts w:hint="default"/>
      </w:rPr>
    </w:lvl>
    <w:lvl w:ilvl="1">
      <w:start w:val="1"/>
      <w:numFmt w:val="lowerLetter"/>
      <w:pStyle w:val="ListNumber2"/>
      <w:lvlText w:val="%2."/>
      <w:lvlJc w:val="left"/>
      <w:pPr>
        <w:tabs>
          <w:tab w:val="num" w:pos="2835"/>
        </w:tabs>
        <w:ind w:left="567" w:hanging="283"/>
      </w:pPr>
      <w:rPr>
        <w:rFonts w:hint="default"/>
      </w:rPr>
    </w:lvl>
    <w:lvl w:ilvl="2">
      <w:start w:val="1"/>
      <w:numFmt w:val="lowerRoman"/>
      <w:pStyle w:val="ListNumber3"/>
      <w:lvlText w:val="%3."/>
      <w:lvlJc w:val="left"/>
      <w:pPr>
        <w:ind w:left="851" w:hanging="284"/>
      </w:pPr>
      <w:rPr>
        <w:rFonts w:hint="default"/>
      </w:rPr>
    </w:lvl>
    <w:lvl w:ilvl="3">
      <w:start w:val="1"/>
      <w:numFmt w:val="none"/>
      <w:lvlText w:val="%4"/>
      <w:lvlJc w:val="left"/>
      <w:pPr>
        <w:ind w:left="1134" w:hanging="283"/>
      </w:pPr>
      <w:rPr>
        <w:rFonts w:hint="default"/>
      </w:rPr>
    </w:lvl>
    <w:lvl w:ilvl="4">
      <w:start w:val="1"/>
      <w:numFmt w:val="none"/>
      <w:lvlText w:val="%5"/>
      <w:lvlJc w:val="left"/>
      <w:pPr>
        <w:ind w:left="1418" w:hanging="284"/>
      </w:pPr>
      <w:rPr>
        <w:rFonts w:hint="default"/>
      </w:rPr>
    </w:lvl>
    <w:lvl w:ilvl="5">
      <w:start w:val="1"/>
      <w:numFmt w:val="none"/>
      <w:lvlText w:val="%6"/>
      <w:lvlJc w:val="right"/>
      <w:pPr>
        <w:ind w:left="4320" w:hanging="180"/>
      </w:pPr>
      <w:rPr>
        <w:rFonts w:hint="default"/>
      </w:rPr>
    </w:lvl>
    <w:lvl w:ilvl="6">
      <w:start w:val="1"/>
      <w:numFmt w:val="none"/>
      <w:lvlText w:val="%7"/>
      <w:lvlJc w:val="left"/>
      <w:pPr>
        <w:ind w:left="5040" w:hanging="360"/>
      </w:pPr>
      <w:rPr>
        <w:rFonts w:hint="default"/>
      </w:rPr>
    </w:lvl>
    <w:lvl w:ilvl="7">
      <w:start w:val="1"/>
      <w:numFmt w:val="none"/>
      <w:lvlText w:val="%8"/>
      <w:lvlJc w:val="left"/>
      <w:pPr>
        <w:ind w:left="5760" w:hanging="360"/>
      </w:pPr>
      <w:rPr>
        <w:rFonts w:hint="default"/>
      </w:rPr>
    </w:lvl>
    <w:lvl w:ilvl="8">
      <w:start w:val="1"/>
      <w:numFmt w:val="none"/>
      <w:lvlText w:val="%9"/>
      <w:lvlJc w:val="right"/>
      <w:pPr>
        <w:ind w:left="6480" w:hanging="180"/>
      </w:pPr>
      <w:rPr>
        <w:rFonts w:hint="default"/>
      </w:rPr>
    </w:lvl>
  </w:abstractNum>
  <w:abstractNum w:abstractNumId="11" w15:restartNumberingAfterBreak="0">
    <w:nsid w:val="3CB352F4"/>
    <w:multiLevelType w:val="multilevel"/>
    <w:tmpl w:val="B176A4CE"/>
    <w:styleLink w:val="LXRABullets"/>
    <w:lvl w:ilvl="0">
      <w:start w:val="1"/>
      <w:numFmt w:val="bullet"/>
      <w:pStyle w:val="ListBullet"/>
      <w:lvlText w:val="•"/>
      <w:lvlJc w:val="left"/>
      <w:pPr>
        <w:ind w:left="284" w:hanging="284"/>
      </w:pPr>
      <w:rPr>
        <w:rFonts w:ascii="Calibri" w:hAnsi="Calibri" w:hint="default"/>
      </w:rPr>
    </w:lvl>
    <w:lvl w:ilvl="1">
      <w:start w:val="1"/>
      <w:numFmt w:val="bullet"/>
      <w:pStyle w:val="ListBullet2"/>
      <w:lvlText w:val="̵"/>
      <w:lvlJc w:val="left"/>
      <w:pPr>
        <w:ind w:left="567" w:hanging="283"/>
      </w:pPr>
      <w:rPr>
        <w:rFonts w:ascii="Courier New" w:hAnsi="Courier New" w:hint="default"/>
      </w:rPr>
    </w:lvl>
    <w:lvl w:ilvl="2">
      <w:start w:val="1"/>
      <w:numFmt w:val="bullet"/>
      <w:pStyle w:val="ListBullet3"/>
      <w:lvlText w:val="›"/>
      <w:lvlJc w:val="left"/>
      <w:pPr>
        <w:ind w:left="851" w:hanging="284"/>
      </w:pPr>
      <w:rPr>
        <w:rFonts w:ascii="Calibri" w:hAnsi="Calibri" w:hint="default"/>
      </w:rPr>
    </w:lvl>
    <w:lvl w:ilvl="3">
      <w:start w:val="1"/>
      <w:numFmt w:val="bullet"/>
      <w:pStyle w:val="ListBullet4"/>
      <w:lvlText w:val="▪"/>
      <w:lvlJc w:val="left"/>
      <w:pPr>
        <w:ind w:left="1134" w:hanging="283"/>
      </w:pPr>
      <w:rPr>
        <w:rFonts w:ascii="Calibri" w:hAnsi="Calibri" w:hint="default"/>
      </w:rPr>
    </w:lvl>
    <w:lvl w:ilvl="4">
      <w:start w:val="1"/>
      <w:numFmt w:val="bullet"/>
      <w:pStyle w:val="ListBullet5"/>
      <w:lvlText w:val="▫"/>
      <w:lvlJc w:val="left"/>
      <w:pPr>
        <w:ind w:left="1418" w:hanging="284"/>
      </w:pPr>
      <w:rPr>
        <w:rFonts w:ascii="Calibri" w:hAnsi="Calibri" w:hint="default"/>
      </w:rPr>
    </w:lvl>
    <w:lvl w:ilvl="5">
      <w:start w:val="1"/>
      <w:numFmt w:val="none"/>
      <w:lvlText w:val=""/>
      <w:lvlJc w:val="left"/>
      <w:pPr>
        <w:ind w:left="4539" w:hanging="284"/>
      </w:pPr>
      <w:rPr>
        <w:rFonts w:hint="default"/>
      </w:rPr>
    </w:lvl>
    <w:lvl w:ilvl="6">
      <w:start w:val="1"/>
      <w:numFmt w:val="none"/>
      <w:lvlText w:val=""/>
      <w:lvlJc w:val="left"/>
      <w:pPr>
        <w:ind w:left="5390" w:hanging="284"/>
      </w:pPr>
      <w:rPr>
        <w:rFonts w:hint="default"/>
      </w:rPr>
    </w:lvl>
    <w:lvl w:ilvl="7">
      <w:start w:val="1"/>
      <w:numFmt w:val="none"/>
      <w:lvlText w:val=""/>
      <w:lvlJc w:val="left"/>
      <w:pPr>
        <w:ind w:left="6241" w:hanging="284"/>
      </w:pPr>
      <w:rPr>
        <w:rFonts w:hint="default"/>
      </w:rPr>
    </w:lvl>
    <w:lvl w:ilvl="8">
      <w:start w:val="1"/>
      <w:numFmt w:val="none"/>
      <w:lvlText w:val=""/>
      <w:lvlJc w:val="left"/>
      <w:pPr>
        <w:ind w:left="7092" w:hanging="284"/>
      </w:pPr>
      <w:rPr>
        <w:rFonts w:hint="default"/>
      </w:rPr>
    </w:lvl>
  </w:abstractNum>
  <w:abstractNum w:abstractNumId="12" w15:restartNumberingAfterBreak="0">
    <w:nsid w:val="48151EE0"/>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4C063496"/>
    <w:multiLevelType w:val="multilevel"/>
    <w:tmpl w:val="9ADC5578"/>
    <w:styleLink w:val="TableNumbering"/>
    <w:lvl w:ilvl="0">
      <w:start w:val="1"/>
      <w:numFmt w:val="decimal"/>
      <w:lvlText w:val="%1."/>
      <w:lvlJc w:val="left"/>
      <w:pPr>
        <w:ind w:left="680" w:hanging="567"/>
      </w:pPr>
      <w:rPr>
        <w:rFonts w:hint="default"/>
      </w:rPr>
    </w:lvl>
    <w:lvl w:ilvl="1">
      <w:start w:val="1"/>
      <w:numFmt w:val="decimal"/>
      <w:lvlText w:val="%1.%2"/>
      <w:lvlJc w:val="left"/>
      <w:pPr>
        <w:ind w:left="680" w:hanging="567"/>
      </w:pPr>
      <w:rPr>
        <w:rFonts w:hint="default"/>
      </w:rPr>
    </w:lvl>
    <w:lvl w:ilvl="2">
      <w:start w:val="1"/>
      <w:numFmt w:val="decimal"/>
      <w:lvlText w:val="%1.%2.%3"/>
      <w:lvlJc w:val="left"/>
      <w:pPr>
        <w:ind w:left="680" w:hanging="567"/>
      </w:pPr>
      <w:rPr>
        <w:rFonts w:hint="default"/>
      </w:rPr>
    </w:lvl>
    <w:lvl w:ilvl="3">
      <w:start w:val="1"/>
      <w:numFmt w:val="none"/>
      <w:lvlText w:val=""/>
      <w:lvlJc w:val="left"/>
      <w:pPr>
        <w:ind w:left="1019" w:hanging="906"/>
      </w:pPr>
      <w:rPr>
        <w:rFonts w:hint="default"/>
      </w:rPr>
    </w:lvl>
    <w:lvl w:ilvl="4">
      <w:start w:val="1"/>
      <w:numFmt w:val="none"/>
      <w:lvlText w:val=""/>
      <w:lvlJc w:val="left"/>
      <w:pPr>
        <w:ind w:left="1132" w:hanging="1019"/>
      </w:pPr>
      <w:rPr>
        <w:rFonts w:hint="default"/>
      </w:rPr>
    </w:lvl>
    <w:lvl w:ilvl="5">
      <w:start w:val="1"/>
      <w:numFmt w:val="none"/>
      <w:lvlText w:val=""/>
      <w:lvlJc w:val="left"/>
      <w:pPr>
        <w:ind w:left="1245" w:hanging="1132"/>
      </w:pPr>
      <w:rPr>
        <w:rFonts w:hint="default"/>
      </w:rPr>
    </w:lvl>
    <w:lvl w:ilvl="6">
      <w:start w:val="1"/>
      <w:numFmt w:val="none"/>
      <w:lvlText w:val=""/>
      <w:lvlJc w:val="left"/>
      <w:pPr>
        <w:ind w:left="1358" w:hanging="1245"/>
      </w:pPr>
      <w:rPr>
        <w:rFonts w:hint="default"/>
      </w:rPr>
    </w:lvl>
    <w:lvl w:ilvl="7">
      <w:start w:val="1"/>
      <w:numFmt w:val="none"/>
      <w:lvlText w:val=""/>
      <w:lvlJc w:val="left"/>
      <w:pPr>
        <w:tabs>
          <w:tab w:val="num" w:pos="5103"/>
        </w:tabs>
        <w:ind w:left="1471" w:hanging="1358"/>
      </w:pPr>
      <w:rPr>
        <w:rFonts w:hint="default"/>
      </w:rPr>
    </w:lvl>
    <w:lvl w:ilvl="8">
      <w:start w:val="1"/>
      <w:numFmt w:val="none"/>
      <w:lvlText w:val=""/>
      <w:lvlJc w:val="left"/>
      <w:pPr>
        <w:ind w:left="1584" w:hanging="1471"/>
      </w:pPr>
      <w:rPr>
        <w:rFonts w:hint="default"/>
      </w:rPr>
    </w:lvl>
  </w:abstractNum>
  <w:abstractNum w:abstractNumId="14" w15:restartNumberingAfterBreak="0">
    <w:nsid w:val="52890B29"/>
    <w:multiLevelType w:val="hybridMultilevel"/>
    <w:tmpl w:val="067CFC18"/>
    <w:name w:val="MyHeadings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8741D25"/>
    <w:multiLevelType w:val="multilevel"/>
    <w:tmpl w:val="10107B4A"/>
    <w:styleLink w:val="TableFootnotes0"/>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16" w15:restartNumberingAfterBreak="0">
    <w:nsid w:val="5D820AEB"/>
    <w:multiLevelType w:val="multilevel"/>
    <w:tmpl w:val="B176A4CE"/>
    <w:numStyleLink w:val="LXRABullets"/>
  </w:abstractNum>
  <w:abstractNum w:abstractNumId="17" w15:restartNumberingAfterBreak="0">
    <w:nsid w:val="6DFC32B5"/>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7EBD7459"/>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764255193">
    <w:abstractNumId w:val="1"/>
  </w:num>
  <w:num w:numId="2" w16cid:durableId="2031369215">
    <w:abstractNumId w:val="0"/>
  </w:num>
  <w:num w:numId="3" w16cid:durableId="1939098292">
    <w:abstractNumId w:val="11"/>
  </w:num>
  <w:num w:numId="4" w16cid:durableId="1865092482">
    <w:abstractNumId w:val="10"/>
  </w:num>
  <w:num w:numId="5" w16cid:durableId="419448990">
    <w:abstractNumId w:val="4"/>
    <w:lvlOverride w:ilvl="0">
      <w:lvl w:ilvl="0">
        <w:start w:val="1"/>
        <w:numFmt w:val="decimal"/>
        <w:pStyle w:val="ListNumber"/>
        <w:lvlText w:val="%1."/>
        <w:lvlJc w:val="left"/>
        <w:pPr>
          <w:tabs>
            <w:tab w:val="num" w:pos="360"/>
          </w:tabs>
          <w:ind w:left="284" w:hanging="284"/>
        </w:pPr>
        <w:rPr>
          <w:rFonts w:hint="default"/>
        </w:rPr>
      </w:lvl>
    </w:lvlOverride>
    <w:lvlOverride w:ilvl="1">
      <w:lvl w:ilvl="1">
        <w:start w:val="1"/>
        <w:numFmt w:val="lowerLetter"/>
        <w:pStyle w:val="ListNumber2"/>
        <w:lvlText w:val="%2."/>
        <w:lvlJc w:val="left"/>
        <w:pPr>
          <w:tabs>
            <w:tab w:val="num" w:pos="2835"/>
          </w:tabs>
          <w:ind w:left="567" w:hanging="283"/>
        </w:pPr>
        <w:rPr>
          <w:rFonts w:hint="default"/>
        </w:rPr>
      </w:lvl>
    </w:lvlOverride>
    <w:lvlOverride w:ilvl="2">
      <w:lvl w:ilvl="2">
        <w:start w:val="1"/>
        <w:numFmt w:val="lowerRoman"/>
        <w:pStyle w:val="ListNumber3"/>
        <w:lvlText w:val="%3."/>
        <w:lvlJc w:val="left"/>
        <w:pPr>
          <w:ind w:left="851" w:hanging="284"/>
        </w:pPr>
        <w:rPr>
          <w:rFonts w:hint="default"/>
        </w:rPr>
      </w:lvl>
    </w:lvlOverride>
    <w:lvlOverride w:ilvl="3">
      <w:lvl w:ilvl="3">
        <w:start w:val="1"/>
        <w:numFmt w:val="none"/>
        <w:lvlText w:val="%4"/>
        <w:lvlJc w:val="left"/>
        <w:pPr>
          <w:ind w:left="1134" w:hanging="283"/>
        </w:pPr>
        <w:rPr>
          <w:rFonts w:hint="default"/>
        </w:rPr>
      </w:lvl>
    </w:lvlOverride>
    <w:lvlOverride w:ilvl="4">
      <w:lvl w:ilvl="4">
        <w:start w:val="1"/>
        <w:numFmt w:val="none"/>
        <w:lvlText w:val="%5"/>
        <w:lvlJc w:val="left"/>
        <w:pPr>
          <w:ind w:left="1418" w:hanging="284"/>
        </w:pPr>
        <w:rPr>
          <w:rFonts w:hint="default"/>
        </w:rPr>
      </w:lvl>
    </w:lvlOverride>
    <w:lvlOverride w:ilvl="5">
      <w:lvl w:ilvl="5">
        <w:start w:val="1"/>
        <w:numFmt w:val="none"/>
        <w:lvlText w:val="%6"/>
        <w:lvlJc w:val="right"/>
        <w:pPr>
          <w:ind w:left="4320" w:hanging="180"/>
        </w:pPr>
        <w:rPr>
          <w:rFonts w:hint="default"/>
        </w:rPr>
      </w:lvl>
    </w:lvlOverride>
    <w:lvlOverride w:ilvl="6">
      <w:lvl w:ilvl="6">
        <w:start w:val="1"/>
        <w:numFmt w:val="none"/>
        <w:lvlText w:val="%7"/>
        <w:lvlJc w:val="left"/>
        <w:pPr>
          <w:ind w:left="5040" w:hanging="360"/>
        </w:pPr>
        <w:rPr>
          <w:rFonts w:hint="default"/>
        </w:rPr>
      </w:lvl>
    </w:lvlOverride>
    <w:lvlOverride w:ilvl="7">
      <w:lvl w:ilvl="7">
        <w:start w:val="1"/>
        <w:numFmt w:val="none"/>
        <w:lvlText w:val="%8"/>
        <w:lvlJc w:val="left"/>
        <w:pPr>
          <w:ind w:left="5760" w:hanging="360"/>
        </w:pPr>
        <w:rPr>
          <w:rFonts w:hint="default"/>
        </w:rPr>
      </w:lvl>
    </w:lvlOverride>
    <w:lvlOverride w:ilvl="8">
      <w:lvl w:ilvl="8">
        <w:start w:val="1"/>
        <w:numFmt w:val="none"/>
        <w:lvlText w:val="%9"/>
        <w:lvlJc w:val="right"/>
        <w:pPr>
          <w:ind w:left="6480" w:hanging="180"/>
        </w:pPr>
        <w:rPr>
          <w:rFonts w:hint="default"/>
        </w:rPr>
      </w:lvl>
    </w:lvlOverride>
  </w:num>
  <w:num w:numId="6" w16cid:durableId="903292233">
    <w:abstractNumId w:val="16"/>
  </w:num>
  <w:num w:numId="7" w16cid:durableId="1819805575">
    <w:abstractNumId w:val="6"/>
  </w:num>
  <w:num w:numId="8" w16cid:durableId="388498702">
    <w:abstractNumId w:val="3"/>
  </w:num>
  <w:num w:numId="9" w16cid:durableId="114566400">
    <w:abstractNumId w:val="7"/>
  </w:num>
  <w:num w:numId="10" w16cid:durableId="1515879721">
    <w:abstractNumId w:val="2"/>
  </w:num>
  <w:num w:numId="11" w16cid:durableId="556164201">
    <w:abstractNumId w:val="5"/>
  </w:num>
  <w:num w:numId="12" w16cid:durableId="1990748706">
    <w:abstractNumId w:val="8"/>
  </w:num>
  <w:num w:numId="13" w16cid:durableId="525144057">
    <w:abstractNumId w:val="15"/>
  </w:num>
  <w:num w:numId="14" w16cid:durableId="1466046204">
    <w:abstractNumId w:val="13"/>
  </w:num>
  <w:num w:numId="15" w16cid:durableId="1905867046">
    <w:abstractNumId w:val="17"/>
  </w:num>
  <w:num w:numId="16" w16cid:durableId="1809592521">
    <w:abstractNumId w:val="18"/>
  </w:num>
  <w:num w:numId="17" w16cid:durableId="940377586">
    <w:abstractNumId w:val="1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trackedChanges" w:enforcement="0"/>
  <w:defaultTabStop w:val="720"/>
  <w:evenAndOddHeaders/>
  <w:drawingGridHorizontalSpacing w:val="95"/>
  <w:displayHorizontalDrawingGridEvery w:val="2"/>
  <w:displayVerticalDrawingGridEvery w:val="2"/>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xAppendixName" w:val="Appendix"/>
  </w:docVars>
  <w:rsids>
    <w:rsidRoot w:val="005C4474"/>
    <w:rsid w:val="00003949"/>
    <w:rsid w:val="00014147"/>
    <w:rsid w:val="0002237F"/>
    <w:rsid w:val="00032E82"/>
    <w:rsid w:val="000337DA"/>
    <w:rsid w:val="00041CC6"/>
    <w:rsid w:val="00041E70"/>
    <w:rsid w:val="00043402"/>
    <w:rsid w:val="00044F86"/>
    <w:rsid w:val="00046028"/>
    <w:rsid w:val="00047205"/>
    <w:rsid w:val="00050902"/>
    <w:rsid w:val="00053373"/>
    <w:rsid w:val="00057EFC"/>
    <w:rsid w:val="0006151E"/>
    <w:rsid w:val="000675E5"/>
    <w:rsid w:val="00074A7D"/>
    <w:rsid w:val="000751CD"/>
    <w:rsid w:val="000766DA"/>
    <w:rsid w:val="000773B9"/>
    <w:rsid w:val="00084512"/>
    <w:rsid w:val="0009234B"/>
    <w:rsid w:val="00092DC7"/>
    <w:rsid w:val="00094EB8"/>
    <w:rsid w:val="000963CD"/>
    <w:rsid w:val="000A36C5"/>
    <w:rsid w:val="000A3786"/>
    <w:rsid w:val="000A72A4"/>
    <w:rsid w:val="000A7D48"/>
    <w:rsid w:val="000B6E30"/>
    <w:rsid w:val="000C2447"/>
    <w:rsid w:val="000C3BCA"/>
    <w:rsid w:val="000C4C89"/>
    <w:rsid w:val="000C66AD"/>
    <w:rsid w:val="000D1E34"/>
    <w:rsid w:val="000D74C6"/>
    <w:rsid w:val="000D7729"/>
    <w:rsid w:val="000D7ECE"/>
    <w:rsid w:val="000E1FAE"/>
    <w:rsid w:val="000E54C9"/>
    <w:rsid w:val="000F4EC0"/>
    <w:rsid w:val="000F5FB5"/>
    <w:rsid w:val="000F6116"/>
    <w:rsid w:val="000F7996"/>
    <w:rsid w:val="001029CF"/>
    <w:rsid w:val="00106518"/>
    <w:rsid w:val="001134D2"/>
    <w:rsid w:val="00116CB6"/>
    <w:rsid w:val="00122694"/>
    <w:rsid w:val="0012483F"/>
    <w:rsid w:val="00131634"/>
    <w:rsid w:val="0013604A"/>
    <w:rsid w:val="001375EE"/>
    <w:rsid w:val="00141EFB"/>
    <w:rsid w:val="00151B93"/>
    <w:rsid w:val="00154761"/>
    <w:rsid w:val="00156875"/>
    <w:rsid w:val="001575B6"/>
    <w:rsid w:val="00161C13"/>
    <w:rsid w:val="00173082"/>
    <w:rsid w:val="0017327A"/>
    <w:rsid w:val="00173E17"/>
    <w:rsid w:val="0017694B"/>
    <w:rsid w:val="0018121D"/>
    <w:rsid w:val="00182820"/>
    <w:rsid w:val="00185F14"/>
    <w:rsid w:val="0019027D"/>
    <w:rsid w:val="00193650"/>
    <w:rsid w:val="00196C75"/>
    <w:rsid w:val="001A579F"/>
    <w:rsid w:val="001A697F"/>
    <w:rsid w:val="001A6D68"/>
    <w:rsid w:val="001A6ED9"/>
    <w:rsid w:val="001A71DB"/>
    <w:rsid w:val="001B2001"/>
    <w:rsid w:val="001B2A7D"/>
    <w:rsid w:val="001B41B5"/>
    <w:rsid w:val="001B456D"/>
    <w:rsid w:val="001B4E88"/>
    <w:rsid w:val="001C17C1"/>
    <w:rsid w:val="001D2AFC"/>
    <w:rsid w:val="001D3600"/>
    <w:rsid w:val="001D6E30"/>
    <w:rsid w:val="001E08A9"/>
    <w:rsid w:val="001E1CB0"/>
    <w:rsid w:val="001E2E84"/>
    <w:rsid w:val="001E5900"/>
    <w:rsid w:val="001E71B3"/>
    <w:rsid w:val="001F3F7A"/>
    <w:rsid w:val="001F6712"/>
    <w:rsid w:val="001F727C"/>
    <w:rsid w:val="002073B3"/>
    <w:rsid w:val="00211012"/>
    <w:rsid w:val="002173F7"/>
    <w:rsid w:val="0022096F"/>
    <w:rsid w:val="00223B9D"/>
    <w:rsid w:val="00224794"/>
    <w:rsid w:val="0023075B"/>
    <w:rsid w:val="00236983"/>
    <w:rsid w:val="00240091"/>
    <w:rsid w:val="002436AE"/>
    <w:rsid w:val="00243D01"/>
    <w:rsid w:val="00251DC3"/>
    <w:rsid w:val="00253F72"/>
    <w:rsid w:val="00254677"/>
    <w:rsid w:val="00256AF2"/>
    <w:rsid w:val="00257986"/>
    <w:rsid w:val="00260E7F"/>
    <w:rsid w:val="00275E6B"/>
    <w:rsid w:val="00280154"/>
    <w:rsid w:val="00283F74"/>
    <w:rsid w:val="002900B0"/>
    <w:rsid w:val="002954C4"/>
    <w:rsid w:val="00297F0E"/>
    <w:rsid w:val="002A40A3"/>
    <w:rsid w:val="002B0C3E"/>
    <w:rsid w:val="002B0E3C"/>
    <w:rsid w:val="002B47F4"/>
    <w:rsid w:val="002B5952"/>
    <w:rsid w:val="002C0D9D"/>
    <w:rsid w:val="002E031A"/>
    <w:rsid w:val="002E44C4"/>
    <w:rsid w:val="002F2DC9"/>
    <w:rsid w:val="002F4451"/>
    <w:rsid w:val="002F7BB1"/>
    <w:rsid w:val="002F7FF9"/>
    <w:rsid w:val="0030014A"/>
    <w:rsid w:val="00304D1F"/>
    <w:rsid w:val="00307CF1"/>
    <w:rsid w:val="00310DC2"/>
    <w:rsid w:val="0031547F"/>
    <w:rsid w:val="003154B2"/>
    <w:rsid w:val="00316236"/>
    <w:rsid w:val="003176AE"/>
    <w:rsid w:val="00323D83"/>
    <w:rsid w:val="0032621A"/>
    <w:rsid w:val="00334011"/>
    <w:rsid w:val="003353D7"/>
    <w:rsid w:val="00340C7C"/>
    <w:rsid w:val="003443B9"/>
    <w:rsid w:val="0034509C"/>
    <w:rsid w:val="0034724F"/>
    <w:rsid w:val="003555F5"/>
    <w:rsid w:val="003559BE"/>
    <w:rsid w:val="00356089"/>
    <w:rsid w:val="0036247D"/>
    <w:rsid w:val="003635F6"/>
    <w:rsid w:val="00363D9B"/>
    <w:rsid w:val="00363E3A"/>
    <w:rsid w:val="00364984"/>
    <w:rsid w:val="0038521A"/>
    <w:rsid w:val="0038601C"/>
    <w:rsid w:val="00387E3B"/>
    <w:rsid w:val="003A1172"/>
    <w:rsid w:val="003A46A7"/>
    <w:rsid w:val="003C1035"/>
    <w:rsid w:val="003C2EF1"/>
    <w:rsid w:val="003C7BFA"/>
    <w:rsid w:val="003D46C3"/>
    <w:rsid w:val="003E3E83"/>
    <w:rsid w:val="003F2F68"/>
    <w:rsid w:val="00400EA1"/>
    <w:rsid w:val="0041245A"/>
    <w:rsid w:val="00412758"/>
    <w:rsid w:val="004163B4"/>
    <w:rsid w:val="00417545"/>
    <w:rsid w:val="00433860"/>
    <w:rsid w:val="00437790"/>
    <w:rsid w:val="004408F8"/>
    <w:rsid w:val="00440D2A"/>
    <w:rsid w:val="0044142D"/>
    <w:rsid w:val="00441EA2"/>
    <w:rsid w:val="00442FD6"/>
    <w:rsid w:val="00443834"/>
    <w:rsid w:val="0045228E"/>
    <w:rsid w:val="004535F6"/>
    <w:rsid w:val="00471329"/>
    <w:rsid w:val="00473C32"/>
    <w:rsid w:val="00480336"/>
    <w:rsid w:val="004813E6"/>
    <w:rsid w:val="0048656F"/>
    <w:rsid w:val="004867BB"/>
    <w:rsid w:val="00486CF7"/>
    <w:rsid w:val="00495500"/>
    <w:rsid w:val="00497150"/>
    <w:rsid w:val="0049729A"/>
    <w:rsid w:val="00497B45"/>
    <w:rsid w:val="004A6F0A"/>
    <w:rsid w:val="004B0674"/>
    <w:rsid w:val="004B21B9"/>
    <w:rsid w:val="004B23D9"/>
    <w:rsid w:val="004B45C0"/>
    <w:rsid w:val="004B4F12"/>
    <w:rsid w:val="004C6692"/>
    <w:rsid w:val="004C6C22"/>
    <w:rsid w:val="004C7A7E"/>
    <w:rsid w:val="004C7D60"/>
    <w:rsid w:val="004D4F46"/>
    <w:rsid w:val="004F0CDF"/>
    <w:rsid w:val="004F30BD"/>
    <w:rsid w:val="004F59B4"/>
    <w:rsid w:val="004F6997"/>
    <w:rsid w:val="00500B73"/>
    <w:rsid w:val="005056CD"/>
    <w:rsid w:val="00516520"/>
    <w:rsid w:val="00525440"/>
    <w:rsid w:val="00525B8C"/>
    <w:rsid w:val="00534E9E"/>
    <w:rsid w:val="0053742F"/>
    <w:rsid w:val="0053761F"/>
    <w:rsid w:val="00545523"/>
    <w:rsid w:val="00545732"/>
    <w:rsid w:val="0055374E"/>
    <w:rsid w:val="0055631C"/>
    <w:rsid w:val="0057227E"/>
    <w:rsid w:val="0057409C"/>
    <w:rsid w:val="005750A5"/>
    <w:rsid w:val="005775CE"/>
    <w:rsid w:val="00584971"/>
    <w:rsid w:val="00592694"/>
    <w:rsid w:val="00595532"/>
    <w:rsid w:val="005A1D43"/>
    <w:rsid w:val="005A770E"/>
    <w:rsid w:val="005B4860"/>
    <w:rsid w:val="005B4EE1"/>
    <w:rsid w:val="005C274E"/>
    <w:rsid w:val="005C4474"/>
    <w:rsid w:val="005C4B71"/>
    <w:rsid w:val="005C5295"/>
    <w:rsid w:val="005C68F1"/>
    <w:rsid w:val="005D0790"/>
    <w:rsid w:val="005D0DF3"/>
    <w:rsid w:val="005D14B6"/>
    <w:rsid w:val="005D4811"/>
    <w:rsid w:val="005D734B"/>
    <w:rsid w:val="005F6DED"/>
    <w:rsid w:val="00607EC2"/>
    <w:rsid w:val="00610B90"/>
    <w:rsid w:val="006238B5"/>
    <w:rsid w:val="00627F58"/>
    <w:rsid w:val="00632BD3"/>
    <w:rsid w:val="00647B85"/>
    <w:rsid w:val="00651066"/>
    <w:rsid w:val="0065433C"/>
    <w:rsid w:val="00657D28"/>
    <w:rsid w:val="006659D0"/>
    <w:rsid w:val="006666CE"/>
    <w:rsid w:val="0068224A"/>
    <w:rsid w:val="00685888"/>
    <w:rsid w:val="00686D62"/>
    <w:rsid w:val="006978AC"/>
    <w:rsid w:val="006A37D1"/>
    <w:rsid w:val="006A4757"/>
    <w:rsid w:val="006A5EE1"/>
    <w:rsid w:val="006A6312"/>
    <w:rsid w:val="006C100C"/>
    <w:rsid w:val="006C72CB"/>
    <w:rsid w:val="006C7357"/>
    <w:rsid w:val="006D6A87"/>
    <w:rsid w:val="006D761B"/>
    <w:rsid w:val="006E5348"/>
    <w:rsid w:val="006E62E1"/>
    <w:rsid w:val="006E67F6"/>
    <w:rsid w:val="006E6BED"/>
    <w:rsid w:val="006F1DC6"/>
    <w:rsid w:val="00701977"/>
    <w:rsid w:val="00710AE2"/>
    <w:rsid w:val="00714CAC"/>
    <w:rsid w:val="00720744"/>
    <w:rsid w:val="0072402B"/>
    <w:rsid w:val="0072670F"/>
    <w:rsid w:val="00730B5D"/>
    <w:rsid w:val="00731F9A"/>
    <w:rsid w:val="00734512"/>
    <w:rsid w:val="007404F1"/>
    <w:rsid w:val="00745A8A"/>
    <w:rsid w:val="0074656C"/>
    <w:rsid w:val="0075067F"/>
    <w:rsid w:val="00754DFE"/>
    <w:rsid w:val="00757853"/>
    <w:rsid w:val="0076323B"/>
    <w:rsid w:val="007662FC"/>
    <w:rsid w:val="00776AB0"/>
    <w:rsid w:val="007857A4"/>
    <w:rsid w:val="00785ADA"/>
    <w:rsid w:val="00786FF5"/>
    <w:rsid w:val="007907CC"/>
    <w:rsid w:val="007940EC"/>
    <w:rsid w:val="007A0B5D"/>
    <w:rsid w:val="007A1A74"/>
    <w:rsid w:val="007A360D"/>
    <w:rsid w:val="007B446D"/>
    <w:rsid w:val="007B6773"/>
    <w:rsid w:val="007C1C1C"/>
    <w:rsid w:val="007C73B2"/>
    <w:rsid w:val="007C7738"/>
    <w:rsid w:val="007D0612"/>
    <w:rsid w:val="007E7CC5"/>
    <w:rsid w:val="007F3425"/>
    <w:rsid w:val="00802342"/>
    <w:rsid w:val="008031B4"/>
    <w:rsid w:val="0080669C"/>
    <w:rsid w:val="00806D28"/>
    <w:rsid w:val="008150A0"/>
    <w:rsid w:val="00816521"/>
    <w:rsid w:val="00821B7B"/>
    <w:rsid w:val="00821F4C"/>
    <w:rsid w:val="00821FA1"/>
    <w:rsid w:val="008225B6"/>
    <w:rsid w:val="00823A1A"/>
    <w:rsid w:val="008249DD"/>
    <w:rsid w:val="00841B3F"/>
    <w:rsid w:val="00841CC2"/>
    <w:rsid w:val="008428BF"/>
    <w:rsid w:val="00843E6D"/>
    <w:rsid w:val="0084748C"/>
    <w:rsid w:val="00847B12"/>
    <w:rsid w:val="008530DB"/>
    <w:rsid w:val="008544B9"/>
    <w:rsid w:val="008604BB"/>
    <w:rsid w:val="00860B2A"/>
    <w:rsid w:val="00861822"/>
    <w:rsid w:val="008633D6"/>
    <w:rsid w:val="008657A0"/>
    <w:rsid w:val="00865FD2"/>
    <w:rsid w:val="00881351"/>
    <w:rsid w:val="00881655"/>
    <w:rsid w:val="00881B88"/>
    <w:rsid w:val="00882EB4"/>
    <w:rsid w:val="00883127"/>
    <w:rsid w:val="00884258"/>
    <w:rsid w:val="00892F50"/>
    <w:rsid w:val="00895AD0"/>
    <w:rsid w:val="00895F12"/>
    <w:rsid w:val="008A2BDA"/>
    <w:rsid w:val="008A50E7"/>
    <w:rsid w:val="008B0CDE"/>
    <w:rsid w:val="008B76B8"/>
    <w:rsid w:val="008B7A83"/>
    <w:rsid w:val="008B7E8D"/>
    <w:rsid w:val="008C12B0"/>
    <w:rsid w:val="008C1A52"/>
    <w:rsid w:val="008C1C8E"/>
    <w:rsid w:val="008C2D6C"/>
    <w:rsid w:val="008D1DE0"/>
    <w:rsid w:val="008D2F0D"/>
    <w:rsid w:val="008D335D"/>
    <w:rsid w:val="008D3CD9"/>
    <w:rsid w:val="008E44A3"/>
    <w:rsid w:val="008E4A63"/>
    <w:rsid w:val="008E4D0B"/>
    <w:rsid w:val="008E6555"/>
    <w:rsid w:val="008F2AE1"/>
    <w:rsid w:val="008F7422"/>
    <w:rsid w:val="008F79BC"/>
    <w:rsid w:val="009044B1"/>
    <w:rsid w:val="009056B9"/>
    <w:rsid w:val="00905C25"/>
    <w:rsid w:val="00907D98"/>
    <w:rsid w:val="00913A05"/>
    <w:rsid w:val="00922DE5"/>
    <w:rsid w:val="009255C9"/>
    <w:rsid w:val="0092773E"/>
    <w:rsid w:val="00932DF9"/>
    <w:rsid w:val="00936B29"/>
    <w:rsid w:val="00943AF6"/>
    <w:rsid w:val="009500E0"/>
    <w:rsid w:val="009540DA"/>
    <w:rsid w:val="00957BD2"/>
    <w:rsid w:val="009620D7"/>
    <w:rsid w:val="0096344B"/>
    <w:rsid w:val="009643F7"/>
    <w:rsid w:val="009647B8"/>
    <w:rsid w:val="009709B1"/>
    <w:rsid w:val="0097346B"/>
    <w:rsid w:val="00973990"/>
    <w:rsid w:val="00974904"/>
    <w:rsid w:val="00976D85"/>
    <w:rsid w:val="009912AF"/>
    <w:rsid w:val="00994EE1"/>
    <w:rsid w:val="00995DF6"/>
    <w:rsid w:val="00997720"/>
    <w:rsid w:val="009A7D2A"/>
    <w:rsid w:val="009B43C1"/>
    <w:rsid w:val="009B7D26"/>
    <w:rsid w:val="009C03FF"/>
    <w:rsid w:val="009C0A25"/>
    <w:rsid w:val="009C2F8E"/>
    <w:rsid w:val="009D04AE"/>
    <w:rsid w:val="009D10E5"/>
    <w:rsid w:val="009D7D7F"/>
    <w:rsid w:val="009E745E"/>
    <w:rsid w:val="009E7EF5"/>
    <w:rsid w:val="009F21CA"/>
    <w:rsid w:val="009F5244"/>
    <w:rsid w:val="009F7558"/>
    <w:rsid w:val="00A01B05"/>
    <w:rsid w:val="00A01CAE"/>
    <w:rsid w:val="00A04665"/>
    <w:rsid w:val="00A05CB6"/>
    <w:rsid w:val="00A1017F"/>
    <w:rsid w:val="00A10956"/>
    <w:rsid w:val="00A11370"/>
    <w:rsid w:val="00A11B54"/>
    <w:rsid w:val="00A160FE"/>
    <w:rsid w:val="00A17DB0"/>
    <w:rsid w:val="00A2038A"/>
    <w:rsid w:val="00A2708D"/>
    <w:rsid w:val="00A3636D"/>
    <w:rsid w:val="00A375AB"/>
    <w:rsid w:val="00A43502"/>
    <w:rsid w:val="00A45B0A"/>
    <w:rsid w:val="00A45D1F"/>
    <w:rsid w:val="00A510B3"/>
    <w:rsid w:val="00A51A61"/>
    <w:rsid w:val="00A523B7"/>
    <w:rsid w:val="00A53858"/>
    <w:rsid w:val="00A61BF2"/>
    <w:rsid w:val="00A67EDF"/>
    <w:rsid w:val="00A70C6D"/>
    <w:rsid w:val="00A7335F"/>
    <w:rsid w:val="00A74701"/>
    <w:rsid w:val="00A75519"/>
    <w:rsid w:val="00A75B52"/>
    <w:rsid w:val="00A8282B"/>
    <w:rsid w:val="00A86A6F"/>
    <w:rsid w:val="00A86DBC"/>
    <w:rsid w:val="00A96270"/>
    <w:rsid w:val="00A967F5"/>
    <w:rsid w:val="00AA187A"/>
    <w:rsid w:val="00AA77A0"/>
    <w:rsid w:val="00AA7D3E"/>
    <w:rsid w:val="00AB4EF5"/>
    <w:rsid w:val="00AB71DB"/>
    <w:rsid w:val="00AC6581"/>
    <w:rsid w:val="00AC7B92"/>
    <w:rsid w:val="00AD2382"/>
    <w:rsid w:val="00AD572D"/>
    <w:rsid w:val="00AD5E35"/>
    <w:rsid w:val="00AD6677"/>
    <w:rsid w:val="00AD7C6B"/>
    <w:rsid w:val="00AE0804"/>
    <w:rsid w:val="00AE3F04"/>
    <w:rsid w:val="00AF1F60"/>
    <w:rsid w:val="00AF7392"/>
    <w:rsid w:val="00AF740A"/>
    <w:rsid w:val="00B02211"/>
    <w:rsid w:val="00B10B2C"/>
    <w:rsid w:val="00B137C9"/>
    <w:rsid w:val="00B241C2"/>
    <w:rsid w:val="00B26F42"/>
    <w:rsid w:val="00B34D46"/>
    <w:rsid w:val="00B37312"/>
    <w:rsid w:val="00B3746C"/>
    <w:rsid w:val="00B37FA9"/>
    <w:rsid w:val="00B40441"/>
    <w:rsid w:val="00B414BB"/>
    <w:rsid w:val="00B44969"/>
    <w:rsid w:val="00B45187"/>
    <w:rsid w:val="00B62492"/>
    <w:rsid w:val="00B71BBE"/>
    <w:rsid w:val="00B76487"/>
    <w:rsid w:val="00B7758C"/>
    <w:rsid w:val="00B778E4"/>
    <w:rsid w:val="00B81639"/>
    <w:rsid w:val="00B817F3"/>
    <w:rsid w:val="00B91DE3"/>
    <w:rsid w:val="00BA4CB5"/>
    <w:rsid w:val="00BB0720"/>
    <w:rsid w:val="00BB34CA"/>
    <w:rsid w:val="00BB46A6"/>
    <w:rsid w:val="00BB5316"/>
    <w:rsid w:val="00BB69B5"/>
    <w:rsid w:val="00BC00A4"/>
    <w:rsid w:val="00BC0ECC"/>
    <w:rsid w:val="00BC5732"/>
    <w:rsid w:val="00BD0E38"/>
    <w:rsid w:val="00BD1BCF"/>
    <w:rsid w:val="00BD3B9B"/>
    <w:rsid w:val="00BE3BCF"/>
    <w:rsid w:val="00BE4430"/>
    <w:rsid w:val="00BE6672"/>
    <w:rsid w:val="00BF4E0D"/>
    <w:rsid w:val="00C023E3"/>
    <w:rsid w:val="00C1019B"/>
    <w:rsid w:val="00C10E0B"/>
    <w:rsid w:val="00C13A47"/>
    <w:rsid w:val="00C148C0"/>
    <w:rsid w:val="00C16B1F"/>
    <w:rsid w:val="00C2472F"/>
    <w:rsid w:val="00C30B71"/>
    <w:rsid w:val="00C32F84"/>
    <w:rsid w:val="00C33FCA"/>
    <w:rsid w:val="00C361A3"/>
    <w:rsid w:val="00C36470"/>
    <w:rsid w:val="00C37DEA"/>
    <w:rsid w:val="00C447D6"/>
    <w:rsid w:val="00C50CD7"/>
    <w:rsid w:val="00C512E2"/>
    <w:rsid w:val="00C53377"/>
    <w:rsid w:val="00C5338E"/>
    <w:rsid w:val="00C53BE2"/>
    <w:rsid w:val="00C73B1F"/>
    <w:rsid w:val="00C75610"/>
    <w:rsid w:val="00C76337"/>
    <w:rsid w:val="00C76D7B"/>
    <w:rsid w:val="00C849C5"/>
    <w:rsid w:val="00C87288"/>
    <w:rsid w:val="00C873AB"/>
    <w:rsid w:val="00C928FD"/>
    <w:rsid w:val="00C94DD6"/>
    <w:rsid w:val="00CA1C53"/>
    <w:rsid w:val="00CA3719"/>
    <w:rsid w:val="00CA50C8"/>
    <w:rsid w:val="00CA5A49"/>
    <w:rsid w:val="00CB0071"/>
    <w:rsid w:val="00CB10D2"/>
    <w:rsid w:val="00CB2C41"/>
    <w:rsid w:val="00CB55CF"/>
    <w:rsid w:val="00CB5B61"/>
    <w:rsid w:val="00CB63E3"/>
    <w:rsid w:val="00CC2980"/>
    <w:rsid w:val="00CD6053"/>
    <w:rsid w:val="00CD6056"/>
    <w:rsid w:val="00CE20F3"/>
    <w:rsid w:val="00D02B14"/>
    <w:rsid w:val="00D03A49"/>
    <w:rsid w:val="00D03D4D"/>
    <w:rsid w:val="00D04CDF"/>
    <w:rsid w:val="00D071D0"/>
    <w:rsid w:val="00D14B99"/>
    <w:rsid w:val="00D15DE3"/>
    <w:rsid w:val="00D16D11"/>
    <w:rsid w:val="00D17ED8"/>
    <w:rsid w:val="00D204B9"/>
    <w:rsid w:val="00D21F8E"/>
    <w:rsid w:val="00D24BC7"/>
    <w:rsid w:val="00D2644E"/>
    <w:rsid w:val="00D30F04"/>
    <w:rsid w:val="00D314C2"/>
    <w:rsid w:val="00D33DD2"/>
    <w:rsid w:val="00D40C33"/>
    <w:rsid w:val="00D647C4"/>
    <w:rsid w:val="00D70490"/>
    <w:rsid w:val="00D71BFB"/>
    <w:rsid w:val="00D73A19"/>
    <w:rsid w:val="00D75C97"/>
    <w:rsid w:val="00D77B1F"/>
    <w:rsid w:val="00D83D08"/>
    <w:rsid w:val="00D84054"/>
    <w:rsid w:val="00D86DF0"/>
    <w:rsid w:val="00D87F99"/>
    <w:rsid w:val="00D949DA"/>
    <w:rsid w:val="00DA5B8D"/>
    <w:rsid w:val="00DA5E95"/>
    <w:rsid w:val="00DA5F27"/>
    <w:rsid w:val="00DB14F9"/>
    <w:rsid w:val="00DB4FED"/>
    <w:rsid w:val="00DB7E9B"/>
    <w:rsid w:val="00DC06F4"/>
    <w:rsid w:val="00DC10B3"/>
    <w:rsid w:val="00DC32E9"/>
    <w:rsid w:val="00DC4B7E"/>
    <w:rsid w:val="00DC53A8"/>
    <w:rsid w:val="00DD2BC6"/>
    <w:rsid w:val="00DD2E67"/>
    <w:rsid w:val="00DD56FD"/>
    <w:rsid w:val="00DE0A98"/>
    <w:rsid w:val="00DE2653"/>
    <w:rsid w:val="00DE6417"/>
    <w:rsid w:val="00DF339C"/>
    <w:rsid w:val="00DF6614"/>
    <w:rsid w:val="00E03232"/>
    <w:rsid w:val="00E03F69"/>
    <w:rsid w:val="00E137E5"/>
    <w:rsid w:val="00E138E1"/>
    <w:rsid w:val="00E13EA9"/>
    <w:rsid w:val="00E14FE6"/>
    <w:rsid w:val="00E173E7"/>
    <w:rsid w:val="00E240FC"/>
    <w:rsid w:val="00E25B40"/>
    <w:rsid w:val="00E26C7D"/>
    <w:rsid w:val="00E2705B"/>
    <w:rsid w:val="00E3217D"/>
    <w:rsid w:val="00E3477F"/>
    <w:rsid w:val="00E34B14"/>
    <w:rsid w:val="00E42EAD"/>
    <w:rsid w:val="00E43706"/>
    <w:rsid w:val="00E44086"/>
    <w:rsid w:val="00E44BA8"/>
    <w:rsid w:val="00E51684"/>
    <w:rsid w:val="00E54497"/>
    <w:rsid w:val="00E563C9"/>
    <w:rsid w:val="00E56E79"/>
    <w:rsid w:val="00E602EC"/>
    <w:rsid w:val="00E64111"/>
    <w:rsid w:val="00E64163"/>
    <w:rsid w:val="00E7007A"/>
    <w:rsid w:val="00E73C7C"/>
    <w:rsid w:val="00E76F22"/>
    <w:rsid w:val="00E81A4D"/>
    <w:rsid w:val="00E81F94"/>
    <w:rsid w:val="00E84085"/>
    <w:rsid w:val="00E84857"/>
    <w:rsid w:val="00E90AC7"/>
    <w:rsid w:val="00EA7306"/>
    <w:rsid w:val="00EB0B07"/>
    <w:rsid w:val="00EB10BD"/>
    <w:rsid w:val="00EC3359"/>
    <w:rsid w:val="00ED0325"/>
    <w:rsid w:val="00ED14DF"/>
    <w:rsid w:val="00ED2858"/>
    <w:rsid w:val="00ED5419"/>
    <w:rsid w:val="00ED54EF"/>
    <w:rsid w:val="00EE6455"/>
    <w:rsid w:val="00EE70FC"/>
    <w:rsid w:val="00EF0FDF"/>
    <w:rsid w:val="00EF5545"/>
    <w:rsid w:val="00F01225"/>
    <w:rsid w:val="00F032B0"/>
    <w:rsid w:val="00F0574B"/>
    <w:rsid w:val="00F1220B"/>
    <w:rsid w:val="00F12341"/>
    <w:rsid w:val="00F12AE9"/>
    <w:rsid w:val="00F1395F"/>
    <w:rsid w:val="00F2122C"/>
    <w:rsid w:val="00F267E7"/>
    <w:rsid w:val="00F351B7"/>
    <w:rsid w:val="00F40133"/>
    <w:rsid w:val="00F42185"/>
    <w:rsid w:val="00F4743F"/>
    <w:rsid w:val="00F5091C"/>
    <w:rsid w:val="00F646AC"/>
    <w:rsid w:val="00F67C15"/>
    <w:rsid w:val="00F70165"/>
    <w:rsid w:val="00F71EA4"/>
    <w:rsid w:val="00F73188"/>
    <w:rsid w:val="00F81912"/>
    <w:rsid w:val="00F83FAA"/>
    <w:rsid w:val="00F86587"/>
    <w:rsid w:val="00F912F2"/>
    <w:rsid w:val="00FA2478"/>
    <w:rsid w:val="00FA45A5"/>
    <w:rsid w:val="00FA4665"/>
    <w:rsid w:val="00FA4E46"/>
    <w:rsid w:val="00FA7D51"/>
    <w:rsid w:val="00FB311C"/>
    <w:rsid w:val="00FC1F4A"/>
    <w:rsid w:val="00FC557C"/>
    <w:rsid w:val="00FC5841"/>
    <w:rsid w:val="00FD58F2"/>
    <w:rsid w:val="00FD69BD"/>
    <w:rsid w:val="00FD749E"/>
    <w:rsid w:val="00FE6524"/>
    <w:rsid w:val="00FE754A"/>
    <w:rsid w:val="00FF09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0F5F6D5F"/>
  <w15:docId w15:val="{BFBB26B7-BDE7-4133-8F16-E585E63686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3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3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uiPriority="5"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6" w:unhideWhenUsed="1" w:qFormat="1"/>
    <w:lsdException w:name="List Bullet 3" w:semiHidden="1" w:uiPriority="6" w:unhideWhenUsed="1" w:qFormat="1"/>
    <w:lsdException w:name="List Bullet 4" w:semiHidden="1" w:unhideWhenUsed="1"/>
    <w:lsdException w:name="List Bullet 5" w:semiHidden="1" w:unhideWhenUsed="1"/>
    <w:lsdException w:name="List Number 2" w:semiHidden="1" w:uiPriority="2" w:unhideWhenUsed="1" w:qFormat="1"/>
    <w:lsdException w:name="List Number 3" w:semiHidden="1" w:uiPriority="2" w:unhideWhenUsed="1"/>
    <w:lsdException w:name="List Number 4" w:unhideWhenUsed="1"/>
    <w:lsdException w:name="List Number 5"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lsdException w:name="Message Header" w:semiHidden="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39" w:unhideWhenUsed="1"/>
    <w:lsdException w:name="Plain Text" w:semiHidden="1" w:uiPriority="3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3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3"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1"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D335D"/>
    <w:pPr>
      <w:spacing w:before="120" w:after="120" w:line="276" w:lineRule="auto"/>
    </w:pPr>
    <w:rPr>
      <w:rFonts w:ascii="Arial" w:hAnsi="Arial"/>
      <w:sz w:val="19"/>
    </w:rPr>
  </w:style>
  <w:style w:type="paragraph" w:styleId="Heading1">
    <w:name w:val="heading 1"/>
    <w:basedOn w:val="Normal"/>
    <w:next w:val="BodyText"/>
    <w:link w:val="Heading1Char"/>
    <w:qFormat/>
    <w:rsid w:val="00B241C2"/>
    <w:pPr>
      <w:keepNext/>
      <w:keepLines/>
      <w:pageBreakBefore/>
      <w:numPr>
        <w:numId w:val="7"/>
      </w:numPr>
      <w:spacing w:after="960"/>
      <w:ind w:left="0" w:firstLine="0"/>
      <w:outlineLvl w:val="0"/>
    </w:pPr>
    <w:rPr>
      <w:rFonts w:eastAsia="Times New Roman" w:cs="Times New Roman"/>
      <w:color w:val="004F9E"/>
      <w:kern w:val="32"/>
      <w:sz w:val="60"/>
      <w:szCs w:val="48"/>
      <w:lang w:eastAsia="fr-CA"/>
    </w:rPr>
  </w:style>
  <w:style w:type="paragraph" w:styleId="Heading2">
    <w:name w:val="heading 2"/>
    <w:basedOn w:val="Normal"/>
    <w:next w:val="BodyText"/>
    <w:link w:val="Heading2Char"/>
    <w:qFormat/>
    <w:rsid w:val="00E03232"/>
    <w:pPr>
      <w:keepNext/>
      <w:keepLines/>
      <w:numPr>
        <w:ilvl w:val="1"/>
        <w:numId w:val="7"/>
      </w:numPr>
      <w:pBdr>
        <w:between w:val="single" w:sz="4" w:space="9" w:color="D7D8D6" w:themeColor="accent1"/>
      </w:pBdr>
      <w:spacing w:before="240"/>
      <w:outlineLvl w:val="1"/>
    </w:pPr>
    <w:rPr>
      <w:rFonts w:eastAsia="Times New Roman" w:cs="Times New Roman"/>
      <w:color w:val="004F9E"/>
      <w:sz w:val="32"/>
      <w:szCs w:val="24"/>
      <w:lang w:eastAsia="fr-CA"/>
    </w:rPr>
  </w:style>
  <w:style w:type="paragraph" w:styleId="Heading3">
    <w:name w:val="heading 3"/>
    <w:basedOn w:val="Normal"/>
    <w:next w:val="BodyText"/>
    <w:link w:val="Heading3Char"/>
    <w:qFormat/>
    <w:rsid w:val="00E03232"/>
    <w:pPr>
      <w:keepNext/>
      <w:keepLines/>
      <w:numPr>
        <w:ilvl w:val="2"/>
        <w:numId w:val="7"/>
      </w:numPr>
      <w:spacing w:before="240"/>
      <w:outlineLvl w:val="2"/>
    </w:pPr>
    <w:rPr>
      <w:rFonts w:eastAsiaTheme="majorEastAsia" w:cs="Arial"/>
      <w:bCs/>
      <w:color w:val="004F9E"/>
      <w:sz w:val="24"/>
      <w:szCs w:val="24"/>
      <w:lang w:eastAsia="fr-CA"/>
    </w:rPr>
  </w:style>
  <w:style w:type="paragraph" w:styleId="Heading4">
    <w:name w:val="heading 4"/>
    <w:basedOn w:val="Normal"/>
    <w:next w:val="BodyText"/>
    <w:link w:val="Heading4Char"/>
    <w:qFormat/>
    <w:rsid w:val="00E03232"/>
    <w:pPr>
      <w:keepNext/>
      <w:keepLines/>
      <w:spacing w:before="200" w:after="60"/>
      <w:outlineLvl w:val="3"/>
    </w:pPr>
    <w:rPr>
      <w:rFonts w:ascii="Arial Bold" w:eastAsiaTheme="minorEastAsia" w:hAnsi="Arial Bold" w:cs="Arial"/>
      <w:b/>
      <w:bCs/>
      <w:color w:val="004F9E"/>
      <w:szCs w:val="20"/>
      <w:lang w:eastAsia="fr-CA"/>
    </w:rPr>
  </w:style>
  <w:style w:type="paragraph" w:styleId="Heading5">
    <w:name w:val="heading 5"/>
    <w:basedOn w:val="Normal"/>
    <w:next w:val="BodyText"/>
    <w:link w:val="Heading5Char"/>
    <w:qFormat/>
    <w:rsid w:val="00E03232"/>
    <w:pPr>
      <w:keepNext/>
      <w:keepLines/>
      <w:spacing w:before="200" w:after="60"/>
      <w:ind w:right="896"/>
      <w:outlineLvl w:val="4"/>
    </w:pPr>
    <w:rPr>
      <w:rFonts w:eastAsia="Times New Roman" w:cs="Times New Roman"/>
      <w:i/>
      <w:color w:val="004F9E"/>
      <w:szCs w:val="24"/>
      <w:lang w:eastAsia="fr-CA"/>
    </w:rPr>
  </w:style>
  <w:style w:type="paragraph" w:styleId="Heading6">
    <w:name w:val="heading 6"/>
    <w:basedOn w:val="Normal"/>
    <w:next w:val="Normal"/>
    <w:link w:val="Heading6Char"/>
    <w:qFormat/>
    <w:rsid w:val="009E745E"/>
    <w:pPr>
      <w:keepNext/>
      <w:keepLines/>
      <w:spacing w:before="40" w:after="0"/>
      <w:outlineLvl w:val="5"/>
    </w:pPr>
    <w:rPr>
      <w:rFonts w:asciiTheme="majorHAnsi" w:eastAsiaTheme="majorEastAsia" w:hAnsiTheme="majorHAnsi" w:cstheme="majorBidi"/>
      <w:color w:val="6A6D68" w:themeColor="accent1" w:themeShade="7F"/>
    </w:rPr>
  </w:style>
  <w:style w:type="paragraph" w:styleId="Heading7">
    <w:name w:val="heading 7"/>
    <w:basedOn w:val="Normal"/>
    <w:next w:val="Normal"/>
    <w:link w:val="Heading7Char"/>
    <w:unhideWhenUsed/>
    <w:qFormat/>
    <w:rsid w:val="0072670F"/>
    <w:pPr>
      <w:keepNext/>
      <w:keepLines/>
      <w:spacing w:before="40" w:after="0"/>
      <w:outlineLvl w:val="6"/>
    </w:pPr>
    <w:rPr>
      <w:rFonts w:asciiTheme="majorHAnsi" w:eastAsiaTheme="majorEastAsia" w:hAnsiTheme="majorHAnsi" w:cstheme="majorBidi"/>
      <w:i/>
      <w:iCs/>
      <w:color w:val="6A6D68" w:themeColor="accent1" w:themeShade="7F"/>
    </w:rPr>
  </w:style>
  <w:style w:type="paragraph" w:styleId="Heading8">
    <w:name w:val="heading 8"/>
    <w:aliases w:val="Appendix Title"/>
    <w:basedOn w:val="Normal"/>
    <w:next w:val="Normal"/>
    <w:link w:val="Heading8Char"/>
    <w:unhideWhenUsed/>
    <w:qFormat/>
    <w:rsid w:val="0072670F"/>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aliases w:val="Appendix Heading 1"/>
    <w:basedOn w:val="Normal"/>
    <w:next w:val="Normal"/>
    <w:link w:val="Heading9Char"/>
    <w:unhideWhenUsed/>
    <w:qFormat/>
    <w:rsid w:val="0072670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53F72"/>
    <w:pPr>
      <w:spacing w:line="860" w:lineRule="exact"/>
      <w:ind w:left="437" w:right="-188"/>
      <w:jc w:val="right"/>
    </w:pPr>
    <w:rPr>
      <w:rFonts w:asciiTheme="majorHAnsi" w:eastAsiaTheme="majorEastAsia" w:hAnsiTheme="majorHAnsi" w:cstheme="majorBidi"/>
      <w:b/>
      <w:color w:val="FFFFFF" w:themeColor="background1"/>
      <w:kern w:val="28"/>
      <w:sz w:val="80"/>
      <w:szCs w:val="80"/>
    </w:rPr>
  </w:style>
  <w:style w:type="character" w:customStyle="1" w:styleId="TitleChar">
    <w:name w:val="Title Char"/>
    <w:basedOn w:val="DefaultParagraphFont"/>
    <w:link w:val="Title"/>
    <w:uiPriority w:val="10"/>
    <w:rsid w:val="00253F72"/>
    <w:rPr>
      <w:rFonts w:asciiTheme="majorHAnsi" w:eastAsiaTheme="majorEastAsia" w:hAnsiTheme="majorHAnsi" w:cstheme="majorBidi"/>
      <w:b/>
      <w:color w:val="FFFFFF" w:themeColor="background1"/>
      <w:kern w:val="28"/>
      <w:sz w:val="80"/>
      <w:szCs w:val="80"/>
    </w:rPr>
  </w:style>
  <w:style w:type="paragraph" w:styleId="Subtitle">
    <w:name w:val="Subtitle"/>
    <w:basedOn w:val="Title"/>
    <w:next w:val="Normal"/>
    <w:link w:val="SubtitleChar"/>
    <w:uiPriority w:val="11"/>
    <w:qFormat/>
    <w:rsid w:val="00CA3719"/>
    <w:pPr>
      <w:spacing w:line="240" w:lineRule="auto"/>
      <w:ind w:left="516"/>
    </w:pPr>
    <w:rPr>
      <w:b w:val="0"/>
      <w:caps/>
      <w:sz w:val="30"/>
      <w:szCs w:val="30"/>
    </w:rPr>
  </w:style>
  <w:style w:type="character" w:customStyle="1" w:styleId="SubtitleChar">
    <w:name w:val="Subtitle Char"/>
    <w:basedOn w:val="DefaultParagraphFont"/>
    <w:link w:val="Subtitle"/>
    <w:uiPriority w:val="11"/>
    <w:rsid w:val="00CA3719"/>
    <w:rPr>
      <w:rFonts w:asciiTheme="majorHAnsi" w:eastAsiaTheme="majorEastAsia" w:hAnsiTheme="majorHAnsi" w:cstheme="majorBidi"/>
      <w:caps/>
      <w:color w:val="FFFFFF" w:themeColor="background1"/>
      <w:kern w:val="28"/>
      <w:sz w:val="30"/>
      <w:szCs w:val="30"/>
    </w:rPr>
  </w:style>
  <w:style w:type="character" w:customStyle="1" w:styleId="Heading1Char">
    <w:name w:val="Heading 1 Char"/>
    <w:basedOn w:val="DefaultParagraphFont"/>
    <w:link w:val="Heading1"/>
    <w:rsid w:val="00B241C2"/>
    <w:rPr>
      <w:rFonts w:ascii="Arial" w:eastAsia="Times New Roman" w:hAnsi="Arial" w:cs="Times New Roman"/>
      <w:color w:val="004F9E"/>
      <w:kern w:val="32"/>
      <w:sz w:val="60"/>
      <w:szCs w:val="48"/>
      <w:lang w:eastAsia="fr-CA"/>
    </w:rPr>
  </w:style>
  <w:style w:type="character" w:customStyle="1" w:styleId="Heading2Char">
    <w:name w:val="Heading 2 Char"/>
    <w:basedOn w:val="DefaultParagraphFont"/>
    <w:link w:val="Heading2"/>
    <w:rsid w:val="00E03232"/>
    <w:rPr>
      <w:rFonts w:ascii="Arial" w:eastAsia="Times New Roman" w:hAnsi="Arial" w:cs="Times New Roman"/>
      <w:color w:val="004F9E"/>
      <w:sz w:val="32"/>
      <w:szCs w:val="24"/>
      <w:lang w:eastAsia="fr-CA"/>
    </w:rPr>
  </w:style>
  <w:style w:type="character" w:customStyle="1" w:styleId="Heading3Char">
    <w:name w:val="Heading 3 Char"/>
    <w:link w:val="Heading3"/>
    <w:rsid w:val="00E03232"/>
    <w:rPr>
      <w:rFonts w:ascii="Arial" w:eastAsiaTheme="majorEastAsia" w:hAnsi="Arial" w:cs="Arial"/>
      <w:bCs/>
      <w:color w:val="004F9E"/>
      <w:sz w:val="24"/>
      <w:szCs w:val="24"/>
      <w:lang w:eastAsia="fr-CA"/>
    </w:rPr>
  </w:style>
  <w:style w:type="character" w:customStyle="1" w:styleId="Heading4Char">
    <w:name w:val="Heading 4 Char"/>
    <w:basedOn w:val="DefaultParagraphFont"/>
    <w:link w:val="Heading4"/>
    <w:rsid w:val="00E03232"/>
    <w:rPr>
      <w:rFonts w:ascii="Arial Bold" w:eastAsiaTheme="minorEastAsia" w:hAnsi="Arial Bold" w:cs="Arial"/>
      <w:b/>
      <w:bCs/>
      <w:color w:val="004F9E"/>
      <w:sz w:val="19"/>
      <w:szCs w:val="20"/>
      <w:lang w:eastAsia="fr-CA"/>
    </w:rPr>
  </w:style>
  <w:style w:type="character" w:customStyle="1" w:styleId="Heading5Char">
    <w:name w:val="Heading 5 Char"/>
    <w:basedOn w:val="DefaultParagraphFont"/>
    <w:link w:val="Heading5"/>
    <w:rsid w:val="00E03232"/>
    <w:rPr>
      <w:rFonts w:ascii="Arial" w:eastAsia="Times New Roman" w:hAnsi="Arial" w:cs="Times New Roman"/>
      <w:i/>
      <w:color w:val="004F9E"/>
      <w:sz w:val="19"/>
      <w:szCs w:val="24"/>
      <w:lang w:eastAsia="fr-CA"/>
    </w:rPr>
  </w:style>
  <w:style w:type="paragraph" w:styleId="ListParagraph">
    <w:name w:val="List Paragraph"/>
    <w:basedOn w:val="Normal"/>
    <w:uiPriority w:val="34"/>
    <w:qFormat/>
    <w:rsid w:val="00DE0A98"/>
    <w:pPr>
      <w:ind w:left="720"/>
      <w:contextualSpacing/>
    </w:pPr>
  </w:style>
  <w:style w:type="paragraph" w:styleId="ListBullet">
    <w:name w:val="List Bullet"/>
    <w:aliases w:val="lb"/>
    <w:basedOn w:val="Normal"/>
    <w:uiPriority w:val="5"/>
    <w:qFormat/>
    <w:rsid w:val="00E03232"/>
    <w:pPr>
      <w:numPr>
        <w:numId w:val="6"/>
      </w:numPr>
    </w:pPr>
  </w:style>
  <w:style w:type="paragraph" w:styleId="ListBullet2">
    <w:name w:val="List Bullet 2"/>
    <w:aliases w:val="lb2"/>
    <w:basedOn w:val="Normal"/>
    <w:uiPriority w:val="6"/>
    <w:qFormat/>
    <w:rsid w:val="00E03232"/>
    <w:pPr>
      <w:numPr>
        <w:ilvl w:val="1"/>
        <w:numId w:val="6"/>
      </w:numPr>
      <w:ind w:left="568" w:hanging="284"/>
    </w:pPr>
  </w:style>
  <w:style w:type="paragraph" w:styleId="ListBullet3">
    <w:name w:val="List Bullet 3"/>
    <w:aliases w:val="lb3"/>
    <w:basedOn w:val="Normal"/>
    <w:uiPriority w:val="6"/>
    <w:qFormat/>
    <w:rsid w:val="00E03232"/>
    <w:pPr>
      <w:numPr>
        <w:ilvl w:val="2"/>
        <w:numId w:val="6"/>
      </w:numPr>
    </w:pPr>
  </w:style>
  <w:style w:type="paragraph" w:styleId="ListBullet4">
    <w:name w:val="List Bullet 4"/>
    <w:basedOn w:val="Normal"/>
    <w:rsid w:val="00D14B99"/>
    <w:pPr>
      <w:numPr>
        <w:ilvl w:val="3"/>
        <w:numId w:val="6"/>
      </w:numPr>
      <w:spacing w:after="160"/>
      <w:contextualSpacing/>
    </w:pPr>
  </w:style>
  <w:style w:type="paragraph" w:styleId="ListBullet5">
    <w:name w:val="List Bullet 5"/>
    <w:basedOn w:val="Normal"/>
    <w:rsid w:val="00D14B99"/>
    <w:pPr>
      <w:numPr>
        <w:ilvl w:val="4"/>
        <w:numId w:val="6"/>
      </w:numPr>
      <w:spacing w:after="160"/>
      <w:contextualSpacing/>
    </w:pPr>
  </w:style>
  <w:style w:type="paragraph" w:styleId="ListContinue">
    <w:name w:val="List Continue"/>
    <w:basedOn w:val="Normal"/>
    <w:qFormat/>
    <w:rsid w:val="00DE0A98"/>
    <w:pPr>
      <w:ind w:left="283"/>
      <w:contextualSpacing/>
    </w:pPr>
  </w:style>
  <w:style w:type="paragraph" w:styleId="ListContinue2">
    <w:name w:val="List Continue 2"/>
    <w:basedOn w:val="Normal"/>
    <w:rsid w:val="00DE0A98"/>
    <w:pPr>
      <w:ind w:left="566"/>
      <w:contextualSpacing/>
    </w:pPr>
  </w:style>
  <w:style w:type="paragraph" w:styleId="ListNumber">
    <w:name w:val="List Number"/>
    <w:basedOn w:val="Normal"/>
    <w:uiPriority w:val="7"/>
    <w:qFormat/>
    <w:rsid w:val="00E03232"/>
    <w:pPr>
      <w:numPr>
        <w:numId w:val="5"/>
      </w:numPr>
      <w:tabs>
        <w:tab w:val="clear" w:pos="360"/>
        <w:tab w:val="num" w:pos="284"/>
      </w:tabs>
    </w:pPr>
    <w:rPr>
      <w:lang w:eastAsia="fr-CA"/>
    </w:rPr>
  </w:style>
  <w:style w:type="paragraph" w:styleId="ListNumber2">
    <w:name w:val="List Number 2"/>
    <w:basedOn w:val="Normal"/>
    <w:uiPriority w:val="2"/>
    <w:qFormat/>
    <w:rsid w:val="00E03232"/>
    <w:pPr>
      <w:numPr>
        <w:ilvl w:val="1"/>
        <w:numId w:val="5"/>
      </w:numPr>
      <w:ind w:left="568" w:hanging="284"/>
    </w:pPr>
  </w:style>
  <w:style w:type="paragraph" w:styleId="ListNumber3">
    <w:name w:val="List Number 3"/>
    <w:basedOn w:val="Normal"/>
    <w:uiPriority w:val="2"/>
    <w:rsid w:val="00E03232"/>
    <w:pPr>
      <w:numPr>
        <w:ilvl w:val="2"/>
        <w:numId w:val="5"/>
      </w:numPr>
    </w:pPr>
  </w:style>
  <w:style w:type="character" w:styleId="IntenseEmphasis">
    <w:name w:val="Intense Emphasis"/>
    <w:basedOn w:val="DefaultParagraphFont"/>
    <w:uiPriority w:val="21"/>
    <w:qFormat/>
    <w:rsid w:val="003C2EF1"/>
    <w:rPr>
      <w:i/>
      <w:iCs/>
      <w:color w:val="auto"/>
    </w:rPr>
  </w:style>
  <w:style w:type="character" w:styleId="Strong">
    <w:name w:val="Strong"/>
    <w:basedOn w:val="DefaultParagraphFont"/>
    <w:uiPriority w:val="22"/>
    <w:qFormat/>
    <w:rsid w:val="003C2EF1"/>
    <w:rPr>
      <w:b/>
      <w:bCs/>
    </w:rPr>
  </w:style>
  <w:style w:type="paragraph" w:styleId="IntenseQuote">
    <w:name w:val="Intense Quote"/>
    <w:basedOn w:val="Normal"/>
    <w:next w:val="Normal"/>
    <w:link w:val="IntenseQuoteChar"/>
    <w:uiPriority w:val="30"/>
    <w:qFormat/>
    <w:rsid w:val="005C4B71"/>
    <w:pPr>
      <w:pBdr>
        <w:top w:val="single" w:sz="4" w:space="10" w:color="D7D8D6" w:themeColor="accent1"/>
        <w:bottom w:val="single" w:sz="4" w:space="10" w:color="D7D8D6" w:themeColor="accent1"/>
      </w:pBdr>
      <w:spacing w:before="360" w:after="360"/>
      <w:ind w:right="864"/>
    </w:pPr>
    <w:rPr>
      <w:i/>
      <w:iCs/>
      <w:color w:val="D7D8D6" w:themeColor="accent1"/>
    </w:rPr>
  </w:style>
  <w:style w:type="character" w:customStyle="1" w:styleId="IntenseQuoteChar">
    <w:name w:val="Intense Quote Char"/>
    <w:basedOn w:val="DefaultParagraphFont"/>
    <w:link w:val="IntenseQuote"/>
    <w:uiPriority w:val="30"/>
    <w:rsid w:val="00443834"/>
    <w:rPr>
      <w:i/>
      <w:iCs/>
      <w:color w:val="D7D8D6" w:themeColor="accent1"/>
      <w:sz w:val="19"/>
    </w:rPr>
  </w:style>
  <w:style w:type="paragraph" w:styleId="NoSpacing">
    <w:name w:val="No Spacing"/>
    <w:uiPriority w:val="1"/>
    <w:qFormat/>
    <w:rsid w:val="005C4B71"/>
    <w:pPr>
      <w:spacing w:after="0" w:line="240" w:lineRule="auto"/>
    </w:pPr>
    <w:rPr>
      <w:sz w:val="19"/>
    </w:rPr>
  </w:style>
  <w:style w:type="paragraph" w:styleId="BodyText">
    <w:name w:val="Body Text"/>
    <w:basedOn w:val="Normal"/>
    <w:next w:val="Normal"/>
    <w:link w:val="BodyTextChar"/>
    <w:qFormat/>
    <w:rsid w:val="00E137E5"/>
  </w:style>
  <w:style w:type="character" w:customStyle="1" w:styleId="BodyTextChar">
    <w:name w:val="Body Text Char"/>
    <w:basedOn w:val="DefaultParagraphFont"/>
    <w:link w:val="BodyText"/>
    <w:rsid w:val="00E137E5"/>
    <w:rPr>
      <w:rFonts w:ascii="Arial" w:hAnsi="Arial"/>
      <w:sz w:val="19"/>
    </w:rPr>
  </w:style>
  <w:style w:type="paragraph" w:styleId="BodyTextFirstIndent">
    <w:name w:val="Body Text First Indent"/>
    <w:basedOn w:val="BodyText"/>
    <w:link w:val="BodyTextFirstIndentChar"/>
    <w:rsid w:val="00734512"/>
    <w:pPr>
      <w:ind w:firstLine="360"/>
    </w:pPr>
  </w:style>
  <w:style w:type="character" w:customStyle="1" w:styleId="BodyTextFirstIndentChar">
    <w:name w:val="Body Text First Indent Char"/>
    <w:basedOn w:val="BodyTextChar"/>
    <w:link w:val="BodyTextFirstIndent"/>
    <w:rsid w:val="00443834"/>
    <w:rPr>
      <w:rFonts w:ascii="Arial" w:hAnsi="Arial"/>
      <w:sz w:val="19"/>
    </w:rPr>
  </w:style>
  <w:style w:type="paragraph" w:styleId="BodyText2">
    <w:name w:val="Body Text 2"/>
    <w:basedOn w:val="Normal"/>
    <w:link w:val="BodyText2Char"/>
    <w:semiHidden/>
    <w:qFormat/>
    <w:rsid w:val="00734512"/>
    <w:pPr>
      <w:spacing w:line="480" w:lineRule="auto"/>
    </w:pPr>
  </w:style>
  <w:style w:type="character" w:customStyle="1" w:styleId="BodyText2Char">
    <w:name w:val="Body Text 2 Char"/>
    <w:basedOn w:val="DefaultParagraphFont"/>
    <w:link w:val="BodyText2"/>
    <w:semiHidden/>
    <w:rsid w:val="00443834"/>
    <w:rPr>
      <w:sz w:val="19"/>
    </w:rPr>
  </w:style>
  <w:style w:type="paragraph" w:styleId="BodyText3">
    <w:name w:val="Body Text 3"/>
    <w:basedOn w:val="Normal"/>
    <w:link w:val="BodyText3Char"/>
    <w:semiHidden/>
    <w:rsid w:val="00734512"/>
    <w:rPr>
      <w:sz w:val="16"/>
      <w:szCs w:val="16"/>
    </w:rPr>
  </w:style>
  <w:style w:type="character" w:customStyle="1" w:styleId="BodyText3Char">
    <w:name w:val="Body Text 3 Char"/>
    <w:basedOn w:val="DefaultParagraphFont"/>
    <w:link w:val="BodyText3"/>
    <w:semiHidden/>
    <w:rsid w:val="00443834"/>
    <w:rPr>
      <w:sz w:val="16"/>
      <w:szCs w:val="16"/>
    </w:rPr>
  </w:style>
  <w:style w:type="paragraph" w:styleId="NormalIndent">
    <w:name w:val="Normal Indent"/>
    <w:basedOn w:val="Normal"/>
    <w:rsid w:val="00734512"/>
    <w:pPr>
      <w:ind w:left="720"/>
    </w:pPr>
  </w:style>
  <w:style w:type="paragraph" w:styleId="Quote">
    <w:name w:val="Quote"/>
    <w:basedOn w:val="Normal"/>
    <w:next w:val="Normal"/>
    <w:link w:val="QuoteChar"/>
    <w:uiPriority w:val="3"/>
    <w:qFormat/>
    <w:rsid w:val="0065433C"/>
    <w:pPr>
      <w:spacing w:before="200" w:after="160"/>
      <w:ind w:right="864"/>
    </w:pPr>
    <w:rPr>
      <w:i/>
      <w:iCs/>
      <w:color w:val="1C2B39" w:themeColor="text2"/>
    </w:rPr>
  </w:style>
  <w:style w:type="character" w:customStyle="1" w:styleId="QuoteChar">
    <w:name w:val="Quote Char"/>
    <w:basedOn w:val="DefaultParagraphFont"/>
    <w:link w:val="Quote"/>
    <w:uiPriority w:val="3"/>
    <w:rsid w:val="0065433C"/>
    <w:rPr>
      <w:i/>
      <w:iCs/>
      <w:color w:val="1C2B39" w:themeColor="text2"/>
      <w:sz w:val="19"/>
    </w:rPr>
  </w:style>
  <w:style w:type="table" w:styleId="TableGrid">
    <w:name w:val="Table Grid"/>
    <w:aliases w:val="表,Aventus Doc Control table,Table font,Basic"/>
    <w:basedOn w:val="TableNormal"/>
    <w:uiPriority w:val="59"/>
    <w:qFormat/>
    <w:rsid w:val="005563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1">
    <w:name w:val="List Table 41"/>
    <w:aliases w:val="LXRA T4"/>
    <w:basedOn w:val="ListTable4-Accent11"/>
    <w:uiPriority w:val="49"/>
    <w:rsid w:val="005B4EE1"/>
    <w:tblPr>
      <w:tblBorders>
        <w:top w:val="single" w:sz="4" w:space="0" w:color="666666" w:themeColor="text1" w:themeTint="99"/>
        <w:bottom w:val="single" w:sz="4" w:space="0" w:color="666666" w:themeColor="text1" w:themeTint="99"/>
      </w:tblBorders>
    </w:tblPr>
    <w:tblStylePr w:type="firstRow">
      <w:pPr>
        <w:jc w:val="left"/>
      </w:pPr>
      <w:rPr>
        <w:b/>
        <w:bCs/>
        <w:color w:val="FFFFFF" w:themeColor="background1"/>
      </w:rPr>
      <w:tblPr/>
      <w:trPr>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aliases w:val="LXRA T2"/>
    <w:basedOn w:val="TableNormal"/>
    <w:uiPriority w:val="49"/>
    <w:rsid w:val="005B4EE1"/>
    <w:pPr>
      <w:spacing w:after="0" w:line="240" w:lineRule="auto"/>
    </w:pPr>
    <w:tblPr>
      <w:tblStyleRowBandSize w:val="1"/>
      <w:tblStyleColBandSize w:val="1"/>
      <w:tblBorders>
        <w:top w:val="single" w:sz="4" w:space="0" w:color="E6E7E6" w:themeColor="accent1" w:themeTint="99"/>
        <w:bottom w:val="single" w:sz="4" w:space="0" w:color="E6E7E6" w:themeColor="accent1" w:themeTint="99"/>
      </w:tblBorders>
      <w:tblCellMar>
        <w:top w:w="113" w:type="dxa"/>
      </w:tblCellMar>
    </w:tblPr>
    <w:tcPr>
      <w:vAlign w:val="center"/>
    </w:tcPr>
    <w:tblStylePr w:type="firstRow">
      <w:pPr>
        <w:jc w:val="left"/>
      </w:pPr>
      <w:rPr>
        <w:b/>
        <w:bCs/>
        <w:color w:val="FFFFFF" w:themeColor="background1"/>
      </w:rPr>
      <w:tblPr/>
      <w:trPr>
        <w:tblHeader/>
      </w:trPr>
      <w:tcPr>
        <w:tcBorders>
          <w:top w:val="single" w:sz="4" w:space="0" w:color="D7D8D6" w:themeColor="accent1"/>
          <w:left w:val="single" w:sz="4" w:space="0" w:color="D7D8D6" w:themeColor="accent1"/>
          <w:bottom w:val="single" w:sz="4" w:space="0" w:color="D7D8D6" w:themeColor="accent1"/>
          <w:right w:val="single" w:sz="4" w:space="0" w:color="D7D8D6" w:themeColor="accent1"/>
          <w:insideH w:val="nil"/>
        </w:tcBorders>
        <w:shd w:val="clear" w:color="auto" w:fill="D7D8D6" w:themeFill="accent1"/>
      </w:tcPr>
    </w:tblStylePr>
    <w:tblStylePr w:type="lastRow">
      <w:rPr>
        <w:b/>
        <w:bCs/>
      </w:rPr>
      <w:tblPr/>
      <w:tcPr>
        <w:tcBorders>
          <w:top w:val="double" w:sz="4" w:space="0" w:color="E6E7E6" w:themeColor="accent1" w:themeTint="99"/>
        </w:tcBorders>
      </w:tcPr>
    </w:tblStylePr>
    <w:tblStylePr w:type="firstCol">
      <w:rPr>
        <w:b/>
        <w:bCs/>
      </w:rPr>
    </w:tblStylePr>
    <w:tblStylePr w:type="lastCol">
      <w:rPr>
        <w:b/>
        <w:bCs/>
      </w:rPr>
    </w:tblStylePr>
    <w:tblStylePr w:type="band1Vert">
      <w:tblPr/>
      <w:tcPr>
        <w:shd w:val="clear" w:color="auto" w:fill="F6F7F6" w:themeFill="accent1" w:themeFillTint="33"/>
      </w:tcPr>
    </w:tblStylePr>
    <w:tblStylePr w:type="band1Horz">
      <w:tblPr/>
      <w:tcPr>
        <w:shd w:val="clear" w:color="auto" w:fill="F6F7F6" w:themeFill="accent1" w:themeFillTint="33"/>
      </w:tcPr>
    </w:tblStylePr>
  </w:style>
  <w:style w:type="table" w:customStyle="1" w:styleId="ListTable6Colorful1">
    <w:name w:val="List Table 6 Colorful1"/>
    <w:basedOn w:val="TableNormal"/>
    <w:uiPriority w:val="51"/>
    <w:rsid w:val="0055631C"/>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21">
    <w:name w:val="List Table 4 - Accent 21"/>
    <w:aliases w:val="LXRA T3"/>
    <w:basedOn w:val="ListTable4-Accent11"/>
    <w:uiPriority w:val="49"/>
    <w:rsid w:val="005B4EE1"/>
    <w:tblPr>
      <w:tblBorders>
        <w:top w:val="single" w:sz="4" w:space="0" w:color="FFDC6B" w:themeColor="accent2" w:themeTint="99"/>
        <w:bottom w:val="single" w:sz="4" w:space="0" w:color="FFDC6B" w:themeColor="accent2" w:themeTint="99"/>
      </w:tblBorders>
    </w:tblPr>
    <w:tblStylePr w:type="firstRow">
      <w:pPr>
        <w:jc w:val="left"/>
      </w:pPr>
      <w:rPr>
        <w:b/>
        <w:bCs/>
        <w:color w:val="FFFFFF" w:themeColor="background1"/>
      </w:rPr>
      <w:tblPr/>
      <w:trPr>
        <w:tblHeader/>
      </w:trPr>
      <w:tcPr>
        <w:tcBorders>
          <w:top w:val="single" w:sz="4" w:space="0" w:color="FFC709" w:themeColor="accent2"/>
          <w:left w:val="single" w:sz="4" w:space="0" w:color="FFC709" w:themeColor="accent2"/>
          <w:bottom w:val="single" w:sz="4" w:space="0" w:color="FFC709" w:themeColor="accent2"/>
          <w:right w:val="single" w:sz="4" w:space="0" w:color="FFC709" w:themeColor="accent2"/>
          <w:insideH w:val="nil"/>
        </w:tcBorders>
        <w:shd w:val="clear" w:color="auto" w:fill="FFC709" w:themeFill="accent2"/>
      </w:tcPr>
    </w:tblStylePr>
    <w:tblStylePr w:type="lastRow">
      <w:rPr>
        <w:b/>
        <w:bCs/>
      </w:rPr>
      <w:tblPr/>
      <w:tcPr>
        <w:tcBorders>
          <w:top w:val="double" w:sz="4" w:space="0" w:color="FFDC6B" w:themeColor="accent2" w:themeTint="99"/>
        </w:tcBorders>
      </w:tcPr>
    </w:tblStylePr>
    <w:tblStylePr w:type="firstCol">
      <w:rPr>
        <w:b/>
        <w:bCs/>
      </w:rPr>
    </w:tblStylePr>
    <w:tblStylePr w:type="lastCol">
      <w:rPr>
        <w:b/>
        <w:bCs/>
      </w:rPr>
    </w:tblStylePr>
    <w:tblStylePr w:type="band1Vert">
      <w:tblPr/>
      <w:tcPr>
        <w:shd w:val="clear" w:color="auto" w:fill="FFF3CD" w:themeFill="accent2" w:themeFillTint="33"/>
      </w:tcPr>
    </w:tblStylePr>
    <w:tblStylePr w:type="band1Horz">
      <w:tblPr/>
      <w:tcPr>
        <w:shd w:val="clear" w:color="auto" w:fill="FFF3CD" w:themeFill="accent2" w:themeFillTint="33"/>
      </w:tcPr>
    </w:tblStylePr>
  </w:style>
  <w:style w:type="table" w:customStyle="1" w:styleId="ListTable4-Accent31">
    <w:name w:val="List Table 4 - Accent 31"/>
    <w:aliases w:val="LXRA T1"/>
    <w:basedOn w:val="ListTable4-Accent11"/>
    <w:uiPriority w:val="49"/>
    <w:rsid w:val="00DA5E95"/>
    <w:tblPr>
      <w:tblBorders>
        <w:top w:val="single" w:sz="4" w:space="0" w:color="3D7B80"/>
        <w:bottom w:val="single" w:sz="4" w:space="0" w:color="3D7B80"/>
      </w:tblBorders>
      <w:tblCellMar>
        <w:bottom w:w="108" w:type="dxa"/>
      </w:tblCellMar>
    </w:tblPr>
    <w:tcPr>
      <w:shd w:val="clear" w:color="auto" w:fill="auto"/>
    </w:tcPr>
    <w:tblStylePr w:type="firstRow">
      <w:pPr>
        <w:wordWrap/>
        <w:spacing w:beforeLines="0" w:before="0" w:beforeAutospacing="0" w:afterLines="0" w:after="0" w:afterAutospacing="0" w:line="240" w:lineRule="auto"/>
        <w:jc w:val="left"/>
      </w:pPr>
      <w:rPr>
        <w:rFonts w:asciiTheme="minorHAnsi" w:hAnsiTheme="minorHAnsi"/>
        <w:b/>
        <w:bCs/>
        <w:color w:val="FFFFFF" w:themeColor="background1"/>
        <w:sz w:val="19"/>
      </w:rPr>
      <w:tblPr/>
      <w:trPr>
        <w:tblHeader/>
      </w:trPr>
      <w:tcPr>
        <w:tcBorders>
          <w:top w:val="nil"/>
          <w:left w:val="nil"/>
          <w:bottom w:val="nil"/>
          <w:right w:val="nil"/>
          <w:insideH w:val="nil"/>
          <w:insideV w:val="single" w:sz="4" w:space="0" w:color="FFFFFF" w:themeColor="background1"/>
        </w:tcBorders>
        <w:shd w:val="clear" w:color="auto" w:fill="3D7B80"/>
        <w:vAlign w:val="bottom"/>
      </w:tcPr>
    </w:tblStylePr>
    <w:tblStylePr w:type="lastRow">
      <w:rPr>
        <w:b/>
        <w:bCs/>
      </w:rPr>
      <w:tblPr/>
      <w:tcPr>
        <w:tcBorders>
          <w:top w:val="single" w:sz="8" w:space="0" w:color="3D7B80"/>
          <w:bottom w:val="single" w:sz="8" w:space="0" w:color="3D7B80"/>
        </w:tcBorders>
        <w:shd w:val="clear" w:color="auto" w:fill="DCEBEE"/>
      </w:tcPr>
    </w:tblStylePr>
    <w:tblStylePr w:type="firstCol">
      <w:rPr>
        <w:b/>
        <w:bCs/>
      </w:rPr>
    </w:tblStylePr>
    <w:tblStylePr w:type="lastCol">
      <w:rPr>
        <w:b/>
        <w:bCs/>
      </w:rPr>
    </w:tblStylePr>
    <w:tblStylePr w:type="band1Vert">
      <w:tblPr/>
      <w:tcPr>
        <w:shd w:val="clear" w:color="auto" w:fill="F6F7F6" w:themeFill="accent1" w:themeFillTint="33"/>
      </w:tcPr>
    </w:tblStylePr>
    <w:tblStylePr w:type="band1Horz">
      <w:tblPr/>
      <w:tcPr>
        <w:shd w:val="clear" w:color="auto" w:fill="DCEBEE"/>
      </w:tcPr>
    </w:tblStylePr>
    <w:tblStylePr w:type="band2Horz">
      <w:tblPr/>
      <w:tcPr>
        <w:shd w:val="clear" w:color="auto" w:fill="FFFFFF" w:themeFill="background1"/>
      </w:tcPr>
    </w:tblStylePr>
  </w:style>
  <w:style w:type="table" w:customStyle="1" w:styleId="ListTable4-Accent41">
    <w:name w:val="List Table 4 - Accent 41"/>
    <w:aliases w:val="LXRA T5"/>
    <w:basedOn w:val="ListTable4-Accent11"/>
    <w:uiPriority w:val="49"/>
    <w:rsid w:val="005B4EE1"/>
    <w:tblPr>
      <w:tblBorders>
        <w:top w:val="single" w:sz="4" w:space="0" w:color="AF60D2" w:themeColor="accent4" w:themeTint="99"/>
        <w:bottom w:val="single" w:sz="4" w:space="0" w:color="AF60D2" w:themeColor="accent4" w:themeTint="99"/>
      </w:tblBorders>
    </w:tblPr>
    <w:tblStylePr w:type="firstRow">
      <w:pPr>
        <w:jc w:val="left"/>
      </w:pPr>
      <w:rPr>
        <w:b/>
        <w:bCs/>
        <w:color w:val="FFFFFF" w:themeColor="background1"/>
      </w:rPr>
      <w:tblPr/>
      <w:trPr>
        <w:tblHeader/>
      </w:trPr>
      <w:tcPr>
        <w:tcBorders>
          <w:top w:val="single" w:sz="4" w:space="0" w:color="692686" w:themeColor="accent4"/>
          <w:left w:val="single" w:sz="4" w:space="0" w:color="692686" w:themeColor="accent4"/>
          <w:bottom w:val="single" w:sz="4" w:space="0" w:color="692686" w:themeColor="accent4"/>
          <w:right w:val="single" w:sz="4" w:space="0" w:color="692686" w:themeColor="accent4"/>
          <w:insideH w:val="nil"/>
        </w:tcBorders>
        <w:shd w:val="clear" w:color="auto" w:fill="692686" w:themeFill="accent4"/>
      </w:tcPr>
    </w:tblStylePr>
    <w:tblStylePr w:type="lastRow">
      <w:rPr>
        <w:b/>
        <w:bCs/>
      </w:rPr>
      <w:tblPr/>
      <w:tcPr>
        <w:tcBorders>
          <w:top w:val="double" w:sz="4" w:space="0" w:color="AF60D2" w:themeColor="accent4" w:themeTint="99"/>
        </w:tcBorders>
      </w:tcPr>
    </w:tblStylePr>
    <w:tblStylePr w:type="firstCol">
      <w:rPr>
        <w:b/>
        <w:bCs/>
      </w:rPr>
    </w:tblStylePr>
    <w:tblStylePr w:type="lastCol">
      <w:rPr>
        <w:b/>
        <w:bCs/>
      </w:rPr>
    </w:tblStylePr>
    <w:tblStylePr w:type="band1Vert">
      <w:tblPr/>
      <w:tcPr>
        <w:shd w:val="clear" w:color="auto" w:fill="E4CAF0" w:themeFill="accent4" w:themeFillTint="33"/>
      </w:tcPr>
    </w:tblStylePr>
    <w:tblStylePr w:type="band1Horz">
      <w:tblPr/>
      <w:tcPr>
        <w:shd w:val="clear" w:color="auto" w:fill="E4CAF0" w:themeFill="accent4" w:themeFillTint="33"/>
      </w:tcPr>
    </w:tblStylePr>
  </w:style>
  <w:style w:type="table" w:customStyle="1" w:styleId="ListTable4-Accent51">
    <w:name w:val="List Table 4 - Accent 51"/>
    <w:aliases w:val="LXRA T6"/>
    <w:basedOn w:val="ListTable4-Accent11"/>
    <w:uiPriority w:val="49"/>
    <w:rsid w:val="005B4EE1"/>
    <w:tblPr>
      <w:tblBorders>
        <w:top w:val="single" w:sz="4" w:space="0" w:color="63E18C" w:themeColor="accent5" w:themeTint="99"/>
        <w:bottom w:val="single" w:sz="4" w:space="0" w:color="63E18C" w:themeColor="accent5" w:themeTint="99"/>
      </w:tblBorders>
    </w:tblPr>
    <w:tblStylePr w:type="firstRow">
      <w:pPr>
        <w:jc w:val="left"/>
      </w:pPr>
      <w:rPr>
        <w:b/>
        <w:bCs/>
        <w:color w:val="FFFFFF" w:themeColor="background1"/>
      </w:rPr>
      <w:tblPr/>
      <w:trPr>
        <w:tblHeader/>
      </w:trPr>
      <w:tcPr>
        <w:tcBorders>
          <w:top w:val="single" w:sz="4" w:space="0" w:color="20AA4D" w:themeColor="accent5"/>
          <w:left w:val="single" w:sz="4" w:space="0" w:color="20AA4D" w:themeColor="accent5"/>
          <w:bottom w:val="single" w:sz="4" w:space="0" w:color="20AA4D" w:themeColor="accent5"/>
          <w:right w:val="single" w:sz="4" w:space="0" w:color="20AA4D" w:themeColor="accent5"/>
          <w:insideH w:val="nil"/>
        </w:tcBorders>
        <w:shd w:val="clear" w:color="auto" w:fill="20AA4D" w:themeFill="accent5"/>
      </w:tcPr>
    </w:tblStylePr>
    <w:tblStylePr w:type="lastRow">
      <w:rPr>
        <w:b/>
        <w:bCs/>
      </w:rPr>
      <w:tblPr/>
      <w:tcPr>
        <w:tcBorders>
          <w:top w:val="double" w:sz="4" w:space="0" w:color="63E18C" w:themeColor="accent5" w:themeTint="99"/>
        </w:tcBorders>
      </w:tcPr>
    </w:tblStylePr>
    <w:tblStylePr w:type="firstCol">
      <w:rPr>
        <w:b/>
        <w:bCs/>
      </w:rPr>
    </w:tblStylePr>
    <w:tblStylePr w:type="lastCol">
      <w:rPr>
        <w:b/>
        <w:bCs/>
      </w:rPr>
    </w:tblStylePr>
    <w:tblStylePr w:type="band1Vert">
      <w:tblPr/>
      <w:tcPr>
        <w:shd w:val="clear" w:color="auto" w:fill="CBF5D8" w:themeFill="accent5" w:themeFillTint="33"/>
      </w:tcPr>
    </w:tblStylePr>
    <w:tblStylePr w:type="band1Horz">
      <w:tblPr/>
      <w:tcPr>
        <w:shd w:val="clear" w:color="auto" w:fill="CBF5D8" w:themeFill="accent5" w:themeFillTint="33"/>
      </w:tcPr>
    </w:tblStylePr>
  </w:style>
  <w:style w:type="table" w:customStyle="1" w:styleId="ListTable4-Accent61">
    <w:name w:val="List Table 4 - Accent 61"/>
    <w:aliases w:val="LXRA T7"/>
    <w:basedOn w:val="ListTable4-Accent11"/>
    <w:uiPriority w:val="49"/>
    <w:rsid w:val="005B4EE1"/>
    <w:tblPr>
      <w:tblBorders>
        <w:top w:val="single" w:sz="4" w:space="0" w:color="3AC1FF" w:themeColor="accent6" w:themeTint="99"/>
        <w:bottom w:val="single" w:sz="4" w:space="0" w:color="3AC1FF" w:themeColor="accent6" w:themeTint="99"/>
      </w:tblBorders>
    </w:tblPr>
    <w:tblStylePr w:type="firstRow">
      <w:pPr>
        <w:jc w:val="left"/>
      </w:pPr>
      <w:rPr>
        <w:b/>
        <w:bCs/>
        <w:color w:val="FFFFFF" w:themeColor="background1"/>
      </w:rPr>
      <w:tblPr/>
      <w:trPr>
        <w:tblHeader/>
      </w:trPr>
      <w:tcPr>
        <w:tcBorders>
          <w:top w:val="single" w:sz="4" w:space="0" w:color="007DB6" w:themeColor="accent6"/>
          <w:left w:val="single" w:sz="4" w:space="0" w:color="007DB6" w:themeColor="accent6"/>
          <w:bottom w:val="single" w:sz="4" w:space="0" w:color="007DB6" w:themeColor="accent6"/>
          <w:right w:val="single" w:sz="4" w:space="0" w:color="007DB6" w:themeColor="accent6"/>
          <w:insideH w:val="nil"/>
        </w:tcBorders>
        <w:shd w:val="clear" w:color="auto" w:fill="007DB6" w:themeFill="accent6"/>
      </w:tcPr>
    </w:tblStylePr>
    <w:tblStylePr w:type="lastRow">
      <w:rPr>
        <w:b/>
        <w:bCs/>
      </w:rPr>
      <w:tblPr/>
      <w:tcPr>
        <w:tcBorders>
          <w:top w:val="double" w:sz="4" w:space="0" w:color="3AC1FF" w:themeColor="accent6" w:themeTint="99"/>
        </w:tcBorders>
      </w:tcPr>
    </w:tblStylePr>
    <w:tblStylePr w:type="firstCol">
      <w:rPr>
        <w:b/>
        <w:bCs/>
      </w:rPr>
    </w:tblStylePr>
    <w:tblStylePr w:type="lastCol">
      <w:rPr>
        <w:b/>
        <w:bCs/>
      </w:rPr>
    </w:tblStylePr>
    <w:tblStylePr w:type="band1Vert">
      <w:tblPr/>
      <w:tcPr>
        <w:shd w:val="clear" w:color="auto" w:fill="BDEAFF" w:themeFill="accent6" w:themeFillTint="33"/>
      </w:tcPr>
    </w:tblStylePr>
    <w:tblStylePr w:type="band1Horz">
      <w:tblPr/>
      <w:tcPr>
        <w:shd w:val="clear" w:color="auto" w:fill="BDEAFF" w:themeFill="accent6" w:themeFillTint="33"/>
      </w:tcPr>
    </w:tblStylePr>
  </w:style>
  <w:style w:type="paragraph" w:styleId="TOC1">
    <w:name w:val="toc 1"/>
    <w:basedOn w:val="TOC2"/>
    <w:next w:val="Normal"/>
    <w:uiPriority w:val="39"/>
    <w:unhideWhenUsed/>
    <w:rsid w:val="00E03232"/>
    <w:pPr>
      <w:spacing w:line="276" w:lineRule="auto"/>
    </w:pPr>
  </w:style>
  <w:style w:type="paragraph" w:styleId="TOC2">
    <w:name w:val="toc 2"/>
    <w:basedOn w:val="Normal"/>
    <w:next w:val="Normal"/>
    <w:uiPriority w:val="39"/>
    <w:unhideWhenUsed/>
    <w:rsid w:val="00714CAC"/>
    <w:pPr>
      <w:tabs>
        <w:tab w:val="left" w:pos="851"/>
        <w:tab w:val="right" w:pos="6776"/>
      </w:tabs>
      <w:spacing w:before="200" w:line="264" w:lineRule="auto"/>
      <w:ind w:left="851" w:right="851" w:hanging="851"/>
    </w:pPr>
    <w:rPr>
      <w:rFonts w:eastAsia="Times New Roman" w:cs="Times New Roman"/>
      <w:noProof/>
      <w:sz w:val="23"/>
      <w:szCs w:val="24"/>
      <w:lang w:eastAsia="fr-CA"/>
    </w:rPr>
  </w:style>
  <w:style w:type="paragraph" w:styleId="TOC3">
    <w:name w:val="toc 3"/>
    <w:basedOn w:val="Normal"/>
    <w:next w:val="Normal"/>
    <w:uiPriority w:val="39"/>
    <w:unhideWhenUsed/>
    <w:rsid w:val="006659D0"/>
    <w:pPr>
      <w:tabs>
        <w:tab w:val="left" w:pos="851"/>
        <w:tab w:val="right" w:pos="6776"/>
      </w:tabs>
      <w:spacing w:before="60" w:after="0"/>
      <w:ind w:left="851" w:right="851" w:hanging="851"/>
    </w:pPr>
    <w:rPr>
      <w:rFonts w:eastAsiaTheme="majorEastAsia" w:cs="Arial"/>
      <w:noProof/>
      <w:szCs w:val="20"/>
      <w:lang w:eastAsia="fr-CA"/>
    </w:rPr>
  </w:style>
  <w:style w:type="character" w:styleId="Hyperlink">
    <w:name w:val="Hyperlink"/>
    <w:basedOn w:val="DefaultParagraphFont"/>
    <w:uiPriority w:val="99"/>
    <w:unhideWhenUsed/>
    <w:rsid w:val="003F2F68"/>
    <w:rPr>
      <w:color w:val="005C97" w:themeColor="hyperlink"/>
      <w:u w:val="single"/>
    </w:rPr>
  </w:style>
  <w:style w:type="paragraph" w:styleId="Header">
    <w:name w:val="header"/>
    <w:basedOn w:val="Normal"/>
    <w:link w:val="HeaderChar"/>
    <w:uiPriority w:val="99"/>
    <w:unhideWhenUsed/>
    <w:rsid w:val="00DC10B3"/>
    <w:pPr>
      <w:tabs>
        <w:tab w:val="center" w:pos="4513"/>
        <w:tab w:val="right" w:pos="9026"/>
      </w:tabs>
      <w:spacing w:after="0"/>
    </w:pPr>
  </w:style>
  <w:style w:type="character" w:customStyle="1" w:styleId="HeaderChar">
    <w:name w:val="Header Char"/>
    <w:basedOn w:val="DefaultParagraphFont"/>
    <w:link w:val="Header"/>
    <w:uiPriority w:val="99"/>
    <w:rsid w:val="00DC10B3"/>
    <w:rPr>
      <w:sz w:val="19"/>
    </w:rPr>
  </w:style>
  <w:style w:type="paragraph" w:styleId="Footer">
    <w:name w:val="footer"/>
    <w:basedOn w:val="Normal"/>
    <w:link w:val="FooterChar"/>
    <w:uiPriority w:val="99"/>
    <w:unhideWhenUsed/>
    <w:rsid w:val="00632BD3"/>
    <w:pPr>
      <w:tabs>
        <w:tab w:val="center" w:pos="4513"/>
        <w:tab w:val="right" w:pos="9026"/>
      </w:tabs>
      <w:spacing w:before="0" w:after="0"/>
    </w:pPr>
    <w:rPr>
      <w:color w:val="004F9E"/>
      <w:sz w:val="16"/>
    </w:rPr>
  </w:style>
  <w:style w:type="character" w:customStyle="1" w:styleId="FooterChar">
    <w:name w:val="Footer Char"/>
    <w:basedOn w:val="DefaultParagraphFont"/>
    <w:link w:val="Footer"/>
    <w:uiPriority w:val="99"/>
    <w:rsid w:val="00632BD3"/>
    <w:rPr>
      <w:rFonts w:ascii="Arial" w:hAnsi="Arial"/>
      <w:color w:val="004F9E"/>
      <w:sz w:val="16"/>
    </w:rPr>
  </w:style>
  <w:style w:type="character" w:customStyle="1" w:styleId="Heading6Char">
    <w:name w:val="Heading 6 Char"/>
    <w:basedOn w:val="DefaultParagraphFont"/>
    <w:link w:val="Heading6"/>
    <w:rsid w:val="009E745E"/>
    <w:rPr>
      <w:rFonts w:asciiTheme="majorHAnsi" w:eastAsiaTheme="majorEastAsia" w:hAnsiTheme="majorHAnsi" w:cstheme="majorBidi"/>
      <w:color w:val="6A6D68" w:themeColor="accent1" w:themeShade="7F"/>
      <w:sz w:val="19"/>
    </w:rPr>
  </w:style>
  <w:style w:type="numbering" w:customStyle="1" w:styleId="LXRABullets">
    <w:name w:val="LXRA Bullets"/>
    <w:uiPriority w:val="99"/>
    <w:rsid w:val="007F3425"/>
    <w:pPr>
      <w:numPr>
        <w:numId w:val="3"/>
      </w:numPr>
    </w:pPr>
  </w:style>
  <w:style w:type="numbering" w:customStyle="1" w:styleId="LXRANumberedList">
    <w:name w:val="LXRA Numbered List"/>
    <w:uiPriority w:val="99"/>
    <w:rsid w:val="00014147"/>
    <w:pPr>
      <w:numPr>
        <w:numId w:val="4"/>
      </w:numPr>
    </w:pPr>
  </w:style>
  <w:style w:type="table" w:customStyle="1" w:styleId="LXRATable1">
    <w:name w:val="LXRA Table 1"/>
    <w:basedOn w:val="TableNormal"/>
    <w:uiPriority w:val="99"/>
    <w:rsid w:val="001029CF"/>
    <w:pPr>
      <w:spacing w:after="0" w:line="240" w:lineRule="auto"/>
    </w:pPr>
    <w:tblPr/>
  </w:style>
  <w:style w:type="paragraph" w:styleId="DocumentMap">
    <w:name w:val="Document Map"/>
    <w:basedOn w:val="Normal"/>
    <w:link w:val="DocumentMapChar"/>
    <w:uiPriority w:val="39"/>
    <w:semiHidden/>
    <w:rsid w:val="00EF0FDF"/>
    <w:pPr>
      <w:spacing w:after="0"/>
    </w:pPr>
    <w:rPr>
      <w:rFonts w:ascii="Times New Roman" w:hAnsi="Times New Roman" w:cs="Times New Roman"/>
      <w:sz w:val="24"/>
      <w:szCs w:val="24"/>
    </w:rPr>
  </w:style>
  <w:style w:type="character" w:customStyle="1" w:styleId="DocumentMapChar">
    <w:name w:val="Document Map Char"/>
    <w:basedOn w:val="DefaultParagraphFont"/>
    <w:link w:val="DocumentMap"/>
    <w:uiPriority w:val="39"/>
    <w:semiHidden/>
    <w:rsid w:val="00EF0FDF"/>
    <w:rPr>
      <w:rFonts w:ascii="Times New Roman" w:hAnsi="Times New Roman" w:cs="Times New Roman"/>
      <w:sz w:val="24"/>
      <w:szCs w:val="24"/>
    </w:rPr>
  </w:style>
  <w:style w:type="table" w:customStyle="1" w:styleId="ListTable3-Accent51">
    <w:name w:val="List Table 3 - Accent 51"/>
    <w:basedOn w:val="TableNormal"/>
    <w:uiPriority w:val="48"/>
    <w:rsid w:val="00D86DF0"/>
    <w:pPr>
      <w:spacing w:after="0" w:line="240" w:lineRule="auto"/>
    </w:pPr>
    <w:tblPr>
      <w:tblStyleRowBandSize w:val="1"/>
      <w:tblStyleColBandSize w:val="1"/>
      <w:tblBorders>
        <w:top w:val="single" w:sz="4" w:space="0" w:color="20AA4D" w:themeColor="accent5"/>
        <w:left w:val="single" w:sz="4" w:space="0" w:color="20AA4D" w:themeColor="accent5"/>
        <w:bottom w:val="single" w:sz="4" w:space="0" w:color="20AA4D" w:themeColor="accent5"/>
        <w:right w:val="single" w:sz="4" w:space="0" w:color="20AA4D" w:themeColor="accent5"/>
      </w:tblBorders>
    </w:tblPr>
    <w:tblStylePr w:type="firstRow">
      <w:rPr>
        <w:b/>
        <w:bCs/>
        <w:color w:val="FFFFFF" w:themeColor="background1"/>
      </w:rPr>
      <w:tblPr/>
      <w:tcPr>
        <w:shd w:val="clear" w:color="auto" w:fill="20AA4D" w:themeFill="accent5"/>
      </w:tcPr>
    </w:tblStylePr>
    <w:tblStylePr w:type="lastRow">
      <w:rPr>
        <w:b/>
        <w:bCs/>
      </w:rPr>
      <w:tblPr/>
      <w:tcPr>
        <w:tcBorders>
          <w:top w:val="double" w:sz="4" w:space="0" w:color="20AA4D"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AA4D" w:themeColor="accent5"/>
          <w:right w:val="single" w:sz="4" w:space="0" w:color="20AA4D" w:themeColor="accent5"/>
        </w:tcBorders>
      </w:tcPr>
    </w:tblStylePr>
    <w:tblStylePr w:type="band1Horz">
      <w:tblPr/>
      <w:tcPr>
        <w:tcBorders>
          <w:top w:val="single" w:sz="4" w:space="0" w:color="20AA4D" w:themeColor="accent5"/>
          <w:bottom w:val="single" w:sz="4" w:space="0" w:color="20AA4D"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AA4D" w:themeColor="accent5"/>
          <w:left w:val="nil"/>
        </w:tcBorders>
      </w:tcPr>
    </w:tblStylePr>
    <w:tblStylePr w:type="swCell">
      <w:tblPr/>
      <w:tcPr>
        <w:tcBorders>
          <w:top w:val="double" w:sz="4" w:space="0" w:color="20AA4D" w:themeColor="accent5"/>
          <w:right w:val="nil"/>
        </w:tcBorders>
      </w:tcPr>
    </w:tblStylePr>
  </w:style>
  <w:style w:type="paragraph" w:styleId="TOCHeading">
    <w:name w:val="TOC Heading"/>
    <w:basedOn w:val="Heading1"/>
    <w:next w:val="Normal"/>
    <w:uiPriority w:val="39"/>
    <w:unhideWhenUsed/>
    <w:qFormat/>
    <w:rsid w:val="00DF6614"/>
    <w:pPr>
      <w:numPr>
        <w:numId w:val="0"/>
      </w:numPr>
    </w:pPr>
    <w:rPr>
      <w:rFonts w:ascii="Arial Bold" w:hAnsi="Arial Bold"/>
    </w:rPr>
  </w:style>
  <w:style w:type="paragraph" w:styleId="TOC4">
    <w:name w:val="toc 4"/>
    <w:basedOn w:val="TableofFigures"/>
    <w:next w:val="Normal"/>
    <w:unhideWhenUsed/>
    <w:rsid w:val="00E13EA9"/>
  </w:style>
  <w:style w:type="paragraph" w:styleId="TOC5">
    <w:name w:val="toc 5"/>
    <w:basedOn w:val="Normal"/>
    <w:next w:val="Normal"/>
    <w:rsid w:val="00E13EA9"/>
    <w:pPr>
      <w:spacing w:after="100" w:line="288" w:lineRule="auto"/>
      <w:ind w:left="800"/>
    </w:pPr>
    <w:rPr>
      <w:rFonts w:eastAsia="Times New Roman" w:cs="Times New Roman"/>
      <w:szCs w:val="24"/>
      <w:lang w:eastAsia="fr-CA"/>
    </w:rPr>
  </w:style>
  <w:style w:type="paragraph" w:styleId="TOC6">
    <w:name w:val="toc 6"/>
    <w:basedOn w:val="Normal"/>
    <w:next w:val="Normal"/>
    <w:autoRedefine/>
    <w:unhideWhenUsed/>
    <w:rsid w:val="00E13EA9"/>
    <w:pPr>
      <w:spacing w:after="0"/>
    </w:pPr>
    <w:rPr>
      <w:sz w:val="22"/>
    </w:rPr>
  </w:style>
  <w:style w:type="paragraph" w:styleId="TOC7">
    <w:name w:val="toc 7"/>
    <w:basedOn w:val="Normal"/>
    <w:next w:val="Normal"/>
    <w:autoRedefine/>
    <w:unhideWhenUsed/>
    <w:rsid w:val="00E13EA9"/>
    <w:pPr>
      <w:spacing w:after="0"/>
    </w:pPr>
    <w:rPr>
      <w:sz w:val="22"/>
    </w:rPr>
  </w:style>
  <w:style w:type="paragraph" w:styleId="TOC8">
    <w:name w:val="toc 8"/>
    <w:basedOn w:val="Normal"/>
    <w:next w:val="Normal"/>
    <w:autoRedefine/>
    <w:unhideWhenUsed/>
    <w:rsid w:val="000D74C6"/>
    <w:pPr>
      <w:spacing w:after="0"/>
    </w:pPr>
    <w:rPr>
      <w:sz w:val="22"/>
    </w:rPr>
  </w:style>
  <w:style w:type="paragraph" w:styleId="TOC9">
    <w:name w:val="toc 9"/>
    <w:basedOn w:val="Normal"/>
    <w:next w:val="Normal"/>
    <w:autoRedefine/>
    <w:unhideWhenUsed/>
    <w:rsid w:val="000D74C6"/>
    <w:pPr>
      <w:spacing w:after="0"/>
    </w:pPr>
    <w:rPr>
      <w:sz w:val="22"/>
    </w:rPr>
  </w:style>
  <w:style w:type="table" w:customStyle="1" w:styleId="GridTable4-Accent21">
    <w:name w:val="Grid Table 4 - Accent 21"/>
    <w:basedOn w:val="TableNormal"/>
    <w:uiPriority w:val="49"/>
    <w:rsid w:val="00DB4FED"/>
    <w:pPr>
      <w:spacing w:after="0" w:line="240" w:lineRule="auto"/>
    </w:pPr>
    <w:tblPr>
      <w:tblStyleRowBandSize w:val="1"/>
      <w:tblStyleColBandSize w:val="1"/>
      <w:tblBorders>
        <w:top w:val="single" w:sz="4" w:space="0" w:color="FFDC6B" w:themeColor="accent2" w:themeTint="99"/>
        <w:left w:val="single" w:sz="4" w:space="0" w:color="FFDC6B" w:themeColor="accent2" w:themeTint="99"/>
        <w:bottom w:val="single" w:sz="4" w:space="0" w:color="FFDC6B" w:themeColor="accent2" w:themeTint="99"/>
        <w:right w:val="single" w:sz="4" w:space="0" w:color="FFDC6B" w:themeColor="accent2" w:themeTint="99"/>
        <w:insideH w:val="single" w:sz="4" w:space="0" w:color="FFDC6B" w:themeColor="accent2" w:themeTint="99"/>
        <w:insideV w:val="single" w:sz="4" w:space="0" w:color="FFDC6B" w:themeColor="accent2" w:themeTint="99"/>
      </w:tblBorders>
    </w:tblPr>
    <w:tblStylePr w:type="firstRow">
      <w:rPr>
        <w:b/>
        <w:bCs/>
        <w:color w:val="FFFFFF" w:themeColor="background1"/>
      </w:rPr>
      <w:tblPr/>
      <w:tcPr>
        <w:tcBorders>
          <w:top w:val="single" w:sz="4" w:space="0" w:color="FFC709" w:themeColor="accent2"/>
          <w:left w:val="single" w:sz="4" w:space="0" w:color="FFC709" w:themeColor="accent2"/>
          <w:bottom w:val="single" w:sz="4" w:space="0" w:color="FFC709" w:themeColor="accent2"/>
          <w:right w:val="single" w:sz="4" w:space="0" w:color="FFC709" w:themeColor="accent2"/>
          <w:insideH w:val="nil"/>
          <w:insideV w:val="nil"/>
        </w:tcBorders>
        <w:shd w:val="clear" w:color="auto" w:fill="FFC709" w:themeFill="accent2"/>
      </w:tcPr>
    </w:tblStylePr>
    <w:tblStylePr w:type="lastRow">
      <w:rPr>
        <w:b/>
        <w:bCs/>
      </w:rPr>
      <w:tblPr/>
      <w:tcPr>
        <w:tcBorders>
          <w:top w:val="double" w:sz="4" w:space="0" w:color="FFC709" w:themeColor="accent2"/>
        </w:tcBorders>
      </w:tcPr>
    </w:tblStylePr>
    <w:tblStylePr w:type="firstCol">
      <w:rPr>
        <w:b/>
        <w:bCs/>
      </w:rPr>
    </w:tblStylePr>
    <w:tblStylePr w:type="lastCol">
      <w:rPr>
        <w:b/>
        <w:bCs/>
      </w:rPr>
    </w:tblStylePr>
    <w:tblStylePr w:type="band1Vert">
      <w:tblPr/>
      <w:tcPr>
        <w:shd w:val="clear" w:color="auto" w:fill="FFF3CD" w:themeFill="accent2" w:themeFillTint="33"/>
      </w:tcPr>
    </w:tblStylePr>
    <w:tblStylePr w:type="band1Horz">
      <w:tblPr/>
      <w:tcPr>
        <w:shd w:val="clear" w:color="auto" w:fill="FFF3CD" w:themeFill="accent2" w:themeFillTint="33"/>
      </w:tcPr>
    </w:tblStylePr>
  </w:style>
  <w:style w:type="table" w:customStyle="1" w:styleId="GridTable5Dark-Accent21">
    <w:name w:val="Grid Table 5 Dark - Accent 21"/>
    <w:basedOn w:val="TableNormal"/>
    <w:uiPriority w:val="50"/>
    <w:rsid w:val="00DB4FE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3CD"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70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70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709"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709" w:themeFill="accent2"/>
      </w:tcPr>
    </w:tblStylePr>
    <w:tblStylePr w:type="band1Vert">
      <w:tblPr/>
      <w:tcPr>
        <w:shd w:val="clear" w:color="auto" w:fill="FFE89C" w:themeFill="accent2" w:themeFillTint="66"/>
      </w:tcPr>
    </w:tblStylePr>
    <w:tblStylePr w:type="band1Horz">
      <w:tblPr/>
      <w:tcPr>
        <w:shd w:val="clear" w:color="auto" w:fill="FFE89C" w:themeFill="accent2" w:themeFillTint="66"/>
      </w:tcPr>
    </w:tblStylePr>
  </w:style>
  <w:style w:type="numbering" w:customStyle="1" w:styleId="JASANZNumberedList">
    <w:name w:val="JASANZ Numbered List"/>
    <w:uiPriority w:val="99"/>
    <w:rsid w:val="008031B4"/>
  </w:style>
  <w:style w:type="paragraph" w:styleId="BalloonText">
    <w:name w:val="Balloon Text"/>
    <w:basedOn w:val="Normal"/>
    <w:link w:val="BalloonTextChar"/>
    <w:semiHidden/>
    <w:unhideWhenUsed/>
    <w:rsid w:val="0044142D"/>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44142D"/>
    <w:rPr>
      <w:rFonts w:ascii="Tahoma" w:hAnsi="Tahoma" w:cs="Tahoma"/>
      <w:sz w:val="16"/>
      <w:szCs w:val="16"/>
    </w:rPr>
  </w:style>
  <w:style w:type="table" w:customStyle="1" w:styleId="LXRAT11">
    <w:name w:val="LXRA T11"/>
    <w:basedOn w:val="TableNormal"/>
    <w:uiPriority w:val="49"/>
    <w:rsid w:val="00C33FCA"/>
    <w:pPr>
      <w:spacing w:after="0" w:line="240" w:lineRule="auto"/>
    </w:pPr>
    <w:rPr>
      <w:color w:val="000000" w:themeColor="text1"/>
    </w:rPr>
    <w:tblPr>
      <w:tblStyleRowBandSize w:val="1"/>
      <w:tblStyleColBandSize w:val="1"/>
      <w:tblBorders>
        <w:top w:val="single" w:sz="4" w:space="0" w:color="auto"/>
        <w:bottom w:val="single" w:sz="4" w:space="0" w:color="auto"/>
        <w:insideH w:val="single" w:sz="4" w:space="0" w:color="auto"/>
        <w:insideV w:val="single" w:sz="4" w:space="0" w:color="auto"/>
      </w:tblBorders>
    </w:tblPr>
    <w:tcPr>
      <w:shd w:val="clear" w:color="auto" w:fill="auto"/>
      <w:vAlign w:val="center"/>
    </w:tcPr>
    <w:tblStylePr w:type="firstRow">
      <w:pPr>
        <w:wordWrap/>
        <w:spacing w:beforeLines="0" w:before="0" w:beforeAutospacing="0" w:afterLines="0" w:after="0" w:afterAutospacing="0" w:line="240" w:lineRule="auto"/>
        <w:jc w:val="left"/>
      </w:pPr>
      <w:rPr>
        <w:rFonts w:ascii="Calibri" w:hAnsi="Calibri"/>
        <w:b/>
        <w:bCs/>
        <w:color w:val="auto"/>
        <w:sz w:val="19"/>
      </w:rPr>
      <w:tblPr/>
      <w:trPr>
        <w:tblHeader/>
      </w:trPr>
      <w:tcPr>
        <w:tcBorders>
          <w:top w:val="single" w:sz="4" w:space="0" w:color="auto"/>
          <w:left w:val="nil"/>
          <w:bottom w:val="single" w:sz="4" w:space="0" w:color="auto"/>
          <w:right w:val="nil"/>
          <w:insideH w:val="nil"/>
          <w:insideV w:val="single" w:sz="4" w:space="0" w:color="auto"/>
          <w:tl2br w:val="nil"/>
          <w:tr2bl w:val="nil"/>
        </w:tcBorders>
        <w:shd w:val="clear" w:color="auto" w:fill="FFC709"/>
      </w:tcPr>
    </w:tblStylePr>
    <w:tblStylePr w:type="lastRow">
      <w:rPr>
        <w:b/>
        <w:bCs/>
        <w:color w:val="auto"/>
      </w:rPr>
      <w:tblPr/>
      <w:tcPr>
        <w:tcBorders>
          <w:top w:val="single" w:sz="8" w:space="0" w:color="auto"/>
          <w:bottom w:val="single" w:sz="8" w:space="0" w:color="auto"/>
        </w:tcBorders>
        <w:shd w:val="clear" w:color="auto" w:fill="FFF3CD"/>
      </w:tcPr>
    </w:tblStylePr>
    <w:tblStylePr w:type="firstCol">
      <w:rPr>
        <w:b w:val="0"/>
        <w:bCs/>
      </w:rPr>
    </w:tblStylePr>
    <w:tblStylePr w:type="lastCol">
      <w:rPr>
        <w:b w:val="0"/>
        <w:bCs/>
      </w:rPr>
    </w:tblStylePr>
    <w:tblStylePr w:type="band1Vert">
      <w:tblPr/>
      <w:tcPr>
        <w:shd w:val="clear" w:color="auto" w:fill="F2F2F2"/>
      </w:tcPr>
    </w:tblStylePr>
    <w:tblStylePr w:type="band1Horz">
      <w:tblPr/>
      <w:tcPr>
        <w:shd w:val="clear" w:color="auto" w:fill="FFF3CD"/>
      </w:tcPr>
    </w:tblStylePr>
    <w:tblStylePr w:type="band2Horz">
      <w:tblPr/>
      <w:tcPr>
        <w:shd w:val="clear" w:color="auto" w:fill="FFFFFF"/>
      </w:tcPr>
    </w:tblStylePr>
  </w:style>
  <w:style w:type="table" w:customStyle="1" w:styleId="Table2">
    <w:name w:val="Table 2"/>
    <w:basedOn w:val="TableNormal"/>
    <w:uiPriority w:val="99"/>
    <w:rsid w:val="003443B9"/>
    <w:pPr>
      <w:spacing w:before="90" w:after="40" w:line="288" w:lineRule="auto"/>
    </w:pPr>
    <w:rPr>
      <w:rFonts w:eastAsia="Times New Roman" w:cs="Times New Roman"/>
      <w:sz w:val="20"/>
      <w:szCs w:val="20"/>
      <w:lang w:eastAsia="en-AU"/>
    </w:rPr>
    <w:tblPr>
      <w:tblStyleColBandSize w:val="1"/>
      <w:tblBorders>
        <w:top w:val="dotted" w:sz="4" w:space="0" w:color="000000" w:themeColor="text1"/>
        <w:bottom w:val="dotted" w:sz="4" w:space="0" w:color="000000" w:themeColor="text1"/>
        <w:insideH w:val="dotted" w:sz="4" w:space="0" w:color="000000" w:themeColor="text1"/>
        <w:insideV w:val="dotted" w:sz="4" w:space="0" w:color="000000" w:themeColor="text1"/>
      </w:tblBorders>
      <w:tblCellMar>
        <w:left w:w="45" w:type="dxa"/>
        <w:right w:w="45" w:type="dxa"/>
      </w:tblCellMar>
    </w:tblPr>
    <w:tblStylePr w:type="firstRow">
      <w:rPr>
        <w:rFonts w:asciiTheme="majorHAnsi" w:hAnsiTheme="majorHAnsi"/>
        <w:caps/>
        <w:smallCaps w:val="0"/>
      </w:rPr>
      <w:tblPr/>
      <w:tcPr>
        <w:tcBorders>
          <w:top w:val="single" w:sz="4" w:space="0" w:color="000000" w:themeColor="text1"/>
          <w:left w:val="nil"/>
          <w:bottom w:val="single" w:sz="4" w:space="0" w:color="000000" w:themeColor="text1"/>
          <w:right w:val="nil"/>
          <w:insideH w:val="dotted" w:sz="4" w:space="0" w:color="000000" w:themeColor="text1"/>
          <w:insideV w:val="dotted" w:sz="4" w:space="0" w:color="000000" w:themeColor="text1"/>
          <w:tl2br w:val="nil"/>
          <w:tr2bl w:val="nil"/>
        </w:tcBorders>
        <w:shd w:val="clear" w:color="auto" w:fill="FFFFFF"/>
      </w:tcPr>
    </w:tblStylePr>
    <w:tblStylePr w:type="firstCol">
      <w:tblPr/>
      <w:tcPr>
        <w:shd w:val="clear" w:color="auto" w:fill="EEB600" w:themeFill="accent2" w:themeFillShade="E6"/>
      </w:tcPr>
    </w:tblStylePr>
    <w:tblStylePr w:type="band2Vert">
      <w:tblPr/>
      <w:tcPr>
        <w:shd w:val="clear" w:color="auto" w:fill="FCE4E9" w:themeFill="accent3" w:themeFillTint="1A"/>
      </w:tcPr>
    </w:tblStylePr>
  </w:style>
  <w:style w:type="paragraph" w:styleId="Caption">
    <w:name w:val="caption"/>
    <w:basedOn w:val="Normal"/>
    <w:next w:val="BodyText"/>
    <w:rsid w:val="00E137E5"/>
    <w:pPr>
      <w:keepNext/>
      <w:keepLines/>
      <w:tabs>
        <w:tab w:val="left" w:pos="1418"/>
      </w:tabs>
      <w:ind w:left="1418" w:hanging="1418"/>
    </w:pPr>
    <w:rPr>
      <w:b/>
      <w:bCs/>
      <w:sz w:val="18"/>
      <w:szCs w:val="20"/>
      <w:lang w:eastAsia="fr-CA"/>
    </w:rPr>
  </w:style>
  <w:style w:type="paragraph" w:customStyle="1" w:styleId="Heading1NoNumber">
    <w:name w:val="Heading 1 No Number"/>
    <w:basedOn w:val="Heading1"/>
    <w:next w:val="BodyText"/>
    <w:qFormat/>
    <w:rsid w:val="00E03232"/>
    <w:pPr>
      <w:numPr>
        <w:numId w:val="0"/>
      </w:numPr>
      <w:spacing w:after="240"/>
    </w:pPr>
    <w:rPr>
      <w:kern w:val="0"/>
      <w:sz w:val="48"/>
    </w:rPr>
  </w:style>
  <w:style w:type="paragraph" w:customStyle="1" w:styleId="Image">
    <w:name w:val="Image"/>
    <w:basedOn w:val="Normal"/>
    <w:next w:val="BodyText"/>
    <w:rsid w:val="004C6C22"/>
    <w:pPr>
      <w:keepNext/>
      <w:spacing w:before="240" w:after="0" w:line="288" w:lineRule="auto"/>
    </w:pPr>
    <w:rPr>
      <w:rFonts w:eastAsia="Times New Roman" w:cs="Times New Roman"/>
      <w:szCs w:val="20"/>
    </w:rPr>
  </w:style>
  <w:style w:type="paragraph" w:customStyle="1" w:styleId="Source">
    <w:name w:val="Source"/>
    <w:basedOn w:val="Normal"/>
    <w:next w:val="BodyText"/>
    <w:rsid w:val="00E137E5"/>
    <w:pPr>
      <w:tabs>
        <w:tab w:val="left" w:pos="851"/>
      </w:tabs>
      <w:spacing w:before="60" w:after="60" w:line="240" w:lineRule="auto"/>
      <w:ind w:left="851" w:hanging="851"/>
    </w:pPr>
    <w:rPr>
      <w:rFonts w:eastAsia="Times New Roman" w:cs="Arial"/>
      <w:i/>
      <w:sz w:val="18"/>
      <w:szCs w:val="20"/>
      <w:lang w:eastAsia="fr-CA"/>
    </w:rPr>
  </w:style>
  <w:style w:type="paragraph" w:customStyle="1" w:styleId="TableText">
    <w:name w:val="Table Text"/>
    <w:aliases w:val="xtt,tabletext,tt"/>
    <w:basedOn w:val="Normal"/>
    <w:link w:val="TableTextChar"/>
    <w:uiPriority w:val="8"/>
    <w:qFormat/>
    <w:rsid w:val="00E137E5"/>
    <w:pPr>
      <w:spacing w:before="80" w:after="80" w:line="240" w:lineRule="auto"/>
    </w:pPr>
    <w:rPr>
      <w:rFonts w:eastAsia="Times New Roman" w:cs="Arial"/>
      <w:color w:val="000000" w:themeColor="text1"/>
      <w:sz w:val="18"/>
    </w:rPr>
  </w:style>
  <w:style w:type="paragraph" w:customStyle="1" w:styleId="TableBullet1">
    <w:name w:val="Table Bullet 1"/>
    <w:basedOn w:val="ListBullet"/>
    <w:qFormat/>
    <w:rsid w:val="00E137E5"/>
    <w:pPr>
      <w:spacing w:before="80" w:after="80" w:line="240" w:lineRule="auto"/>
    </w:pPr>
    <w:rPr>
      <w:bCs/>
      <w:sz w:val="18"/>
      <w:lang w:eastAsia="fr-CA"/>
    </w:rPr>
  </w:style>
  <w:style w:type="paragraph" w:customStyle="1" w:styleId="TableBullet2">
    <w:name w:val="Table Bullet 2"/>
    <w:basedOn w:val="ListBullet2"/>
    <w:rsid w:val="00E137E5"/>
    <w:pPr>
      <w:spacing w:before="80" w:after="80" w:line="240" w:lineRule="auto"/>
    </w:pPr>
    <w:rPr>
      <w:bCs/>
      <w:color w:val="000000" w:themeColor="text1"/>
      <w:sz w:val="18"/>
    </w:rPr>
  </w:style>
  <w:style w:type="paragraph" w:customStyle="1" w:styleId="TableBullet3">
    <w:name w:val="Table Bullet 3"/>
    <w:basedOn w:val="ListBullet3"/>
    <w:rsid w:val="00E137E5"/>
    <w:pPr>
      <w:spacing w:before="80" w:after="80" w:line="240" w:lineRule="auto"/>
    </w:pPr>
    <w:rPr>
      <w:bCs/>
      <w:color w:val="000000" w:themeColor="text1"/>
      <w:sz w:val="18"/>
    </w:rPr>
  </w:style>
  <w:style w:type="paragraph" w:customStyle="1" w:styleId="TableHeading">
    <w:name w:val="Table Heading"/>
    <w:basedOn w:val="Normal"/>
    <w:uiPriority w:val="2"/>
    <w:rsid w:val="00E137E5"/>
    <w:pPr>
      <w:suppressAutoHyphens/>
      <w:spacing w:before="80" w:after="80" w:line="240" w:lineRule="auto"/>
    </w:pPr>
    <w:rPr>
      <w:rFonts w:eastAsia="Times New Roman" w:cs="Arial"/>
      <w:b/>
      <w:bCs/>
      <w:sz w:val="18"/>
      <w:szCs w:val="20"/>
    </w:rPr>
  </w:style>
  <w:style w:type="table" w:styleId="TableList1">
    <w:name w:val="Table List 1"/>
    <w:basedOn w:val="TableNormal"/>
    <w:semiHidden/>
    <w:unhideWhenUsed/>
    <w:rsid w:val="004C6C22"/>
    <w:pPr>
      <w:spacing w:after="0" w:line="288" w:lineRule="auto"/>
    </w:pPr>
    <w:rPr>
      <w:rFonts w:eastAsia="Times New Roman" w:cs="Times New Roman"/>
      <w:sz w:val="20"/>
      <w:szCs w:val="20"/>
      <w:lang w:val="fr-CA"/>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unhideWhenUsed/>
    <w:rsid w:val="004C6C22"/>
    <w:pPr>
      <w:spacing w:after="0" w:line="288" w:lineRule="auto"/>
    </w:pPr>
    <w:rPr>
      <w:rFonts w:eastAsia="Times New Roman" w:cs="Times New Roman"/>
      <w:sz w:val="20"/>
      <w:szCs w:val="20"/>
      <w:lang w:val="fr-CA"/>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unhideWhenUsed/>
    <w:rsid w:val="004C6C22"/>
    <w:pPr>
      <w:spacing w:after="0" w:line="288" w:lineRule="auto"/>
    </w:pPr>
    <w:rPr>
      <w:rFonts w:eastAsia="Times New Roman" w:cs="Times New Roman"/>
      <w:sz w:val="20"/>
      <w:szCs w:val="20"/>
      <w:lang w:val="fr-CA"/>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styleId="TOAHeading">
    <w:name w:val="toa heading"/>
    <w:basedOn w:val="Normal"/>
    <w:next w:val="Normal"/>
    <w:unhideWhenUsed/>
    <w:rsid w:val="0006151E"/>
    <w:rPr>
      <w:rFonts w:eastAsiaTheme="majorEastAsia" w:cstheme="majorBidi"/>
      <w:bCs/>
      <w:color w:val="004F9E"/>
      <w:sz w:val="36"/>
      <w:szCs w:val="24"/>
    </w:rPr>
  </w:style>
  <w:style w:type="table" w:customStyle="1" w:styleId="Table3">
    <w:name w:val="Table 3"/>
    <w:basedOn w:val="TableNormal"/>
    <w:uiPriority w:val="99"/>
    <w:rsid w:val="003443B9"/>
    <w:pPr>
      <w:spacing w:before="90" w:after="40" w:line="288" w:lineRule="auto"/>
    </w:pPr>
    <w:rPr>
      <w:rFonts w:eastAsia="Times New Roman" w:cs="Times New Roman"/>
      <w:sz w:val="20"/>
      <w:szCs w:val="20"/>
      <w:lang w:eastAsia="en-AU"/>
    </w:rPr>
    <w:tblPr>
      <w:tblStyleColBandSize w:val="1"/>
      <w:tblBorders>
        <w:top w:val="single" w:sz="2" w:space="0" w:color="1C2B39" w:themeColor="text2"/>
        <w:left w:val="single" w:sz="2" w:space="0" w:color="1C2B39" w:themeColor="text2"/>
        <w:bottom w:val="single" w:sz="2" w:space="0" w:color="1C2B39" w:themeColor="text2"/>
        <w:right w:val="single" w:sz="2" w:space="0" w:color="1C2B39" w:themeColor="text2"/>
        <w:insideH w:val="single" w:sz="2" w:space="0" w:color="1C2B39" w:themeColor="text2"/>
        <w:insideV w:val="single" w:sz="2" w:space="0" w:color="1C2B39" w:themeColor="text2"/>
      </w:tblBorders>
      <w:tblCellMar>
        <w:left w:w="45" w:type="dxa"/>
        <w:right w:w="45" w:type="dxa"/>
      </w:tblCellMar>
    </w:tblPr>
    <w:tblStylePr w:type="firstRow">
      <w:rPr>
        <w:rFonts w:asciiTheme="majorHAnsi" w:hAnsiTheme="majorHAnsi"/>
        <w:caps/>
        <w:smallCaps w:val="0"/>
      </w:rPr>
      <w:tblPr/>
      <w:tcPr>
        <w:tcBorders>
          <w:top w:val="single" w:sz="2" w:space="0" w:color="692686" w:themeColor="accent4"/>
          <w:left w:val="single" w:sz="2" w:space="0" w:color="692686" w:themeColor="accent4"/>
          <w:bottom w:val="single" w:sz="2" w:space="0" w:color="692686" w:themeColor="accent4"/>
          <w:right w:val="single" w:sz="2" w:space="0" w:color="692686" w:themeColor="accent4"/>
          <w:insideH w:val="single" w:sz="2" w:space="0" w:color="692686" w:themeColor="accent4"/>
          <w:insideV w:val="single" w:sz="2" w:space="0" w:color="692686" w:themeColor="accent4"/>
          <w:tl2br w:val="nil"/>
          <w:tr2bl w:val="nil"/>
        </w:tcBorders>
        <w:shd w:val="clear" w:color="auto" w:fill="E4CAF0" w:themeFill="accent4" w:themeFillTint="33"/>
      </w:tcPr>
    </w:tblStylePr>
    <w:tblStylePr w:type="firstCol">
      <w:tblPr/>
      <w:tcPr>
        <w:shd w:val="clear" w:color="auto" w:fill="EEB600" w:themeFill="accent2" w:themeFillShade="E6"/>
      </w:tcPr>
    </w:tblStylePr>
    <w:tblStylePr w:type="band2Vert">
      <w:tblPr/>
      <w:tcPr>
        <w:shd w:val="clear" w:color="auto" w:fill="FCE4E9" w:themeFill="accent3" w:themeFillTint="1A"/>
      </w:tcPr>
    </w:tblStylePr>
  </w:style>
  <w:style w:type="paragraph" w:customStyle="1" w:styleId="Notes">
    <w:name w:val="Notes"/>
    <w:basedOn w:val="BodyText"/>
    <w:qFormat/>
    <w:rsid w:val="009056B9"/>
    <w:pPr>
      <w:tabs>
        <w:tab w:val="left" w:pos="2268"/>
        <w:tab w:val="left" w:pos="4536"/>
        <w:tab w:val="left" w:pos="6804"/>
        <w:tab w:val="right" w:pos="9638"/>
      </w:tabs>
      <w:spacing w:before="60" w:after="60" w:line="240" w:lineRule="auto"/>
    </w:pPr>
    <w:rPr>
      <w:rFonts w:eastAsia="Times New Roman" w:cs="Arial"/>
      <w:sz w:val="16"/>
      <w:szCs w:val="20"/>
      <w:lang w:eastAsia="en-AU"/>
    </w:rPr>
  </w:style>
  <w:style w:type="paragraph" w:customStyle="1" w:styleId="Footnotes">
    <w:name w:val="Footnotes"/>
    <w:basedOn w:val="Normal"/>
    <w:rsid w:val="00E137E5"/>
    <w:pPr>
      <w:numPr>
        <w:ilvl w:val="1"/>
        <w:numId w:val="8"/>
      </w:numPr>
      <w:spacing w:before="60" w:after="60" w:line="240" w:lineRule="auto"/>
    </w:pPr>
    <w:rPr>
      <w:rFonts w:eastAsia="Times New Roman" w:cs="Arial"/>
      <w:sz w:val="18"/>
      <w:szCs w:val="20"/>
      <w:lang w:eastAsia="en-AU"/>
    </w:rPr>
  </w:style>
  <w:style w:type="paragraph" w:customStyle="1" w:styleId="TableHeadingAllCaps">
    <w:name w:val="Table Heading All Caps"/>
    <w:basedOn w:val="TableHeading"/>
    <w:qFormat/>
    <w:rsid w:val="003443B9"/>
    <w:rPr>
      <w:caps/>
      <w:lang w:eastAsia="en-AU"/>
    </w:rPr>
  </w:style>
  <w:style w:type="paragraph" w:styleId="TableofFigures">
    <w:name w:val="table of figures"/>
    <w:basedOn w:val="TOC3"/>
    <w:next w:val="Normal"/>
    <w:uiPriority w:val="99"/>
    <w:rsid w:val="00B76487"/>
    <w:pPr>
      <w:tabs>
        <w:tab w:val="clear" w:pos="851"/>
        <w:tab w:val="left" w:pos="1134"/>
      </w:tabs>
      <w:ind w:left="1134" w:hanging="1134"/>
    </w:pPr>
  </w:style>
  <w:style w:type="paragraph" w:customStyle="1" w:styleId="TableListNumber">
    <w:name w:val="Table List Number"/>
    <w:basedOn w:val="ListNumber"/>
    <w:qFormat/>
    <w:rsid w:val="00E137E5"/>
    <w:pPr>
      <w:spacing w:before="80" w:after="80" w:line="240" w:lineRule="auto"/>
    </w:pPr>
    <w:rPr>
      <w:bCs/>
      <w:color w:val="000000" w:themeColor="text1"/>
      <w:sz w:val="18"/>
    </w:rPr>
  </w:style>
  <w:style w:type="paragraph" w:customStyle="1" w:styleId="TableListNumber2">
    <w:name w:val="Table List Number 2"/>
    <w:basedOn w:val="ListNumber2"/>
    <w:qFormat/>
    <w:rsid w:val="00E137E5"/>
    <w:pPr>
      <w:spacing w:before="80" w:after="80" w:line="240" w:lineRule="auto"/>
    </w:pPr>
    <w:rPr>
      <w:bCs/>
      <w:color w:val="000000" w:themeColor="text1"/>
      <w:sz w:val="18"/>
    </w:rPr>
  </w:style>
  <w:style w:type="paragraph" w:customStyle="1" w:styleId="TableListNumber3">
    <w:name w:val="Table List Number 3"/>
    <w:basedOn w:val="ListNumber3"/>
    <w:qFormat/>
    <w:rsid w:val="00E137E5"/>
    <w:pPr>
      <w:spacing w:before="80" w:after="80" w:line="240" w:lineRule="auto"/>
    </w:pPr>
    <w:rPr>
      <w:bCs/>
      <w:color w:val="000000" w:themeColor="text1"/>
      <w:sz w:val="18"/>
    </w:rPr>
  </w:style>
  <w:style w:type="character" w:styleId="CommentReference">
    <w:name w:val="annotation reference"/>
    <w:basedOn w:val="DefaultParagraphFont"/>
    <w:uiPriority w:val="39"/>
    <w:semiHidden/>
    <w:unhideWhenUsed/>
    <w:rsid w:val="00D03A49"/>
    <w:rPr>
      <w:sz w:val="16"/>
      <w:szCs w:val="16"/>
    </w:rPr>
  </w:style>
  <w:style w:type="paragraph" w:styleId="CommentText">
    <w:name w:val="annotation text"/>
    <w:basedOn w:val="Normal"/>
    <w:link w:val="CommentTextChar"/>
    <w:uiPriority w:val="39"/>
    <w:unhideWhenUsed/>
    <w:rsid w:val="00D03A49"/>
    <w:rPr>
      <w:szCs w:val="20"/>
    </w:rPr>
  </w:style>
  <w:style w:type="character" w:customStyle="1" w:styleId="CommentTextChar">
    <w:name w:val="Comment Text Char"/>
    <w:basedOn w:val="DefaultParagraphFont"/>
    <w:link w:val="CommentText"/>
    <w:uiPriority w:val="39"/>
    <w:rsid w:val="00D03A49"/>
    <w:rPr>
      <w:sz w:val="20"/>
      <w:szCs w:val="20"/>
    </w:rPr>
  </w:style>
  <w:style w:type="paragraph" w:styleId="CommentSubject">
    <w:name w:val="annotation subject"/>
    <w:basedOn w:val="CommentText"/>
    <w:next w:val="CommentText"/>
    <w:link w:val="CommentSubjectChar"/>
    <w:uiPriority w:val="39"/>
    <w:semiHidden/>
    <w:unhideWhenUsed/>
    <w:rsid w:val="00D03A49"/>
    <w:rPr>
      <w:b/>
      <w:bCs/>
    </w:rPr>
  </w:style>
  <w:style w:type="character" w:customStyle="1" w:styleId="CommentSubjectChar">
    <w:name w:val="Comment Subject Char"/>
    <w:basedOn w:val="CommentTextChar"/>
    <w:link w:val="CommentSubject"/>
    <w:uiPriority w:val="39"/>
    <w:semiHidden/>
    <w:rsid w:val="00D03A49"/>
    <w:rPr>
      <w:b/>
      <w:bCs/>
      <w:sz w:val="20"/>
      <w:szCs w:val="20"/>
    </w:rPr>
  </w:style>
  <w:style w:type="paragraph" w:styleId="Revision">
    <w:name w:val="Revision"/>
    <w:hidden/>
    <w:uiPriority w:val="99"/>
    <w:semiHidden/>
    <w:rsid w:val="007940EC"/>
    <w:pPr>
      <w:spacing w:after="0" w:line="240" w:lineRule="auto"/>
    </w:pPr>
    <w:rPr>
      <w:sz w:val="19"/>
    </w:rPr>
  </w:style>
  <w:style w:type="paragraph" w:styleId="Bibliography">
    <w:name w:val="Bibliography"/>
    <w:basedOn w:val="Normal"/>
    <w:next w:val="Normal"/>
    <w:semiHidden/>
    <w:unhideWhenUsed/>
    <w:rsid w:val="0072670F"/>
  </w:style>
  <w:style w:type="paragraph" w:styleId="BlockText">
    <w:name w:val="Block Text"/>
    <w:basedOn w:val="Normal"/>
    <w:semiHidden/>
    <w:unhideWhenUsed/>
    <w:rsid w:val="0072670F"/>
    <w:pPr>
      <w:pBdr>
        <w:top w:val="single" w:sz="2" w:space="10" w:color="D7D8D6" w:themeColor="accent1"/>
        <w:left w:val="single" w:sz="2" w:space="10" w:color="D7D8D6" w:themeColor="accent1"/>
        <w:bottom w:val="single" w:sz="2" w:space="10" w:color="D7D8D6" w:themeColor="accent1"/>
        <w:right w:val="single" w:sz="2" w:space="10" w:color="D7D8D6" w:themeColor="accent1"/>
      </w:pBdr>
      <w:ind w:left="1152" w:right="1152"/>
    </w:pPr>
    <w:rPr>
      <w:rFonts w:eastAsiaTheme="minorEastAsia"/>
      <w:i/>
      <w:iCs/>
      <w:color w:val="D7D8D6" w:themeColor="accent1"/>
    </w:rPr>
  </w:style>
  <w:style w:type="paragraph" w:styleId="BodyTextIndent">
    <w:name w:val="Body Text Indent"/>
    <w:basedOn w:val="Normal"/>
    <w:link w:val="BodyTextIndentChar"/>
    <w:semiHidden/>
    <w:unhideWhenUsed/>
    <w:rsid w:val="0072670F"/>
    <w:pPr>
      <w:ind w:left="283"/>
    </w:pPr>
  </w:style>
  <w:style w:type="character" w:customStyle="1" w:styleId="BodyTextIndentChar">
    <w:name w:val="Body Text Indent Char"/>
    <w:basedOn w:val="DefaultParagraphFont"/>
    <w:link w:val="BodyTextIndent"/>
    <w:semiHidden/>
    <w:rsid w:val="0072670F"/>
    <w:rPr>
      <w:sz w:val="19"/>
    </w:rPr>
  </w:style>
  <w:style w:type="paragraph" w:styleId="BodyTextFirstIndent2">
    <w:name w:val="Body Text First Indent 2"/>
    <w:basedOn w:val="BodyTextIndent"/>
    <w:link w:val="BodyTextFirstIndent2Char"/>
    <w:semiHidden/>
    <w:unhideWhenUsed/>
    <w:rsid w:val="0072670F"/>
    <w:pPr>
      <w:spacing w:after="200"/>
      <w:ind w:left="360" w:firstLine="360"/>
    </w:pPr>
  </w:style>
  <w:style w:type="character" w:customStyle="1" w:styleId="BodyTextFirstIndent2Char">
    <w:name w:val="Body Text First Indent 2 Char"/>
    <w:basedOn w:val="BodyTextIndentChar"/>
    <w:link w:val="BodyTextFirstIndent2"/>
    <w:semiHidden/>
    <w:rsid w:val="0072670F"/>
    <w:rPr>
      <w:sz w:val="19"/>
    </w:rPr>
  </w:style>
  <w:style w:type="paragraph" w:styleId="BodyTextIndent2">
    <w:name w:val="Body Text Indent 2"/>
    <w:basedOn w:val="Normal"/>
    <w:link w:val="BodyTextIndent2Char"/>
    <w:semiHidden/>
    <w:unhideWhenUsed/>
    <w:rsid w:val="0072670F"/>
    <w:pPr>
      <w:spacing w:line="480" w:lineRule="auto"/>
      <w:ind w:left="283"/>
    </w:pPr>
  </w:style>
  <w:style w:type="character" w:customStyle="1" w:styleId="BodyTextIndent2Char">
    <w:name w:val="Body Text Indent 2 Char"/>
    <w:basedOn w:val="DefaultParagraphFont"/>
    <w:link w:val="BodyTextIndent2"/>
    <w:semiHidden/>
    <w:rsid w:val="0072670F"/>
    <w:rPr>
      <w:sz w:val="19"/>
    </w:rPr>
  </w:style>
  <w:style w:type="paragraph" w:styleId="BodyTextIndent3">
    <w:name w:val="Body Text Indent 3"/>
    <w:basedOn w:val="Normal"/>
    <w:link w:val="BodyTextIndent3Char"/>
    <w:semiHidden/>
    <w:unhideWhenUsed/>
    <w:rsid w:val="0072670F"/>
    <w:pPr>
      <w:ind w:left="283"/>
    </w:pPr>
    <w:rPr>
      <w:sz w:val="16"/>
      <w:szCs w:val="16"/>
    </w:rPr>
  </w:style>
  <w:style w:type="character" w:customStyle="1" w:styleId="BodyTextIndent3Char">
    <w:name w:val="Body Text Indent 3 Char"/>
    <w:basedOn w:val="DefaultParagraphFont"/>
    <w:link w:val="BodyTextIndent3"/>
    <w:semiHidden/>
    <w:rsid w:val="0072670F"/>
    <w:rPr>
      <w:sz w:val="16"/>
      <w:szCs w:val="16"/>
    </w:rPr>
  </w:style>
  <w:style w:type="paragraph" w:styleId="Closing">
    <w:name w:val="Closing"/>
    <w:basedOn w:val="Normal"/>
    <w:link w:val="ClosingChar"/>
    <w:semiHidden/>
    <w:unhideWhenUsed/>
    <w:rsid w:val="0072670F"/>
    <w:pPr>
      <w:spacing w:after="0"/>
      <w:ind w:left="4252"/>
    </w:pPr>
  </w:style>
  <w:style w:type="character" w:customStyle="1" w:styleId="ClosingChar">
    <w:name w:val="Closing Char"/>
    <w:basedOn w:val="DefaultParagraphFont"/>
    <w:link w:val="Closing"/>
    <w:semiHidden/>
    <w:rsid w:val="0072670F"/>
    <w:rPr>
      <w:sz w:val="19"/>
    </w:rPr>
  </w:style>
  <w:style w:type="paragraph" w:styleId="Date">
    <w:name w:val="Date"/>
    <w:basedOn w:val="Normal"/>
    <w:next w:val="Normal"/>
    <w:link w:val="DateChar"/>
    <w:unhideWhenUsed/>
    <w:rsid w:val="0072670F"/>
  </w:style>
  <w:style w:type="character" w:customStyle="1" w:styleId="DateChar">
    <w:name w:val="Date Char"/>
    <w:basedOn w:val="DefaultParagraphFont"/>
    <w:link w:val="Date"/>
    <w:rsid w:val="0072670F"/>
    <w:rPr>
      <w:sz w:val="19"/>
    </w:rPr>
  </w:style>
  <w:style w:type="paragraph" w:styleId="E-mailSignature">
    <w:name w:val="E-mail Signature"/>
    <w:basedOn w:val="Normal"/>
    <w:link w:val="E-mailSignatureChar"/>
    <w:semiHidden/>
    <w:unhideWhenUsed/>
    <w:rsid w:val="0072670F"/>
    <w:pPr>
      <w:spacing w:after="0"/>
    </w:pPr>
  </w:style>
  <w:style w:type="character" w:customStyle="1" w:styleId="E-mailSignatureChar">
    <w:name w:val="E-mail Signature Char"/>
    <w:basedOn w:val="DefaultParagraphFont"/>
    <w:link w:val="E-mailSignature"/>
    <w:semiHidden/>
    <w:rsid w:val="0072670F"/>
    <w:rPr>
      <w:sz w:val="19"/>
    </w:rPr>
  </w:style>
  <w:style w:type="paragraph" w:styleId="EndnoteText">
    <w:name w:val="endnote text"/>
    <w:basedOn w:val="Normal"/>
    <w:link w:val="EndnoteTextChar"/>
    <w:semiHidden/>
    <w:unhideWhenUsed/>
    <w:rsid w:val="0072670F"/>
    <w:pPr>
      <w:spacing w:after="0"/>
    </w:pPr>
    <w:rPr>
      <w:szCs w:val="20"/>
    </w:rPr>
  </w:style>
  <w:style w:type="character" w:customStyle="1" w:styleId="EndnoteTextChar">
    <w:name w:val="Endnote Text Char"/>
    <w:basedOn w:val="DefaultParagraphFont"/>
    <w:link w:val="EndnoteText"/>
    <w:semiHidden/>
    <w:rsid w:val="0072670F"/>
    <w:rPr>
      <w:sz w:val="20"/>
      <w:szCs w:val="20"/>
    </w:rPr>
  </w:style>
  <w:style w:type="paragraph" w:styleId="EnvelopeAddress">
    <w:name w:val="envelope address"/>
    <w:basedOn w:val="Normal"/>
    <w:semiHidden/>
    <w:unhideWhenUsed/>
    <w:rsid w:val="0072670F"/>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72670F"/>
    <w:pPr>
      <w:spacing w:after="0"/>
    </w:pPr>
    <w:rPr>
      <w:rFonts w:asciiTheme="majorHAnsi" w:eastAsiaTheme="majorEastAsia" w:hAnsiTheme="majorHAnsi" w:cstheme="majorBidi"/>
      <w:szCs w:val="20"/>
    </w:rPr>
  </w:style>
  <w:style w:type="paragraph" w:styleId="FootnoteText">
    <w:name w:val="footnote text"/>
    <w:basedOn w:val="Normal"/>
    <w:link w:val="FootnoteTextChar"/>
    <w:unhideWhenUsed/>
    <w:rsid w:val="00B241C2"/>
    <w:pPr>
      <w:spacing w:after="0"/>
    </w:pPr>
    <w:rPr>
      <w:sz w:val="18"/>
      <w:szCs w:val="20"/>
    </w:rPr>
  </w:style>
  <w:style w:type="character" w:customStyle="1" w:styleId="FootnoteTextChar">
    <w:name w:val="Footnote Text Char"/>
    <w:basedOn w:val="DefaultParagraphFont"/>
    <w:link w:val="FootnoteText"/>
    <w:rsid w:val="00B241C2"/>
    <w:rPr>
      <w:rFonts w:ascii="Arial" w:hAnsi="Arial"/>
      <w:sz w:val="18"/>
      <w:szCs w:val="20"/>
    </w:rPr>
  </w:style>
  <w:style w:type="character" w:customStyle="1" w:styleId="Heading7Char">
    <w:name w:val="Heading 7 Char"/>
    <w:basedOn w:val="DefaultParagraphFont"/>
    <w:link w:val="Heading7"/>
    <w:rsid w:val="0072670F"/>
    <w:rPr>
      <w:rFonts w:asciiTheme="majorHAnsi" w:eastAsiaTheme="majorEastAsia" w:hAnsiTheme="majorHAnsi" w:cstheme="majorBidi"/>
      <w:i/>
      <w:iCs/>
      <w:color w:val="6A6D68" w:themeColor="accent1" w:themeShade="7F"/>
      <w:sz w:val="19"/>
    </w:rPr>
  </w:style>
  <w:style w:type="character" w:customStyle="1" w:styleId="Heading8Char">
    <w:name w:val="Heading 8 Char"/>
    <w:aliases w:val="Appendix Title Char"/>
    <w:basedOn w:val="DefaultParagraphFont"/>
    <w:link w:val="Heading8"/>
    <w:rsid w:val="0072670F"/>
    <w:rPr>
      <w:rFonts w:asciiTheme="majorHAnsi" w:eastAsiaTheme="majorEastAsia" w:hAnsiTheme="majorHAnsi" w:cstheme="majorBidi"/>
      <w:color w:val="272727" w:themeColor="text1" w:themeTint="D8"/>
      <w:sz w:val="21"/>
      <w:szCs w:val="21"/>
    </w:rPr>
  </w:style>
  <w:style w:type="character" w:customStyle="1" w:styleId="Heading9Char">
    <w:name w:val="Heading 9 Char"/>
    <w:aliases w:val="Appendix Heading 1 Char"/>
    <w:basedOn w:val="DefaultParagraphFont"/>
    <w:link w:val="Heading9"/>
    <w:rsid w:val="0072670F"/>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semiHidden/>
    <w:unhideWhenUsed/>
    <w:rsid w:val="0072670F"/>
    <w:pPr>
      <w:spacing w:after="0"/>
    </w:pPr>
    <w:rPr>
      <w:i/>
      <w:iCs/>
    </w:rPr>
  </w:style>
  <w:style w:type="character" w:customStyle="1" w:styleId="HTMLAddressChar">
    <w:name w:val="HTML Address Char"/>
    <w:basedOn w:val="DefaultParagraphFont"/>
    <w:link w:val="HTMLAddress"/>
    <w:semiHidden/>
    <w:rsid w:val="0072670F"/>
    <w:rPr>
      <w:i/>
      <w:iCs/>
      <w:sz w:val="19"/>
    </w:rPr>
  </w:style>
  <w:style w:type="paragraph" w:styleId="HTMLPreformatted">
    <w:name w:val="HTML Preformatted"/>
    <w:basedOn w:val="Normal"/>
    <w:link w:val="HTMLPreformattedChar"/>
    <w:semiHidden/>
    <w:unhideWhenUsed/>
    <w:rsid w:val="0072670F"/>
    <w:pPr>
      <w:spacing w:after="0"/>
    </w:pPr>
    <w:rPr>
      <w:rFonts w:ascii="Consolas" w:hAnsi="Consolas" w:cs="Consolas"/>
      <w:szCs w:val="20"/>
    </w:rPr>
  </w:style>
  <w:style w:type="character" w:customStyle="1" w:styleId="HTMLPreformattedChar">
    <w:name w:val="HTML Preformatted Char"/>
    <w:basedOn w:val="DefaultParagraphFont"/>
    <w:link w:val="HTMLPreformatted"/>
    <w:semiHidden/>
    <w:rsid w:val="0072670F"/>
    <w:rPr>
      <w:rFonts w:ascii="Consolas" w:hAnsi="Consolas" w:cs="Consolas"/>
      <w:sz w:val="20"/>
      <w:szCs w:val="20"/>
    </w:rPr>
  </w:style>
  <w:style w:type="paragraph" w:styleId="Index1">
    <w:name w:val="index 1"/>
    <w:basedOn w:val="Normal"/>
    <w:next w:val="Normal"/>
    <w:autoRedefine/>
    <w:semiHidden/>
    <w:unhideWhenUsed/>
    <w:rsid w:val="0072670F"/>
    <w:pPr>
      <w:spacing w:after="0"/>
      <w:ind w:left="190" w:hanging="190"/>
    </w:pPr>
  </w:style>
  <w:style w:type="paragraph" w:styleId="Index2">
    <w:name w:val="index 2"/>
    <w:basedOn w:val="Normal"/>
    <w:next w:val="Normal"/>
    <w:autoRedefine/>
    <w:semiHidden/>
    <w:unhideWhenUsed/>
    <w:rsid w:val="0072670F"/>
    <w:pPr>
      <w:spacing w:after="0"/>
      <w:ind w:left="380" w:hanging="190"/>
    </w:pPr>
  </w:style>
  <w:style w:type="paragraph" w:styleId="Index3">
    <w:name w:val="index 3"/>
    <w:basedOn w:val="Normal"/>
    <w:next w:val="Normal"/>
    <w:autoRedefine/>
    <w:semiHidden/>
    <w:unhideWhenUsed/>
    <w:rsid w:val="0072670F"/>
    <w:pPr>
      <w:spacing w:after="0"/>
      <w:ind w:left="570" w:hanging="190"/>
    </w:pPr>
  </w:style>
  <w:style w:type="paragraph" w:styleId="Index4">
    <w:name w:val="index 4"/>
    <w:basedOn w:val="Normal"/>
    <w:next w:val="Normal"/>
    <w:autoRedefine/>
    <w:semiHidden/>
    <w:unhideWhenUsed/>
    <w:rsid w:val="0072670F"/>
    <w:pPr>
      <w:spacing w:after="0"/>
      <w:ind w:left="760" w:hanging="190"/>
    </w:pPr>
  </w:style>
  <w:style w:type="paragraph" w:styleId="Index5">
    <w:name w:val="index 5"/>
    <w:basedOn w:val="Normal"/>
    <w:next w:val="Normal"/>
    <w:autoRedefine/>
    <w:semiHidden/>
    <w:unhideWhenUsed/>
    <w:rsid w:val="0072670F"/>
    <w:pPr>
      <w:spacing w:after="0"/>
      <w:ind w:left="950" w:hanging="190"/>
    </w:pPr>
  </w:style>
  <w:style w:type="paragraph" w:styleId="Index6">
    <w:name w:val="index 6"/>
    <w:basedOn w:val="Normal"/>
    <w:next w:val="Normal"/>
    <w:autoRedefine/>
    <w:semiHidden/>
    <w:unhideWhenUsed/>
    <w:rsid w:val="0072670F"/>
    <w:pPr>
      <w:spacing w:after="0"/>
      <w:ind w:left="1140" w:hanging="190"/>
    </w:pPr>
  </w:style>
  <w:style w:type="paragraph" w:styleId="Index7">
    <w:name w:val="index 7"/>
    <w:basedOn w:val="Normal"/>
    <w:next w:val="Normal"/>
    <w:autoRedefine/>
    <w:semiHidden/>
    <w:unhideWhenUsed/>
    <w:rsid w:val="0072670F"/>
    <w:pPr>
      <w:spacing w:after="0"/>
      <w:ind w:left="1330" w:hanging="190"/>
    </w:pPr>
  </w:style>
  <w:style w:type="paragraph" w:styleId="Index8">
    <w:name w:val="index 8"/>
    <w:basedOn w:val="Normal"/>
    <w:next w:val="Normal"/>
    <w:autoRedefine/>
    <w:semiHidden/>
    <w:unhideWhenUsed/>
    <w:rsid w:val="0072670F"/>
    <w:pPr>
      <w:spacing w:after="0"/>
      <w:ind w:left="1520" w:hanging="190"/>
    </w:pPr>
  </w:style>
  <w:style w:type="paragraph" w:styleId="Index9">
    <w:name w:val="index 9"/>
    <w:basedOn w:val="Normal"/>
    <w:next w:val="Normal"/>
    <w:autoRedefine/>
    <w:semiHidden/>
    <w:unhideWhenUsed/>
    <w:rsid w:val="0072670F"/>
    <w:pPr>
      <w:spacing w:after="0"/>
      <w:ind w:left="1710" w:hanging="190"/>
    </w:pPr>
  </w:style>
  <w:style w:type="paragraph" w:styleId="IndexHeading">
    <w:name w:val="index heading"/>
    <w:basedOn w:val="Normal"/>
    <w:next w:val="Index1"/>
    <w:semiHidden/>
    <w:unhideWhenUsed/>
    <w:rsid w:val="0072670F"/>
    <w:rPr>
      <w:rFonts w:asciiTheme="majorHAnsi" w:eastAsiaTheme="majorEastAsia" w:hAnsiTheme="majorHAnsi" w:cstheme="majorBidi"/>
      <w:b/>
      <w:bCs/>
    </w:rPr>
  </w:style>
  <w:style w:type="paragraph" w:styleId="List">
    <w:name w:val="List"/>
    <w:basedOn w:val="Normal"/>
    <w:semiHidden/>
    <w:unhideWhenUsed/>
    <w:rsid w:val="0072670F"/>
    <w:pPr>
      <w:ind w:left="283" w:hanging="283"/>
      <w:contextualSpacing/>
    </w:pPr>
  </w:style>
  <w:style w:type="paragraph" w:styleId="List2">
    <w:name w:val="List 2"/>
    <w:basedOn w:val="Normal"/>
    <w:semiHidden/>
    <w:unhideWhenUsed/>
    <w:rsid w:val="0072670F"/>
    <w:pPr>
      <w:ind w:left="566" w:hanging="283"/>
      <w:contextualSpacing/>
    </w:pPr>
  </w:style>
  <w:style w:type="paragraph" w:styleId="List3">
    <w:name w:val="List 3"/>
    <w:basedOn w:val="Normal"/>
    <w:semiHidden/>
    <w:unhideWhenUsed/>
    <w:rsid w:val="0072670F"/>
    <w:pPr>
      <w:ind w:left="849" w:hanging="283"/>
      <w:contextualSpacing/>
    </w:pPr>
  </w:style>
  <w:style w:type="paragraph" w:styleId="List4">
    <w:name w:val="List 4"/>
    <w:basedOn w:val="Normal"/>
    <w:unhideWhenUsed/>
    <w:rsid w:val="0072670F"/>
    <w:pPr>
      <w:ind w:left="1132" w:hanging="283"/>
      <w:contextualSpacing/>
    </w:pPr>
  </w:style>
  <w:style w:type="paragraph" w:styleId="List5">
    <w:name w:val="List 5"/>
    <w:basedOn w:val="Normal"/>
    <w:unhideWhenUsed/>
    <w:rsid w:val="0072670F"/>
    <w:pPr>
      <w:ind w:left="1415" w:hanging="283"/>
      <w:contextualSpacing/>
    </w:pPr>
  </w:style>
  <w:style w:type="paragraph" w:styleId="ListContinue3">
    <w:name w:val="List Continue 3"/>
    <w:basedOn w:val="Normal"/>
    <w:rsid w:val="0072670F"/>
    <w:pPr>
      <w:ind w:left="849"/>
      <w:contextualSpacing/>
    </w:pPr>
  </w:style>
  <w:style w:type="paragraph" w:styleId="ListContinue4">
    <w:name w:val="List Continue 4"/>
    <w:basedOn w:val="Normal"/>
    <w:rsid w:val="0072670F"/>
    <w:pPr>
      <w:ind w:left="1132"/>
      <w:contextualSpacing/>
    </w:pPr>
  </w:style>
  <w:style w:type="paragraph" w:styleId="ListContinue5">
    <w:name w:val="List Continue 5"/>
    <w:basedOn w:val="Normal"/>
    <w:rsid w:val="0072670F"/>
    <w:pPr>
      <w:ind w:left="1415"/>
      <w:contextualSpacing/>
    </w:pPr>
  </w:style>
  <w:style w:type="paragraph" w:styleId="ListNumber4">
    <w:name w:val="List Number 4"/>
    <w:basedOn w:val="Normal"/>
    <w:unhideWhenUsed/>
    <w:rsid w:val="0072670F"/>
    <w:pPr>
      <w:numPr>
        <w:numId w:val="1"/>
      </w:numPr>
      <w:contextualSpacing/>
    </w:pPr>
  </w:style>
  <w:style w:type="paragraph" w:styleId="ListNumber5">
    <w:name w:val="List Number 5"/>
    <w:basedOn w:val="Normal"/>
    <w:unhideWhenUsed/>
    <w:rsid w:val="0072670F"/>
    <w:pPr>
      <w:numPr>
        <w:numId w:val="2"/>
      </w:numPr>
      <w:contextualSpacing/>
    </w:pPr>
  </w:style>
  <w:style w:type="paragraph" w:styleId="MacroText">
    <w:name w:val="macro"/>
    <w:link w:val="MacroTextChar"/>
    <w:semiHidden/>
    <w:rsid w:val="0072670F"/>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hAnsi="Consolas" w:cs="Consolas"/>
      <w:sz w:val="20"/>
      <w:szCs w:val="20"/>
    </w:rPr>
  </w:style>
  <w:style w:type="character" w:customStyle="1" w:styleId="MacroTextChar">
    <w:name w:val="Macro Text Char"/>
    <w:basedOn w:val="DefaultParagraphFont"/>
    <w:link w:val="MacroText"/>
    <w:semiHidden/>
    <w:rsid w:val="0072670F"/>
    <w:rPr>
      <w:rFonts w:ascii="Consolas" w:hAnsi="Consolas" w:cs="Consolas"/>
      <w:sz w:val="20"/>
      <w:szCs w:val="20"/>
    </w:rPr>
  </w:style>
  <w:style w:type="paragraph" w:styleId="MessageHeader">
    <w:name w:val="Message Header"/>
    <w:basedOn w:val="Normal"/>
    <w:link w:val="MessageHeaderChar"/>
    <w:semiHidden/>
    <w:rsid w:val="0072670F"/>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72670F"/>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72670F"/>
    <w:rPr>
      <w:rFonts w:ascii="Times New Roman" w:hAnsi="Times New Roman" w:cs="Times New Roman"/>
      <w:sz w:val="24"/>
      <w:szCs w:val="24"/>
    </w:rPr>
  </w:style>
  <w:style w:type="paragraph" w:styleId="NoteHeading">
    <w:name w:val="Note Heading"/>
    <w:basedOn w:val="Normal"/>
    <w:next w:val="Normal"/>
    <w:link w:val="NoteHeadingChar"/>
    <w:unhideWhenUsed/>
    <w:rsid w:val="0072670F"/>
    <w:pPr>
      <w:spacing w:after="0"/>
    </w:pPr>
  </w:style>
  <w:style w:type="character" w:customStyle="1" w:styleId="NoteHeadingChar">
    <w:name w:val="Note Heading Char"/>
    <w:basedOn w:val="DefaultParagraphFont"/>
    <w:link w:val="NoteHeading"/>
    <w:rsid w:val="0072670F"/>
    <w:rPr>
      <w:sz w:val="19"/>
    </w:rPr>
  </w:style>
  <w:style w:type="paragraph" w:styleId="PlainText">
    <w:name w:val="Plain Text"/>
    <w:basedOn w:val="Normal"/>
    <w:link w:val="PlainTextChar"/>
    <w:uiPriority w:val="39"/>
    <w:semiHidden/>
    <w:unhideWhenUsed/>
    <w:rsid w:val="0072670F"/>
    <w:pPr>
      <w:spacing w:after="0"/>
    </w:pPr>
    <w:rPr>
      <w:rFonts w:ascii="Consolas" w:hAnsi="Consolas" w:cs="Consolas"/>
      <w:sz w:val="21"/>
      <w:szCs w:val="21"/>
    </w:rPr>
  </w:style>
  <w:style w:type="character" w:customStyle="1" w:styleId="PlainTextChar">
    <w:name w:val="Plain Text Char"/>
    <w:basedOn w:val="DefaultParagraphFont"/>
    <w:link w:val="PlainText"/>
    <w:uiPriority w:val="39"/>
    <w:semiHidden/>
    <w:rsid w:val="0072670F"/>
    <w:rPr>
      <w:rFonts w:ascii="Consolas" w:hAnsi="Consolas" w:cs="Consolas"/>
      <w:sz w:val="21"/>
      <w:szCs w:val="21"/>
    </w:rPr>
  </w:style>
  <w:style w:type="paragraph" w:styleId="Salutation">
    <w:name w:val="Salutation"/>
    <w:basedOn w:val="Normal"/>
    <w:next w:val="Normal"/>
    <w:link w:val="SalutationChar"/>
    <w:unhideWhenUsed/>
    <w:rsid w:val="0072670F"/>
  </w:style>
  <w:style w:type="character" w:customStyle="1" w:styleId="SalutationChar">
    <w:name w:val="Salutation Char"/>
    <w:basedOn w:val="DefaultParagraphFont"/>
    <w:link w:val="Salutation"/>
    <w:rsid w:val="0072670F"/>
    <w:rPr>
      <w:sz w:val="19"/>
    </w:rPr>
  </w:style>
  <w:style w:type="paragraph" w:styleId="Signature">
    <w:name w:val="Signature"/>
    <w:basedOn w:val="Normal"/>
    <w:link w:val="SignatureChar"/>
    <w:semiHidden/>
    <w:unhideWhenUsed/>
    <w:rsid w:val="0072670F"/>
    <w:pPr>
      <w:spacing w:after="0"/>
      <w:ind w:left="4252"/>
    </w:pPr>
  </w:style>
  <w:style w:type="character" w:customStyle="1" w:styleId="SignatureChar">
    <w:name w:val="Signature Char"/>
    <w:basedOn w:val="DefaultParagraphFont"/>
    <w:link w:val="Signature"/>
    <w:semiHidden/>
    <w:rsid w:val="0072670F"/>
    <w:rPr>
      <w:sz w:val="19"/>
    </w:rPr>
  </w:style>
  <w:style w:type="paragraph" w:styleId="TableofAuthorities">
    <w:name w:val="table of authorities"/>
    <w:basedOn w:val="Normal"/>
    <w:next w:val="Normal"/>
    <w:semiHidden/>
    <w:unhideWhenUsed/>
    <w:rsid w:val="0072670F"/>
    <w:pPr>
      <w:spacing w:after="0"/>
      <w:ind w:left="190" w:hanging="190"/>
    </w:pPr>
  </w:style>
  <w:style w:type="character" w:customStyle="1" w:styleId="TableTextChar">
    <w:name w:val="Table Text Char"/>
    <w:basedOn w:val="DefaultParagraphFont"/>
    <w:link w:val="TableText"/>
    <w:rsid w:val="00E137E5"/>
    <w:rPr>
      <w:rFonts w:ascii="Arial" w:eastAsia="Times New Roman" w:hAnsi="Arial" w:cs="Arial"/>
      <w:color w:val="000000" w:themeColor="text1"/>
      <w:sz w:val="18"/>
    </w:rPr>
  </w:style>
  <w:style w:type="table" w:customStyle="1" w:styleId="Table1">
    <w:name w:val="Table 1"/>
    <w:basedOn w:val="TableNormal"/>
    <w:uiPriority w:val="59"/>
    <w:rsid w:val="000F5FB5"/>
    <w:pPr>
      <w:spacing w:after="0" w:line="240" w:lineRule="auto"/>
    </w:pPr>
    <w:rPr>
      <w:rFonts w:ascii="Arial" w:hAnsi="Arial"/>
      <w:sz w:val="18"/>
    </w:rPr>
    <w:tblPr>
      <w:tblBorders>
        <w:bottom w:val="single" w:sz="4" w:space="0" w:color="A7CC96"/>
        <w:insideH w:val="single" w:sz="4" w:space="0" w:color="A7CC96"/>
      </w:tblBorders>
    </w:tblPr>
    <w:tblStylePr w:type="firstRow">
      <w:pPr>
        <w:wordWrap/>
      </w:pPr>
      <w:rPr>
        <w:rFonts w:ascii="Arial" w:hAnsi="Arial"/>
        <w:color w:val="auto"/>
        <w:sz w:val="18"/>
      </w:rPr>
      <w:tblPr/>
      <w:tcPr>
        <w:shd w:val="clear" w:color="auto" w:fill="A7CC96"/>
      </w:tcPr>
    </w:tblStylePr>
    <w:tblStylePr w:type="firstCol">
      <w:tblPr/>
      <w:tcPr>
        <w:shd w:val="clear" w:color="auto" w:fill="E6EFE1"/>
      </w:tcPr>
    </w:tblStylePr>
  </w:style>
  <w:style w:type="paragraph" w:customStyle="1" w:styleId="PullOutBoxText">
    <w:name w:val="Pull Out Box Text"/>
    <w:basedOn w:val="Normal"/>
    <w:qFormat/>
    <w:rsid w:val="00632BD3"/>
    <w:rPr>
      <w:color w:val="004F9E"/>
    </w:rPr>
  </w:style>
  <w:style w:type="paragraph" w:customStyle="1" w:styleId="PullOutBoxHeading">
    <w:name w:val="Pull Out Box Heading"/>
    <w:basedOn w:val="PullOutBoxText"/>
    <w:qFormat/>
    <w:rsid w:val="00632BD3"/>
    <w:pPr>
      <w:spacing w:before="0"/>
    </w:pPr>
    <w:rPr>
      <w:b/>
      <w:bCs/>
      <w:sz w:val="22"/>
    </w:rPr>
  </w:style>
  <w:style w:type="character" w:styleId="FootnoteReference">
    <w:name w:val="footnote reference"/>
    <w:basedOn w:val="DefaultParagraphFont"/>
    <w:semiHidden/>
    <w:unhideWhenUsed/>
    <w:rsid w:val="00B241C2"/>
    <w:rPr>
      <w:vertAlign w:val="superscript"/>
    </w:rPr>
  </w:style>
  <w:style w:type="paragraph" w:customStyle="1" w:styleId="BodyTextBold">
    <w:name w:val="Body Text Bold"/>
    <w:basedOn w:val="BodyText"/>
    <w:rsid w:val="00B241C2"/>
    <w:pPr>
      <w:tabs>
        <w:tab w:val="left" w:pos="2268"/>
        <w:tab w:val="left" w:pos="4536"/>
        <w:tab w:val="left" w:pos="6804"/>
        <w:tab w:val="right" w:pos="9638"/>
      </w:tabs>
      <w:spacing w:line="288" w:lineRule="auto"/>
    </w:pPr>
    <w:rPr>
      <w:rFonts w:asciiTheme="minorHAnsi" w:eastAsia="Times New Roman" w:hAnsiTheme="minorHAnsi" w:cs="Times New Roman"/>
      <w:b/>
      <w:sz w:val="20"/>
      <w:szCs w:val="20"/>
    </w:rPr>
  </w:style>
  <w:style w:type="numbering" w:customStyle="1" w:styleId="HangingList">
    <w:name w:val="HangingList"/>
    <w:uiPriority w:val="99"/>
    <w:rsid w:val="00B241C2"/>
    <w:pPr>
      <w:numPr>
        <w:numId w:val="9"/>
      </w:numPr>
    </w:pPr>
  </w:style>
  <w:style w:type="paragraph" w:customStyle="1" w:styleId="AppendixHeading2">
    <w:name w:val="Appendix Heading 2"/>
    <w:basedOn w:val="Normal"/>
    <w:next w:val="BodyText"/>
    <w:uiPriority w:val="4"/>
    <w:rsid w:val="00B241C2"/>
    <w:pPr>
      <w:keepNext/>
      <w:tabs>
        <w:tab w:val="left" w:pos="1559"/>
        <w:tab w:val="left" w:pos="1843"/>
        <w:tab w:val="left" w:pos="2126"/>
        <w:tab w:val="left" w:pos="2410"/>
        <w:tab w:val="right" w:pos="9639"/>
      </w:tabs>
      <w:spacing w:before="200" w:line="288" w:lineRule="auto"/>
      <w:ind w:left="1134" w:hanging="1134"/>
    </w:pPr>
    <w:rPr>
      <w:rFonts w:asciiTheme="majorHAnsi" w:eastAsia="Times New Roman" w:hAnsiTheme="majorHAnsi" w:cs="Times New Roman"/>
      <w:color w:val="000000" w:themeColor="text1"/>
      <w:sz w:val="24"/>
      <w:szCs w:val="20"/>
    </w:rPr>
  </w:style>
  <w:style w:type="paragraph" w:customStyle="1" w:styleId="AppendixHeading3">
    <w:name w:val="Appendix Heading 3"/>
    <w:basedOn w:val="Normal"/>
    <w:next w:val="BodyText"/>
    <w:uiPriority w:val="4"/>
    <w:rsid w:val="00B241C2"/>
    <w:pPr>
      <w:keepNext/>
      <w:tabs>
        <w:tab w:val="left" w:pos="1559"/>
        <w:tab w:val="left" w:pos="1843"/>
        <w:tab w:val="left" w:pos="2126"/>
        <w:tab w:val="left" w:pos="2410"/>
        <w:tab w:val="left" w:pos="6804"/>
        <w:tab w:val="right" w:pos="9639"/>
      </w:tabs>
      <w:spacing w:before="200" w:line="288" w:lineRule="auto"/>
      <w:ind w:left="1134" w:hanging="1134"/>
    </w:pPr>
    <w:rPr>
      <w:rFonts w:asciiTheme="majorHAnsi" w:eastAsia="Times New Roman" w:hAnsiTheme="majorHAnsi" w:cs="Times New Roman"/>
      <w:b/>
      <w:color w:val="000000" w:themeColor="text1"/>
      <w:sz w:val="20"/>
      <w:szCs w:val="20"/>
    </w:rPr>
  </w:style>
  <w:style w:type="character" w:styleId="FollowedHyperlink">
    <w:name w:val="FollowedHyperlink"/>
    <w:basedOn w:val="DefaultParagraphFont"/>
    <w:rsid w:val="00B241C2"/>
    <w:rPr>
      <w:color w:val="000000" w:themeColor="text1"/>
      <w:u w:val="single"/>
    </w:rPr>
  </w:style>
  <w:style w:type="numbering" w:customStyle="1" w:styleId="MyListNumbering">
    <w:name w:val="MyListNumbering"/>
    <w:uiPriority w:val="99"/>
    <w:rsid w:val="00B241C2"/>
    <w:pPr>
      <w:numPr>
        <w:numId w:val="10"/>
      </w:numPr>
    </w:pPr>
  </w:style>
  <w:style w:type="character" w:styleId="PlaceholderText">
    <w:name w:val="Placeholder Text"/>
    <w:basedOn w:val="DefaultParagraphFont"/>
    <w:uiPriority w:val="99"/>
    <w:semiHidden/>
    <w:rsid w:val="00B241C2"/>
    <w:rPr>
      <w:color w:val="808080"/>
    </w:rPr>
  </w:style>
  <w:style w:type="numbering" w:customStyle="1" w:styleId="TableBullets">
    <w:name w:val="TableBullets"/>
    <w:uiPriority w:val="99"/>
    <w:rsid w:val="00B241C2"/>
    <w:pPr>
      <w:numPr>
        <w:numId w:val="12"/>
      </w:numPr>
    </w:pPr>
  </w:style>
  <w:style w:type="numbering" w:customStyle="1" w:styleId="TableFootnotes0">
    <w:name w:val="TableFootnotes"/>
    <w:uiPriority w:val="99"/>
    <w:rsid w:val="00B241C2"/>
    <w:pPr>
      <w:numPr>
        <w:numId w:val="13"/>
      </w:numPr>
    </w:pPr>
  </w:style>
  <w:style w:type="numbering" w:customStyle="1" w:styleId="TableNumbering">
    <w:name w:val="TableNumbering"/>
    <w:uiPriority w:val="99"/>
    <w:rsid w:val="00B241C2"/>
    <w:pPr>
      <w:numPr>
        <w:numId w:val="14"/>
      </w:numPr>
    </w:pPr>
  </w:style>
  <w:style w:type="paragraph" w:customStyle="1" w:styleId="TableofFiguresHeading">
    <w:name w:val="Table of Figures Heading"/>
    <w:basedOn w:val="Normal"/>
    <w:rsid w:val="00B241C2"/>
    <w:pPr>
      <w:spacing w:before="240" w:after="60" w:line="288" w:lineRule="auto"/>
    </w:pPr>
    <w:rPr>
      <w:rFonts w:asciiTheme="majorHAnsi" w:eastAsia="Times New Roman" w:hAnsiTheme="majorHAnsi" w:cs="Times New Roman"/>
      <w:bCs/>
      <w:color w:val="1C2B39" w:themeColor="text2"/>
      <w:sz w:val="24"/>
    </w:rPr>
  </w:style>
  <w:style w:type="paragraph" w:customStyle="1" w:styleId="Address">
    <w:name w:val="Address"/>
    <w:basedOn w:val="Normal"/>
    <w:rsid w:val="00B241C2"/>
    <w:pPr>
      <w:tabs>
        <w:tab w:val="left" w:pos="227"/>
      </w:tabs>
      <w:spacing w:line="288" w:lineRule="auto"/>
      <w:contextualSpacing/>
    </w:pPr>
    <w:rPr>
      <w:rFonts w:asciiTheme="majorHAnsi" w:eastAsia="Times New Roman" w:hAnsiTheme="majorHAnsi" w:cs="Times New Roman"/>
      <w:noProof/>
      <w:color w:val="1C2B39" w:themeColor="text2"/>
      <w:sz w:val="14"/>
      <w:szCs w:val="20"/>
    </w:rPr>
  </w:style>
  <w:style w:type="paragraph" w:customStyle="1" w:styleId="BoldHeading">
    <w:name w:val="Bold Heading"/>
    <w:basedOn w:val="Normal"/>
    <w:next w:val="BodyText"/>
    <w:rsid w:val="00B241C2"/>
    <w:pPr>
      <w:spacing w:before="240" w:after="40" w:line="288" w:lineRule="auto"/>
    </w:pPr>
    <w:rPr>
      <w:rFonts w:asciiTheme="minorHAnsi" w:eastAsia="Times New Roman" w:hAnsiTheme="minorHAnsi" w:cs="Times New Roman"/>
      <w:b/>
      <w:sz w:val="20"/>
    </w:rPr>
  </w:style>
  <w:style w:type="table" w:customStyle="1" w:styleId="TablePlaceholder">
    <w:name w:val="Table Placeholder"/>
    <w:basedOn w:val="TableNormal"/>
    <w:uiPriority w:val="99"/>
    <w:rsid w:val="00B241C2"/>
    <w:pPr>
      <w:spacing w:after="0" w:line="288" w:lineRule="auto"/>
    </w:pPr>
    <w:rPr>
      <w:rFonts w:eastAsia="Times New Roman" w:cs="Times New Roman"/>
      <w:sz w:val="20"/>
      <w:szCs w:val="20"/>
      <w:lang w:eastAsia="en-AU"/>
    </w:rPr>
    <w:tblPr>
      <w:tblCellMar>
        <w:left w:w="45" w:type="dxa"/>
        <w:right w:w="45" w:type="dxa"/>
      </w:tblCellMar>
    </w:tblPr>
  </w:style>
  <w:style w:type="paragraph" w:customStyle="1" w:styleId="PullOutBoxBodyText">
    <w:name w:val="Pull Out Box Body Text"/>
    <w:basedOn w:val="BodyText"/>
    <w:rsid w:val="00B241C2"/>
    <w:pPr>
      <w:tabs>
        <w:tab w:val="left" w:pos="2268"/>
        <w:tab w:val="left" w:pos="4536"/>
        <w:tab w:val="left" w:pos="6804"/>
        <w:tab w:val="right" w:pos="9638"/>
      </w:tabs>
      <w:spacing w:line="288" w:lineRule="auto"/>
    </w:pPr>
    <w:rPr>
      <w:rFonts w:asciiTheme="minorHAnsi" w:eastAsiaTheme="minorEastAsia" w:hAnsiTheme="minorHAnsi"/>
      <w:sz w:val="20"/>
      <w:szCs w:val="20"/>
      <w:lang w:eastAsia="fr-CA"/>
    </w:rPr>
  </w:style>
  <w:style w:type="table" w:customStyle="1" w:styleId="PullOutBoxTable">
    <w:name w:val="Pull Out Box Table"/>
    <w:basedOn w:val="TableNormal"/>
    <w:uiPriority w:val="99"/>
    <w:rsid w:val="00B241C2"/>
    <w:pPr>
      <w:spacing w:after="0" w:line="288" w:lineRule="auto"/>
    </w:pPr>
    <w:rPr>
      <w:rFonts w:eastAsia="Times New Roman" w:cs="Times New Roman"/>
      <w:sz w:val="20"/>
      <w:szCs w:val="20"/>
      <w:lang w:eastAsia="en-AU"/>
    </w:rPr>
    <w:tblPr>
      <w:tblInd w:w="284" w:type="dxa"/>
      <w:tblBorders>
        <w:top w:val="single" w:sz="4" w:space="0" w:color="FDEBD1" w:themeColor="background2" w:themeTint="33"/>
        <w:left w:val="single" w:sz="4" w:space="0" w:color="FDEBD1" w:themeColor="background2" w:themeTint="33"/>
        <w:bottom w:val="single" w:sz="4" w:space="0" w:color="FDEBD1" w:themeColor="background2" w:themeTint="33"/>
        <w:right w:val="single" w:sz="4" w:space="0" w:color="FDEBD1" w:themeColor="background2" w:themeTint="33"/>
      </w:tblBorders>
      <w:tblCellMar>
        <w:top w:w="198" w:type="dxa"/>
        <w:left w:w="284" w:type="dxa"/>
        <w:bottom w:w="198" w:type="dxa"/>
        <w:right w:w="284" w:type="dxa"/>
      </w:tblCellMar>
    </w:tblPr>
    <w:tcPr>
      <w:shd w:val="clear" w:color="auto" w:fill="F2F2F2" w:themeFill="background1" w:themeFillShade="F2"/>
    </w:tcPr>
  </w:style>
  <w:style w:type="paragraph" w:customStyle="1" w:styleId="CaptionDescriptive">
    <w:name w:val="Caption Descriptive"/>
    <w:basedOn w:val="Normal"/>
    <w:rsid w:val="00B241C2"/>
    <w:pPr>
      <w:keepNext/>
      <w:spacing w:before="0" w:after="60" w:line="200" w:lineRule="atLeast"/>
    </w:pPr>
    <w:rPr>
      <w:rFonts w:asciiTheme="minorHAnsi" w:eastAsia="Times New Roman" w:hAnsiTheme="minorHAnsi" w:cs="Times New Roman"/>
      <w:i/>
      <w:sz w:val="16"/>
      <w:szCs w:val="20"/>
    </w:rPr>
  </w:style>
  <w:style w:type="paragraph" w:customStyle="1" w:styleId="AppendixHeading4">
    <w:name w:val="Appendix Heading 4"/>
    <w:basedOn w:val="Normal"/>
    <w:next w:val="BodyText"/>
    <w:uiPriority w:val="4"/>
    <w:rsid w:val="00B241C2"/>
    <w:pPr>
      <w:keepNext/>
      <w:spacing w:before="240" w:line="288" w:lineRule="auto"/>
      <w:ind w:left="1134" w:hanging="1134"/>
    </w:pPr>
    <w:rPr>
      <w:rFonts w:asciiTheme="majorHAnsi" w:eastAsiaTheme="minorEastAsia" w:hAnsiTheme="majorHAnsi" w:cs="Times New Roman"/>
      <w:color w:val="1C2B39" w:themeColor="text2"/>
      <w:sz w:val="20"/>
      <w:szCs w:val="20"/>
    </w:rPr>
  </w:style>
  <w:style w:type="paragraph" w:customStyle="1" w:styleId="MinorHeadingAllCapsNon-TOC">
    <w:name w:val="Minor Heading All Caps Non-TOC"/>
    <w:basedOn w:val="BodyText"/>
    <w:next w:val="BodyText"/>
    <w:rsid w:val="00B241C2"/>
    <w:pPr>
      <w:tabs>
        <w:tab w:val="left" w:pos="2268"/>
        <w:tab w:val="left" w:pos="4536"/>
        <w:tab w:val="left" w:pos="6804"/>
        <w:tab w:val="right" w:pos="9638"/>
      </w:tabs>
      <w:spacing w:after="40" w:line="240" w:lineRule="exact"/>
    </w:pPr>
    <w:rPr>
      <w:rFonts w:asciiTheme="majorHAnsi" w:eastAsia="Times New Roman" w:hAnsiTheme="majorHAnsi" w:cs="Times New Roman"/>
      <w:caps/>
      <w:color w:val="1C2B39" w:themeColor="text2"/>
      <w:sz w:val="24"/>
      <w:szCs w:val="20"/>
    </w:rPr>
  </w:style>
  <w:style w:type="character" w:styleId="Emphasis">
    <w:name w:val="Emphasis"/>
    <w:basedOn w:val="DefaultParagraphFont"/>
    <w:uiPriority w:val="20"/>
    <w:qFormat/>
    <w:rsid w:val="00B241C2"/>
    <w:rPr>
      <w:b/>
      <w:i w:val="0"/>
      <w:iCs/>
      <w:color w:val="000000" w:themeColor="text1"/>
    </w:rPr>
  </w:style>
  <w:style w:type="paragraph" w:customStyle="1" w:styleId="TOCContinued">
    <w:name w:val="TOC Continued"/>
    <w:basedOn w:val="BodyText"/>
    <w:semiHidden/>
    <w:qFormat/>
    <w:rsid w:val="00B241C2"/>
    <w:pPr>
      <w:pageBreakBefore/>
      <w:tabs>
        <w:tab w:val="left" w:pos="2268"/>
        <w:tab w:val="left" w:pos="4536"/>
        <w:tab w:val="left" w:pos="6804"/>
        <w:tab w:val="right" w:pos="9638"/>
      </w:tabs>
      <w:spacing w:before="0" w:line="288" w:lineRule="auto"/>
    </w:pPr>
    <w:rPr>
      <w:rFonts w:ascii="Montserrat" w:eastAsia="Times New Roman" w:hAnsi="Montserrat" w:cs="Times New Roman"/>
      <w:color w:val="1C2B39" w:themeColor="text2"/>
      <w:sz w:val="28"/>
      <w:szCs w:val="28"/>
    </w:rPr>
  </w:style>
  <w:style w:type="paragraph" w:customStyle="1" w:styleId="CC1">
    <w:name w:val="CC1"/>
    <w:basedOn w:val="Normal"/>
    <w:next w:val="Normal"/>
    <w:semiHidden/>
    <w:rsid w:val="00B241C2"/>
    <w:pPr>
      <w:tabs>
        <w:tab w:val="left" w:pos="510"/>
        <w:tab w:val="right" w:pos="9639"/>
      </w:tabs>
      <w:spacing w:before="0" w:after="0" w:line="210" w:lineRule="atLeast"/>
      <w:ind w:left="510" w:hanging="510"/>
    </w:pPr>
    <w:rPr>
      <w:rFonts w:asciiTheme="minorHAnsi" w:eastAsia="Times New Roman" w:hAnsiTheme="minorHAnsi" w:cs="Times New Roman"/>
      <w:sz w:val="18"/>
      <w:szCs w:val="20"/>
    </w:rPr>
  </w:style>
  <w:style w:type="table" w:styleId="ColorfulGrid">
    <w:name w:val="Colorful Grid"/>
    <w:basedOn w:val="TableNormal"/>
    <w:uiPriority w:val="73"/>
    <w:rsid w:val="00B241C2"/>
    <w:pPr>
      <w:spacing w:after="0" w:line="288" w:lineRule="auto"/>
    </w:pPr>
    <w:rPr>
      <w:rFonts w:ascii="Arial" w:eastAsia="Times New Roman" w:hAnsi="Arial" w:cs="Times New Roman"/>
      <w:sz w:val="18"/>
      <w:szCs w:val="20"/>
      <w:lang w:val="fr-CA"/>
    </w:rPr>
    <w:tblPr>
      <w:tblStyleRowBandSize w:val="1"/>
      <w:tblStyleColBandSize w:val="1"/>
      <w:tblBorders>
        <w:left w:val="dotted" w:sz="6" w:space="0" w:color="15202A" w:themeColor="text2" w:themeShade="BF"/>
        <w:bottom w:val="single" w:sz="6" w:space="0" w:color="F99D1C" w:themeColor="background2"/>
        <w:right w:val="dotted" w:sz="6" w:space="0" w:color="15202A" w:themeColor="text2" w:themeShade="BF"/>
        <w:insideH w:val="single" w:sz="6" w:space="0" w:color="F99D1C" w:themeColor="background2"/>
        <w:insideV w:val="dotted" w:sz="6" w:space="0" w:color="15202A" w:themeColor="text2" w:themeShade="BF"/>
      </w:tblBorders>
    </w:tblPr>
    <w:tcPr>
      <w:shd w:val="clear" w:color="auto" w:fill="auto"/>
    </w:tcPr>
    <w:tblStylePr w:type="firstRow">
      <w:rPr>
        <w:b/>
        <w:bCs/>
        <w:caps w:val="0"/>
        <w:smallCaps/>
      </w:rPr>
      <w:tblPr/>
      <w:tcPr>
        <w:tcBorders>
          <w:top w:val="nil"/>
          <w:left w:val="nil"/>
          <w:bottom w:val="single" w:sz="18" w:space="0" w:color="000000" w:themeColor="text1"/>
          <w:right w:val="nil"/>
          <w:insideH w:val="single" w:sz="18" w:space="0" w:color="000000" w:themeColor="text1"/>
          <w:insideV w:val="nil"/>
          <w:tl2br w:val="nil"/>
          <w:tr2bl w:val="nil"/>
        </w:tcBorders>
        <w:shd w:val="clear" w:color="auto" w:fill="auto"/>
      </w:tcPr>
    </w:tblStylePr>
    <w:tblStylePr w:type="lastRow">
      <w:rPr>
        <w:b w:val="0"/>
        <w:bCs/>
        <w:color w:val="auto"/>
      </w:rPr>
    </w:tblStylePr>
    <w:tblStylePr w:type="firstCol">
      <w:rPr>
        <w:color w:val="auto"/>
      </w:rPr>
      <w:tblPr/>
      <w:tcPr>
        <w:shd w:val="clear" w:color="auto" w:fill="5480AB" w:themeFill="text2" w:themeFillTint="99"/>
      </w:tcPr>
    </w:tblStylePr>
    <w:tblStylePr w:type="lastCol">
      <w:rPr>
        <w:color w:val="auto"/>
      </w:rPr>
    </w:tblStylePr>
    <w:tblStylePr w:type="band1Vert">
      <w:tblPr/>
      <w:tcPr>
        <w:tcBorders>
          <w:left w:val="nil"/>
          <w:right w:val="nil"/>
          <w:insideV w:val="nil"/>
        </w:tcBorders>
        <w:shd w:val="clear" w:color="auto" w:fill="auto"/>
      </w:tcPr>
    </w:tblStylePr>
    <w:tblStylePr w:type="band2Vert">
      <w:tblPr/>
      <w:tcPr>
        <w:shd w:val="clear" w:color="auto" w:fill="C6D4E3" w:themeFill="text2" w:themeFillTint="33"/>
      </w:tcPr>
    </w:tblStylePr>
  </w:style>
  <w:style w:type="character" w:styleId="EndnoteReference">
    <w:name w:val="endnote reference"/>
    <w:basedOn w:val="DefaultParagraphFont"/>
    <w:semiHidden/>
    <w:rsid w:val="00B241C2"/>
    <w:rPr>
      <w:vertAlign w:val="superscript"/>
    </w:rPr>
  </w:style>
  <w:style w:type="paragraph" w:customStyle="1" w:styleId="ExecSumHeading2">
    <w:name w:val="Exec Sum Heading 2"/>
    <w:basedOn w:val="Normal"/>
    <w:next w:val="BodyText"/>
    <w:rsid w:val="00B241C2"/>
    <w:pPr>
      <w:keepNext/>
      <w:pBdr>
        <w:top w:val="single" w:sz="4" w:space="9" w:color="1C2B39" w:themeColor="text2"/>
      </w:pBdr>
      <w:tabs>
        <w:tab w:val="right" w:pos="9639"/>
      </w:tabs>
      <w:spacing w:before="200" w:line="288" w:lineRule="auto"/>
      <w:outlineLvl w:val="7"/>
    </w:pPr>
    <w:rPr>
      <w:rFonts w:asciiTheme="majorHAnsi" w:eastAsia="Times New Roman" w:hAnsiTheme="majorHAnsi" w:cs="Arial"/>
      <w:color w:val="1C2B39" w:themeColor="text2"/>
      <w:sz w:val="32"/>
      <w:szCs w:val="20"/>
    </w:rPr>
  </w:style>
  <w:style w:type="paragraph" w:customStyle="1" w:styleId="ExecSumHeading3">
    <w:name w:val="Exec Sum Heading 3"/>
    <w:basedOn w:val="ExecSumHeading2"/>
    <w:next w:val="BodyText"/>
    <w:rsid w:val="00B241C2"/>
    <w:pPr>
      <w:outlineLvl w:val="8"/>
    </w:pPr>
    <w:rPr>
      <w:i/>
      <w:sz w:val="24"/>
    </w:rPr>
  </w:style>
  <w:style w:type="table" w:styleId="GridTable7Colorful-Accent2">
    <w:name w:val="Grid Table 7 Colorful Accent 2"/>
    <w:basedOn w:val="TableNormal"/>
    <w:uiPriority w:val="52"/>
    <w:rsid w:val="00B241C2"/>
    <w:pPr>
      <w:spacing w:after="0" w:line="240" w:lineRule="auto"/>
    </w:pPr>
    <w:rPr>
      <w:rFonts w:eastAsia="Times New Roman" w:cs="Times New Roman"/>
      <w:color w:val="C59700" w:themeColor="accent2" w:themeShade="BF"/>
      <w:sz w:val="20"/>
      <w:szCs w:val="20"/>
      <w:lang w:val="fr-CA"/>
    </w:rPr>
    <w:tblPr>
      <w:tblStyleRowBandSize w:val="1"/>
      <w:tblStyleColBandSize w:val="1"/>
      <w:tblBorders>
        <w:top w:val="single" w:sz="4" w:space="0" w:color="FFDC6B" w:themeColor="accent2" w:themeTint="99"/>
        <w:left w:val="single" w:sz="4" w:space="0" w:color="FFDC6B" w:themeColor="accent2" w:themeTint="99"/>
        <w:bottom w:val="single" w:sz="4" w:space="0" w:color="FFDC6B" w:themeColor="accent2" w:themeTint="99"/>
        <w:right w:val="single" w:sz="4" w:space="0" w:color="FFDC6B" w:themeColor="accent2" w:themeTint="99"/>
        <w:insideH w:val="single" w:sz="4" w:space="0" w:color="FFDC6B" w:themeColor="accent2" w:themeTint="99"/>
        <w:insideV w:val="single" w:sz="4" w:space="0" w:color="FFDC6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3CD" w:themeFill="accent2" w:themeFillTint="33"/>
      </w:tcPr>
    </w:tblStylePr>
    <w:tblStylePr w:type="band1Horz">
      <w:tblPr/>
      <w:tcPr>
        <w:shd w:val="clear" w:color="auto" w:fill="FFF3CD" w:themeFill="accent2" w:themeFillTint="33"/>
      </w:tcPr>
    </w:tblStylePr>
    <w:tblStylePr w:type="neCell">
      <w:tblPr/>
      <w:tcPr>
        <w:tcBorders>
          <w:bottom w:val="single" w:sz="4" w:space="0" w:color="FFDC6B" w:themeColor="accent2" w:themeTint="99"/>
        </w:tcBorders>
      </w:tcPr>
    </w:tblStylePr>
    <w:tblStylePr w:type="nwCell">
      <w:tblPr/>
      <w:tcPr>
        <w:tcBorders>
          <w:bottom w:val="single" w:sz="4" w:space="0" w:color="FFDC6B" w:themeColor="accent2" w:themeTint="99"/>
        </w:tcBorders>
      </w:tcPr>
    </w:tblStylePr>
    <w:tblStylePr w:type="seCell">
      <w:tblPr/>
      <w:tcPr>
        <w:tcBorders>
          <w:top w:val="single" w:sz="4" w:space="0" w:color="FFDC6B" w:themeColor="accent2" w:themeTint="99"/>
        </w:tcBorders>
      </w:tcPr>
    </w:tblStylePr>
    <w:tblStylePr w:type="swCell">
      <w:tblPr/>
      <w:tcPr>
        <w:tcBorders>
          <w:top w:val="single" w:sz="4" w:space="0" w:color="FFDC6B" w:themeColor="accent2" w:themeTint="99"/>
        </w:tcBorders>
      </w:tcPr>
    </w:tblStylePr>
  </w:style>
  <w:style w:type="paragraph" w:customStyle="1" w:styleId="Heading1NoNumberNoTOC">
    <w:name w:val="Heading 1 No Number No TOC"/>
    <w:basedOn w:val="Heading1NoNumber"/>
    <w:semiHidden/>
    <w:qFormat/>
    <w:rsid w:val="00B241C2"/>
    <w:pPr>
      <w:spacing w:before="0" w:line="288" w:lineRule="auto"/>
      <w:outlineLvl w:val="9"/>
    </w:pPr>
    <w:rPr>
      <w:rFonts w:asciiTheme="majorHAnsi" w:hAnsiTheme="majorHAnsi"/>
      <w:bCs/>
      <w:color w:val="1C2B39" w:themeColor="text2"/>
      <w:sz w:val="28"/>
    </w:rPr>
  </w:style>
  <w:style w:type="table" w:styleId="LightGrid">
    <w:name w:val="Light Grid"/>
    <w:basedOn w:val="TableNormal"/>
    <w:uiPriority w:val="62"/>
    <w:rsid w:val="00B241C2"/>
    <w:pPr>
      <w:spacing w:after="0" w:line="288" w:lineRule="auto"/>
    </w:pPr>
    <w:rPr>
      <w:rFonts w:eastAsia="Times New Roman" w:cs="Times New Roman"/>
      <w:sz w:val="20"/>
      <w:szCs w:val="20"/>
      <w:lang w:val="fr-CA"/>
    </w:rPr>
    <w:tblPr>
      <w:tblStyleRowBandSize w:val="1"/>
      <w:tblStyleColBandSize w:val="1"/>
      <w:tblBorders>
        <w:bottom w:val="single" w:sz="6" w:space="0" w:color="F99D1C" w:themeColor="background2"/>
        <w:insideH w:val="single" w:sz="6" w:space="0" w:color="F99D1C" w:themeColor="background2"/>
      </w:tblBorders>
    </w:tblPr>
    <w:tblStylePr w:type="firstRow">
      <w:pPr>
        <w:spacing w:before="0" w:after="0" w:line="240" w:lineRule="auto"/>
      </w:pPr>
      <w:rPr>
        <w:rFonts w:asciiTheme="majorHAnsi" w:eastAsiaTheme="majorEastAsia" w:hAnsiTheme="majorHAnsi" w:cstheme="majorBidi"/>
        <w:b/>
        <w:bCs/>
      </w:rPr>
      <w:tblPr/>
      <w:tcPr>
        <w:tcBorders>
          <w:top w:val="nil"/>
          <w:left w:val="nil"/>
          <w:bottom w:val="single" w:sz="24" w:space="0" w:color="000000" w:themeColor="text1"/>
          <w:right w:val="nil"/>
          <w:insideH w:val="nil"/>
          <w:insideV w:val="nil"/>
        </w:tcBorders>
      </w:tcPr>
    </w:tblStylePr>
    <w:tblStylePr w:type="lastRow">
      <w:pPr>
        <w:spacing w:before="0" w:after="0" w:line="240" w:lineRule="auto"/>
      </w:pPr>
      <w:rPr>
        <w:rFonts w:asciiTheme="majorHAnsi" w:eastAsiaTheme="majorEastAsia" w:hAnsiTheme="majorHAnsi" w:cstheme="majorBidi"/>
        <w:b/>
        <w:bCs/>
      </w:rPr>
      <w:tblPr/>
      <w:tcPr>
        <w:tcBorders>
          <w:top w:val="single" w:sz="6" w:space="0" w:color="F99D1C" w:themeColor="background2"/>
          <w:bottom w:val="single" w:sz="6" w:space="0" w:color="F99D1C" w:themeColor="background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6" w:space="0" w:color="F99D1C" w:themeColor="background2"/>
          <w:left w:val="nil"/>
          <w:bottom w:val="single" w:sz="6" w:space="0" w:color="F99D1C" w:themeColor="background2"/>
          <w:right w:val="nil"/>
          <w:insideH w:val="single" w:sz="6" w:space="0" w:color="F99D1C" w:themeColor="background2"/>
          <w:insideV w:val="nil"/>
          <w:tl2br w:val="nil"/>
          <w:tr2bl w:val="nil"/>
        </w:tcBorders>
      </w:tcPr>
    </w:tblStylePr>
    <w:tblStylePr w:type="band1Vert">
      <w:tblPr/>
      <w:tcPr>
        <w:shd w:val="clear" w:color="auto" w:fill="C6D4E3" w:themeFill="text2" w:themeFillTint="33"/>
      </w:tcPr>
    </w:tblStylePr>
    <w:tblStylePr w:type="band1Horz">
      <w:tblPr/>
      <w:tcPr>
        <w:tcBorders>
          <w:top w:val="single" w:sz="6" w:space="0" w:color="F99D1C" w:themeColor="background2"/>
          <w:bottom w:val="nil"/>
          <w:insideH w:val="nil"/>
        </w:tcBorders>
      </w:tcPr>
    </w:tblStylePr>
    <w:tblStylePr w:type="band2Horz">
      <w:tblPr/>
      <w:tcPr>
        <w:tcBorders>
          <w:top w:val="single" w:sz="6" w:space="0" w:color="F99D1C" w:themeColor="background2"/>
          <w:left w:val="nil"/>
          <w:bottom w:val="single" w:sz="6" w:space="0" w:color="F99D1C" w:themeColor="background2"/>
          <w:right w:val="nil"/>
          <w:insideV w:val="nil"/>
        </w:tcBorders>
      </w:tcPr>
    </w:tblStylePr>
  </w:style>
  <w:style w:type="table" w:styleId="LightShading-Accent1">
    <w:name w:val="Light Shading Accent 1"/>
    <w:basedOn w:val="TableNormal"/>
    <w:uiPriority w:val="60"/>
    <w:rsid w:val="00B241C2"/>
    <w:pPr>
      <w:spacing w:after="0" w:line="288" w:lineRule="auto"/>
    </w:pPr>
    <w:rPr>
      <w:rFonts w:eastAsia="Times New Roman" w:cs="Times New Roman"/>
      <w:color w:val="A0A39E" w:themeColor="accent1" w:themeShade="BF"/>
      <w:sz w:val="20"/>
      <w:szCs w:val="20"/>
      <w:lang w:val="fr-CA"/>
    </w:rPr>
    <w:tblPr>
      <w:tblStyleRowBandSize w:val="1"/>
      <w:tblStyleColBandSize w:val="1"/>
      <w:tblBorders>
        <w:top w:val="single" w:sz="8" w:space="0" w:color="D7D8D6" w:themeColor="accent1"/>
        <w:bottom w:val="single" w:sz="8" w:space="0" w:color="D7D8D6" w:themeColor="accent1"/>
      </w:tblBorders>
    </w:tblPr>
    <w:tblStylePr w:type="firstRow">
      <w:pPr>
        <w:spacing w:before="0" w:after="0" w:line="240" w:lineRule="auto"/>
      </w:pPr>
      <w:rPr>
        <w:b/>
        <w:bCs/>
      </w:rPr>
      <w:tblPr/>
      <w:tcPr>
        <w:tcBorders>
          <w:top w:val="single" w:sz="8" w:space="0" w:color="D7D8D6" w:themeColor="accent1"/>
          <w:left w:val="nil"/>
          <w:bottom w:val="single" w:sz="8" w:space="0" w:color="D7D8D6" w:themeColor="accent1"/>
          <w:right w:val="nil"/>
          <w:insideH w:val="nil"/>
          <w:insideV w:val="nil"/>
        </w:tcBorders>
      </w:tcPr>
    </w:tblStylePr>
    <w:tblStylePr w:type="lastRow">
      <w:pPr>
        <w:spacing w:before="0" w:after="0" w:line="240" w:lineRule="auto"/>
      </w:pPr>
      <w:rPr>
        <w:b/>
        <w:bCs/>
      </w:rPr>
      <w:tblPr/>
      <w:tcPr>
        <w:tcBorders>
          <w:top w:val="single" w:sz="8" w:space="0" w:color="D7D8D6" w:themeColor="accent1"/>
          <w:left w:val="nil"/>
          <w:bottom w:val="single" w:sz="8" w:space="0" w:color="D7D8D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F5F4" w:themeFill="accent1" w:themeFillTint="3F"/>
      </w:tcPr>
    </w:tblStylePr>
    <w:tblStylePr w:type="band1Horz">
      <w:tblPr/>
      <w:tcPr>
        <w:tcBorders>
          <w:left w:val="nil"/>
          <w:right w:val="nil"/>
          <w:insideH w:val="nil"/>
          <w:insideV w:val="nil"/>
        </w:tcBorders>
        <w:shd w:val="clear" w:color="auto" w:fill="F4F5F4" w:themeFill="accent1" w:themeFillTint="3F"/>
      </w:tcPr>
    </w:tblStylePr>
  </w:style>
  <w:style w:type="table" w:styleId="MediumShading2">
    <w:name w:val="Medium Shading 2"/>
    <w:basedOn w:val="TableNormal"/>
    <w:uiPriority w:val="64"/>
    <w:rsid w:val="00B241C2"/>
    <w:pPr>
      <w:spacing w:after="0" w:line="288" w:lineRule="auto"/>
    </w:pPr>
    <w:rPr>
      <w:rFonts w:eastAsia="Times New Roman" w:cs="Times New Roman"/>
      <w:sz w:val="20"/>
      <w:szCs w:val="20"/>
      <w:lang w:val="fr-C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MinorSubheadingAllCapsNon-TOC">
    <w:name w:val="Minor Subheading All Caps Non-TOC"/>
    <w:basedOn w:val="MinorHeadingAllCapsNon-TOC"/>
    <w:rsid w:val="00B241C2"/>
    <w:pPr>
      <w:spacing w:line="200" w:lineRule="exact"/>
    </w:pPr>
    <w:rPr>
      <w:sz w:val="18"/>
      <w:lang w:eastAsia="en-AU"/>
    </w:rPr>
  </w:style>
  <w:style w:type="paragraph" w:customStyle="1" w:styleId="MinorSubheadingNon-TOC">
    <w:name w:val="Minor Subheading Non-TOC"/>
    <w:basedOn w:val="MinorSubheadingAllCapsNon-TOC"/>
    <w:uiPriority w:val="99"/>
    <w:rsid w:val="00B241C2"/>
    <w:rPr>
      <w:caps w:val="0"/>
    </w:rPr>
  </w:style>
  <w:style w:type="character" w:customStyle="1" w:styleId="SoftEmphasis">
    <w:name w:val="Soft Emphasis"/>
    <w:qFormat/>
    <w:rsid w:val="00B241C2"/>
    <w:rPr>
      <w:rFonts w:asciiTheme="majorHAnsi" w:hAnsiTheme="majorHAnsi"/>
      <w:i/>
      <w:caps/>
      <w:smallCaps w:val="0"/>
      <w:color w:val="1C2B39" w:themeColor="text2"/>
      <w:lang w:eastAsia="en-AU"/>
    </w:rPr>
  </w:style>
  <w:style w:type="character" w:styleId="SubtleEmphasis">
    <w:name w:val="Subtle Emphasis"/>
    <w:basedOn w:val="DefaultParagraphFont"/>
    <w:uiPriority w:val="19"/>
    <w:rsid w:val="00B241C2"/>
    <w:rPr>
      <w:rFonts w:asciiTheme="majorHAnsi" w:hAnsiTheme="majorHAnsi"/>
      <w:i/>
      <w:iCs/>
      <w:caps/>
      <w:smallCaps w:val="0"/>
      <w:color w:val="1C2B39" w:themeColor="text2"/>
    </w:rPr>
  </w:style>
  <w:style w:type="paragraph" w:customStyle="1" w:styleId="TableBullet4">
    <w:name w:val="Table Bullet 4"/>
    <w:basedOn w:val="TableText"/>
    <w:rsid w:val="00B241C2"/>
    <w:pPr>
      <w:spacing w:before="90" w:after="40" w:line="288" w:lineRule="auto"/>
    </w:pPr>
    <w:rPr>
      <w:rFonts w:asciiTheme="minorHAnsi" w:hAnsiTheme="minorHAnsi"/>
      <w:color w:val="auto"/>
      <w:sz w:val="20"/>
    </w:rPr>
  </w:style>
  <w:style w:type="paragraph" w:customStyle="1" w:styleId="TableBullet5">
    <w:name w:val="Table Bullet 5"/>
    <w:basedOn w:val="TableText"/>
    <w:rsid w:val="00B241C2"/>
    <w:pPr>
      <w:spacing w:before="90" w:after="40" w:line="288" w:lineRule="auto"/>
    </w:pPr>
    <w:rPr>
      <w:rFonts w:asciiTheme="minorHAnsi" w:hAnsiTheme="minorHAnsi"/>
      <w:color w:val="auto"/>
      <w:sz w:val="20"/>
    </w:rPr>
  </w:style>
  <w:style w:type="paragraph" w:customStyle="1" w:styleId="TableFootnotes">
    <w:name w:val="Table Footnotes"/>
    <w:basedOn w:val="Normal"/>
    <w:rsid w:val="00B241C2"/>
    <w:pPr>
      <w:keepLines/>
      <w:numPr>
        <w:ilvl w:val="1"/>
        <w:numId w:val="11"/>
      </w:numPr>
      <w:tabs>
        <w:tab w:val="right" w:pos="9639"/>
      </w:tabs>
      <w:spacing w:before="60" w:after="60" w:line="288" w:lineRule="auto"/>
    </w:pPr>
    <w:rPr>
      <w:rFonts w:asciiTheme="minorHAnsi" w:eastAsia="Times New Roman" w:hAnsiTheme="minorHAnsi" w:cs="Times New Roman"/>
      <w:sz w:val="18"/>
      <w:szCs w:val="20"/>
    </w:rPr>
  </w:style>
  <w:style w:type="paragraph" w:customStyle="1" w:styleId="TableListNumber1">
    <w:name w:val="Table List Number 1"/>
    <w:basedOn w:val="TableText"/>
    <w:qFormat/>
    <w:rsid w:val="00B241C2"/>
    <w:pPr>
      <w:spacing w:before="90" w:after="40" w:line="288" w:lineRule="auto"/>
    </w:pPr>
    <w:rPr>
      <w:rFonts w:asciiTheme="minorHAnsi" w:hAnsiTheme="minorHAnsi"/>
      <w:color w:val="auto"/>
      <w:sz w:val="20"/>
    </w:rPr>
  </w:style>
  <w:style w:type="paragraph" w:customStyle="1" w:styleId="TableListNumber4">
    <w:name w:val="Table List Number 4"/>
    <w:basedOn w:val="TableListNumber3"/>
    <w:qFormat/>
    <w:rsid w:val="00B241C2"/>
    <w:pPr>
      <w:numPr>
        <w:ilvl w:val="0"/>
        <w:numId w:val="0"/>
      </w:numPr>
      <w:spacing w:before="90" w:after="40" w:line="288" w:lineRule="auto"/>
      <w:ind w:left="1071" w:hanging="357"/>
    </w:pPr>
    <w:rPr>
      <w:rFonts w:asciiTheme="minorHAnsi" w:eastAsia="Times New Roman" w:hAnsiTheme="minorHAnsi" w:cs="Arial"/>
      <w:bCs w:val="0"/>
      <w:color w:val="auto"/>
      <w:sz w:val="20"/>
      <w:lang w:eastAsia="en-AU"/>
    </w:rPr>
  </w:style>
  <w:style w:type="paragraph" w:customStyle="1" w:styleId="TableListNumber5">
    <w:name w:val="Table List Number 5"/>
    <w:basedOn w:val="TableListNumber4"/>
    <w:qFormat/>
    <w:rsid w:val="00B241C2"/>
  </w:style>
  <w:style w:type="paragraph" w:customStyle="1" w:styleId="TableTextBold">
    <w:name w:val="Table Text Bold"/>
    <w:basedOn w:val="TableText"/>
    <w:rsid w:val="00B241C2"/>
    <w:pPr>
      <w:spacing w:before="90" w:after="40" w:line="288" w:lineRule="auto"/>
    </w:pPr>
    <w:rPr>
      <w:rFonts w:asciiTheme="minorHAnsi" w:hAnsiTheme="minorHAnsi"/>
      <w:color w:val="auto"/>
      <w:sz w:val="20"/>
    </w:rPr>
  </w:style>
  <w:style w:type="paragraph" w:customStyle="1" w:styleId="TOFHeading">
    <w:name w:val="TOF Heading"/>
    <w:basedOn w:val="Heading9"/>
    <w:rsid w:val="00B241C2"/>
    <w:pPr>
      <w:spacing w:before="240" w:after="60" w:line="288" w:lineRule="auto"/>
      <w:ind w:right="924"/>
      <w:outlineLvl w:val="3"/>
    </w:pPr>
    <w:rPr>
      <w:rFonts w:eastAsia="Times New Roman" w:cs="Times New Roman"/>
      <w:b/>
      <w:i w:val="0"/>
      <w:iCs w:val="0"/>
      <w:color w:val="000000" w:themeColor="text1"/>
      <w:sz w:val="24"/>
      <w:szCs w:val="40"/>
      <w:lang w:eastAsia="fr-CA"/>
    </w:rPr>
  </w:style>
  <w:style w:type="paragraph" w:customStyle="1" w:styleId="CaptionDescriptiveRight">
    <w:name w:val="Caption Descriptive Right"/>
    <w:basedOn w:val="CaptionDescriptive"/>
    <w:rsid w:val="00B241C2"/>
    <w:pPr>
      <w:keepNext w:val="0"/>
      <w:jc w:val="right"/>
    </w:pPr>
  </w:style>
  <w:style w:type="numbering" w:styleId="111111">
    <w:name w:val="Outline List 2"/>
    <w:basedOn w:val="NoList"/>
    <w:semiHidden/>
    <w:unhideWhenUsed/>
    <w:rsid w:val="00B241C2"/>
    <w:pPr>
      <w:numPr>
        <w:numId w:val="15"/>
      </w:numPr>
    </w:pPr>
  </w:style>
  <w:style w:type="numbering" w:styleId="1ai">
    <w:name w:val="Outline List 1"/>
    <w:basedOn w:val="NoList"/>
    <w:semiHidden/>
    <w:unhideWhenUsed/>
    <w:rsid w:val="00B241C2"/>
    <w:pPr>
      <w:numPr>
        <w:numId w:val="16"/>
      </w:numPr>
    </w:pPr>
  </w:style>
  <w:style w:type="numbering" w:styleId="ArticleSection">
    <w:name w:val="Outline List 3"/>
    <w:basedOn w:val="NoList"/>
    <w:semiHidden/>
    <w:unhideWhenUsed/>
    <w:rsid w:val="00B241C2"/>
    <w:pPr>
      <w:numPr>
        <w:numId w:val="17"/>
      </w:numPr>
    </w:pPr>
  </w:style>
  <w:style w:type="character" w:styleId="BookTitle">
    <w:name w:val="Book Title"/>
    <w:basedOn w:val="DefaultParagraphFont"/>
    <w:uiPriority w:val="33"/>
    <w:rsid w:val="00B241C2"/>
    <w:rPr>
      <w:b/>
      <w:bCs/>
      <w:i/>
      <w:iCs/>
      <w:spacing w:val="5"/>
    </w:rPr>
  </w:style>
  <w:style w:type="table" w:styleId="ColorfulGrid-Accent1">
    <w:name w:val="Colorful Grid Accent 1"/>
    <w:basedOn w:val="TableNormal"/>
    <w:uiPriority w:val="73"/>
    <w:semiHidden/>
    <w:unhideWhenUsed/>
    <w:rsid w:val="00B241C2"/>
    <w:pPr>
      <w:spacing w:after="0" w:line="240" w:lineRule="auto"/>
    </w:pPr>
    <w:rPr>
      <w:rFonts w:eastAsia="Times New Roman" w:cs="Times New Roman"/>
      <w:color w:val="000000" w:themeColor="text1"/>
      <w:sz w:val="20"/>
      <w:szCs w:val="20"/>
      <w:lang w:eastAsia="en-AU"/>
    </w:rPr>
    <w:tblPr>
      <w:tblStyleRowBandSize w:val="1"/>
      <w:tblStyleColBandSize w:val="1"/>
      <w:tblBorders>
        <w:insideH w:val="single" w:sz="4" w:space="0" w:color="FFFFFF" w:themeColor="background1"/>
      </w:tblBorders>
    </w:tblPr>
    <w:tcPr>
      <w:shd w:val="clear" w:color="auto" w:fill="F6F7F6" w:themeFill="accent1" w:themeFillTint="33"/>
    </w:tcPr>
    <w:tblStylePr w:type="firstRow">
      <w:rPr>
        <w:b/>
        <w:bCs/>
      </w:rPr>
      <w:tblPr/>
      <w:tcPr>
        <w:shd w:val="clear" w:color="auto" w:fill="EEEFEE" w:themeFill="accent1" w:themeFillTint="66"/>
      </w:tcPr>
    </w:tblStylePr>
    <w:tblStylePr w:type="lastRow">
      <w:rPr>
        <w:b/>
        <w:bCs/>
        <w:color w:val="000000" w:themeColor="text1"/>
      </w:rPr>
      <w:tblPr/>
      <w:tcPr>
        <w:shd w:val="clear" w:color="auto" w:fill="EEEFEE" w:themeFill="accent1" w:themeFillTint="66"/>
      </w:tcPr>
    </w:tblStylePr>
    <w:tblStylePr w:type="firstCol">
      <w:rPr>
        <w:color w:val="FFFFFF" w:themeColor="background1"/>
      </w:rPr>
      <w:tblPr/>
      <w:tcPr>
        <w:shd w:val="clear" w:color="auto" w:fill="A0A39E" w:themeFill="accent1" w:themeFillShade="BF"/>
      </w:tcPr>
    </w:tblStylePr>
    <w:tblStylePr w:type="lastCol">
      <w:rPr>
        <w:color w:val="FFFFFF" w:themeColor="background1"/>
      </w:rPr>
      <w:tblPr/>
      <w:tcPr>
        <w:shd w:val="clear" w:color="auto" w:fill="A0A39E" w:themeFill="accent1" w:themeFillShade="BF"/>
      </w:tcPr>
    </w:tblStylePr>
    <w:tblStylePr w:type="band1Vert">
      <w:tblPr/>
      <w:tcPr>
        <w:shd w:val="clear" w:color="auto" w:fill="EAEBEA" w:themeFill="accent1" w:themeFillTint="7F"/>
      </w:tcPr>
    </w:tblStylePr>
    <w:tblStylePr w:type="band1Horz">
      <w:tblPr/>
      <w:tcPr>
        <w:shd w:val="clear" w:color="auto" w:fill="EAEBEA" w:themeFill="accent1" w:themeFillTint="7F"/>
      </w:tcPr>
    </w:tblStylePr>
  </w:style>
  <w:style w:type="table" w:styleId="ColorfulGrid-Accent2">
    <w:name w:val="Colorful Grid Accent 2"/>
    <w:basedOn w:val="TableNormal"/>
    <w:uiPriority w:val="73"/>
    <w:semiHidden/>
    <w:unhideWhenUsed/>
    <w:rsid w:val="00B241C2"/>
    <w:pPr>
      <w:spacing w:after="0" w:line="240" w:lineRule="auto"/>
    </w:pPr>
    <w:rPr>
      <w:rFonts w:eastAsia="Times New Roman" w:cs="Times New Roman"/>
      <w:color w:val="000000" w:themeColor="text1"/>
      <w:sz w:val="20"/>
      <w:szCs w:val="20"/>
      <w:lang w:eastAsia="en-AU"/>
    </w:rPr>
    <w:tblPr>
      <w:tblStyleRowBandSize w:val="1"/>
      <w:tblStyleColBandSize w:val="1"/>
      <w:tblBorders>
        <w:insideH w:val="single" w:sz="4" w:space="0" w:color="FFFFFF" w:themeColor="background1"/>
      </w:tblBorders>
    </w:tblPr>
    <w:tcPr>
      <w:shd w:val="clear" w:color="auto" w:fill="FFF3CD" w:themeFill="accent2" w:themeFillTint="33"/>
    </w:tcPr>
    <w:tblStylePr w:type="firstRow">
      <w:rPr>
        <w:b/>
        <w:bCs/>
      </w:rPr>
      <w:tblPr/>
      <w:tcPr>
        <w:shd w:val="clear" w:color="auto" w:fill="FFE89C" w:themeFill="accent2" w:themeFillTint="66"/>
      </w:tcPr>
    </w:tblStylePr>
    <w:tblStylePr w:type="lastRow">
      <w:rPr>
        <w:b/>
        <w:bCs/>
        <w:color w:val="000000" w:themeColor="text1"/>
      </w:rPr>
      <w:tblPr/>
      <w:tcPr>
        <w:shd w:val="clear" w:color="auto" w:fill="FFE89C" w:themeFill="accent2" w:themeFillTint="66"/>
      </w:tcPr>
    </w:tblStylePr>
    <w:tblStylePr w:type="firstCol">
      <w:rPr>
        <w:color w:val="FFFFFF" w:themeColor="background1"/>
      </w:rPr>
      <w:tblPr/>
      <w:tcPr>
        <w:shd w:val="clear" w:color="auto" w:fill="C59700" w:themeFill="accent2" w:themeFillShade="BF"/>
      </w:tcPr>
    </w:tblStylePr>
    <w:tblStylePr w:type="lastCol">
      <w:rPr>
        <w:color w:val="FFFFFF" w:themeColor="background1"/>
      </w:rPr>
      <w:tblPr/>
      <w:tcPr>
        <w:shd w:val="clear" w:color="auto" w:fill="C59700" w:themeFill="accent2" w:themeFillShade="BF"/>
      </w:tcPr>
    </w:tblStylePr>
    <w:tblStylePr w:type="band1Vert">
      <w:tblPr/>
      <w:tcPr>
        <w:shd w:val="clear" w:color="auto" w:fill="FFE284" w:themeFill="accent2" w:themeFillTint="7F"/>
      </w:tcPr>
    </w:tblStylePr>
    <w:tblStylePr w:type="band1Horz">
      <w:tblPr/>
      <w:tcPr>
        <w:shd w:val="clear" w:color="auto" w:fill="FFE284" w:themeFill="accent2" w:themeFillTint="7F"/>
      </w:tcPr>
    </w:tblStylePr>
  </w:style>
  <w:style w:type="table" w:styleId="ColorfulGrid-Accent3">
    <w:name w:val="Colorful Grid Accent 3"/>
    <w:basedOn w:val="TableNormal"/>
    <w:uiPriority w:val="73"/>
    <w:semiHidden/>
    <w:unhideWhenUsed/>
    <w:rsid w:val="00B241C2"/>
    <w:pPr>
      <w:spacing w:after="0" w:line="240" w:lineRule="auto"/>
    </w:pPr>
    <w:rPr>
      <w:rFonts w:eastAsia="Times New Roman" w:cs="Times New Roman"/>
      <w:color w:val="000000" w:themeColor="text1"/>
      <w:sz w:val="20"/>
      <w:szCs w:val="20"/>
      <w:lang w:eastAsia="en-AU"/>
    </w:rPr>
    <w:tblPr>
      <w:tblStyleRowBandSize w:val="1"/>
      <w:tblStyleColBandSize w:val="1"/>
      <w:tblBorders>
        <w:insideH w:val="single" w:sz="4" w:space="0" w:color="FFFFFF" w:themeColor="background1"/>
      </w:tblBorders>
    </w:tblPr>
    <w:tcPr>
      <w:shd w:val="clear" w:color="auto" w:fill="F9CBD6" w:themeFill="accent3" w:themeFillTint="33"/>
    </w:tcPr>
    <w:tblStylePr w:type="firstRow">
      <w:rPr>
        <w:b/>
        <w:bCs/>
      </w:rPr>
      <w:tblPr/>
      <w:tcPr>
        <w:shd w:val="clear" w:color="auto" w:fill="F498AD" w:themeFill="accent3" w:themeFillTint="66"/>
      </w:tcPr>
    </w:tblStylePr>
    <w:tblStylePr w:type="lastRow">
      <w:rPr>
        <w:b/>
        <w:bCs/>
        <w:color w:val="000000" w:themeColor="text1"/>
      </w:rPr>
      <w:tblPr/>
      <w:tcPr>
        <w:shd w:val="clear" w:color="auto" w:fill="F498AD" w:themeFill="accent3" w:themeFillTint="66"/>
      </w:tcPr>
    </w:tblStylePr>
    <w:tblStylePr w:type="firstCol">
      <w:rPr>
        <w:color w:val="FFFFFF" w:themeColor="background1"/>
      </w:rPr>
      <w:tblPr/>
      <w:tcPr>
        <w:shd w:val="clear" w:color="auto" w:fill="99102F" w:themeFill="accent3" w:themeFillShade="BF"/>
      </w:tcPr>
    </w:tblStylePr>
    <w:tblStylePr w:type="lastCol">
      <w:rPr>
        <w:color w:val="FFFFFF" w:themeColor="background1"/>
      </w:rPr>
      <w:tblPr/>
      <w:tcPr>
        <w:shd w:val="clear" w:color="auto" w:fill="99102F" w:themeFill="accent3" w:themeFillShade="BF"/>
      </w:tcPr>
    </w:tblStylePr>
    <w:tblStylePr w:type="band1Vert">
      <w:tblPr/>
      <w:tcPr>
        <w:shd w:val="clear" w:color="auto" w:fill="F17F99" w:themeFill="accent3" w:themeFillTint="7F"/>
      </w:tcPr>
    </w:tblStylePr>
    <w:tblStylePr w:type="band1Horz">
      <w:tblPr/>
      <w:tcPr>
        <w:shd w:val="clear" w:color="auto" w:fill="F17F99" w:themeFill="accent3" w:themeFillTint="7F"/>
      </w:tcPr>
    </w:tblStylePr>
  </w:style>
  <w:style w:type="table" w:styleId="ColorfulGrid-Accent4">
    <w:name w:val="Colorful Grid Accent 4"/>
    <w:basedOn w:val="TableNormal"/>
    <w:uiPriority w:val="73"/>
    <w:semiHidden/>
    <w:unhideWhenUsed/>
    <w:rsid w:val="00B241C2"/>
    <w:pPr>
      <w:spacing w:after="0" w:line="240" w:lineRule="auto"/>
    </w:pPr>
    <w:rPr>
      <w:rFonts w:eastAsia="Times New Roman" w:cs="Times New Roman"/>
      <w:color w:val="000000" w:themeColor="text1"/>
      <w:sz w:val="20"/>
      <w:szCs w:val="20"/>
      <w:lang w:eastAsia="en-AU"/>
    </w:rPr>
    <w:tblPr>
      <w:tblStyleRowBandSize w:val="1"/>
      <w:tblStyleColBandSize w:val="1"/>
      <w:tblBorders>
        <w:insideH w:val="single" w:sz="4" w:space="0" w:color="FFFFFF" w:themeColor="background1"/>
      </w:tblBorders>
    </w:tblPr>
    <w:tcPr>
      <w:shd w:val="clear" w:color="auto" w:fill="E4CAF0" w:themeFill="accent4" w:themeFillTint="33"/>
    </w:tcPr>
    <w:tblStylePr w:type="firstRow">
      <w:rPr>
        <w:b/>
        <w:bCs/>
      </w:rPr>
      <w:tblPr/>
      <w:tcPr>
        <w:shd w:val="clear" w:color="auto" w:fill="CA95E1" w:themeFill="accent4" w:themeFillTint="66"/>
      </w:tcPr>
    </w:tblStylePr>
    <w:tblStylePr w:type="lastRow">
      <w:rPr>
        <w:b/>
        <w:bCs/>
        <w:color w:val="000000" w:themeColor="text1"/>
      </w:rPr>
      <w:tblPr/>
      <w:tcPr>
        <w:shd w:val="clear" w:color="auto" w:fill="CA95E1" w:themeFill="accent4" w:themeFillTint="66"/>
      </w:tcPr>
    </w:tblStylePr>
    <w:tblStylePr w:type="firstCol">
      <w:rPr>
        <w:color w:val="FFFFFF" w:themeColor="background1"/>
      </w:rPr>
      <w:tblPr/>
      <w:tcPr>
        <w:shd w:val="clear" w:color="auto" w:fill="4E1C64" w:themeFill="accent4" w:themeFillShade="BF"/>
      </w:tcPr>
    </w:tblStylePr>
    <w:tblStylePr w:type="lastCol">
      <w:rPr>
        <w:color w:val="FFFFFF" w:themeColor="background1"/>
      </w:rPr>
      <w:tblPr/>
      <w:tcPr>
        <w:shd w:val="clear" w:color="auto" w:fill="4E1C64" w:themeFill="accent4" w:themeFillShade="BF"/>
      </w:tcPr>
    </w:tblStylePr>
    <w:tblStylePr w:type="band1Vert">
      <w:tblPr/>
      <w:tcPr>
        <w:shd w:val="clear" w:color="auto" w:fill="BC7BD9" w:themeFill="accent4" w:themeFillTint="7F"/>
      </w:tcPr>
    </w:tblStylePr>
    <w:tblStylePr w:type="band1Horz">
      <w:tblPr/>
      <w:tcPr>
        <w:shd w:val="clear" w:color="auto" w:fill="BC7BD9" w:themeFill="accent4" w:themeFillTint="7F"/>
      </w:tcPr>
    </w:tblStylePr>
  </w:style>
  <w:style w:type="table" w:styleId="ColorfulGrid-Accent5">
    <w:name w:val="Colorful Grid Accent 5"/>
    <w:basedOn w:val="TableNormal"/>
    <w:uiPriority w:val="73"/>
    <w:semiHidden/>
    <w:unhideWhenUsed/>
    <w:rsid w:val="00B241C2"/>
    <w:pPr>
      <w:spacing w:after="0" w:line="240" w:lineRule="auto"/>
    </w:pPr>
    <w:rPr>
      <w:rFonts w:eastAsia="Times New Roman" w:cs="Times New Roman"/>
      <w:color w:val="000000" w:themeColor="text1"/>
      <w:sz w:val="20"/>
      <w:szCs w:val="20"/>
      <w:lang w:eastAsia="en-AU"/>
    </w:rPr>
    <w:tblPr>
      <w:tblStyleRowBandSize w:val="1"/>
      <w:tblStyleColBandSize w:val="1"/>
      <w:tblBorders>
        <w:insideH w:val="single" w:sz="4" w:space="0" w:color="FFFFFF" w:themeColor="background1"/>
      </w:tblBorders>
    </w:tblPr>
    <w:tcPr>
      <w:shd w:val="clear" w:color="auto" w:fill="CBF5D8" w:themeFill="accent5" w:themeFillTint="33"/>
    </w:tcPr>
    <w:tblStylePr w:type="firstRow">
      <w:rPr>
        <w:b/>
        <w:bCs/>
      </w:rPr>
      <w:tblPr/>
      <w:tcPr>
        <w:shd w:val="clear" w:color="auto" w:fill="97EBB2" w:themeFill="accent5" w:themeFillTint="66"/>
      </w:tcPr>
    </w:tblStylePr>
    <w:tblStylePr w:type="lastRow">
      <w:rPr>
        <w:b/>
        <w:bCs/>
        <w:color w:val="000000" w:themeColor="text1"/>
      </w:rPr>
      <w:tblPr/>
      <w:tcPr>
        <w:shd w:val="clear" w:color="auto" w:fill="97EBB2" w:themeFill="accent5" w:themeFillTint="66"/>
      </w:tcPr>
    </w:tblStylePr>
    <w:tblStylePr w:type="firstCol">
      <w:rPr>
        <w:color w:val="FFFFFF" w:themeColor="background1"/>
      </w:rPr>
      <w:tblPr/>
      <w:tcPr>
        <w:shd w:val="clear" w:color="auto" w:fill="187F39" w:themeFill="accent5" w:themeFillShade="BF"/>
      </w:tcPr>
    </w:tblStylePr>
    <w:tblStylePr w:type="lastCol">
      <w:rPr>
        <w:color w:val="FFFFFF" w:themeColor="background1"/>
      </w:rPr>
      <w:tblPr/>
      <w:tcPr>
        <w:shd w:val="clear" w:color="auto" w:fill="187F39" w:themeFill="accent5" w:themeFillShade="BF"/>
      </w:tcPr>
    </w:tblStylePr>
    <w:tblStylePr w:type="band1Vert">
      <w:tblPr/>
      <w:tcPr>
        <w:shd w:val="clear" w:color="auto" w:fill="7DE69F" w:themeFill="accent5" w:themeFillTint="7F"/>
      </w:tcPr>
    </w:tblStylePr>
    <w:tblStylePr w:type="band1Horz">
      <w:tblPr/>
      <w:tcPr>
        <w:shd w:val="clear" w:color="auto" w:fill="7DE69F" w:themeFill="accent5" w:themeFillTint="7F"/>
      </w:tcPr>
    </w:tblStylePr>
  </w:style>
  <w:style w:type="table" w:styleId="ColorfulGrid-Accent6">
    <w:name w:val="Colorful Grid Accent 6"/>
    <w:basedOn w:val="TableNormal"/>
    <w:uiPriority w:val="73"/>
    <w:semiHidden/>
    <w:unhideWhenUsed/>
    <w:rsid w:val="00B241C2"/>
    <w:pPr>
      <w:spacing w:after="0" w:line="240" w:lineRule="auto"/>
    </w:pPr>
    <w:rPr>
      <w:rFonts w:eastAsia="Times New Roman" w:cs="Times New Roman"/>
      <w:color w:val="000000" w:themeColor="text1"/>
      <w:sz w:val="20"/>
      <w:szCs w:val="20"/>
      <w:lang w:eastAsia="en-AU"/>
    </w:rPr>
    <w:tblPr>
      <w:tblStyleRowBandSize w:val="1"/>
      <w:tblStyleColBandSize w:val="1"/>
      <w:tblBorders>
        <w:insideH w:val="single" w:sz="4" w:space="0" w:color="FFFFFF" w:themeColor="background1"/>
      </w:tblBorders>
    </w:tblPr>
    <w:tcPr>
      <w:shd w:val="clear" w:color="auto" w:fill="BDEAFF" w:themeFill="accent6" w:themeFillTint="33"/>
    </w:tcPr>
    <w:tblStylePr w:type="firstRow">
      <w:rPr>
        <w:b/>
        <w:bCs/>
      </w:rPr>
      <w:tblPr/>
      <w:tcPr>
        <w:shd w:val="clear" w:color="auto" w:fill="7BD5FF" w:themeFill="accent6" w:themeFillTint="66"/>
      </w:tcPr>
    </w:tblStylePr>
    <w:tblStylePr w:type="lastRow">
      <w:rPr>
        <w:b/>
        <w:bCs/>
        <w:color w:val="000000" w:themeColor="text1"/>
      </w:rPr>
      <w:tblPr/>
      <w:tcPr>
        <w:shd w:val="clear" w:color="auto" w:fill="7BD5FF" w:themeFill="accent6" w:themeFillTint="66"/>
      </w:tcPr>
    </w:tblStylePr>
    <w:tblStylePr w:type="firstCol">
      <w:rPr>
        <w:color w:val="FFFFFF" w:themeColor="background1"/>
      </w:rPr>
      <w:tblPr/>
      <w:tcPr>
        <w:shd w:val="clear" w:color="auto" w:fill="005D88" w:themeFill="accent6" w:themeFillShade="BF"/>
      </w:tcPr>
    </w:tblStylePr>
    <w:tblStylePr w:type="lastCol">
      <w:rPr>
        <w:color w:val="FFFFFF" w:themeColor="background1"/>
      </w:rPr>
      <w:tblPr/>
      <w:tcPr>
        <w:shd w:val="clear" w:color="auto" w:fill="005D88" w:themeFill="accent6" w:themeFillShade="BF"/>
      </w:tcPr>
    </w:tblStylePr>
    <w:tblStylePr w:type="band1Vert">
      <w:tblPr/>
      <w:tcPr>
        <w:shd w:val="clear" w:color="auto" w:fill="5BCBFF" w:themeFill="accent6" w:themeFillTint="7F"/>
      </w:tcPr>
    </w:tblStylePr>
    <w:tblStylePr w:type="band1Horz">
      <w:tblPr/>
      <w:tcPr>
        <w:shd w:val="clear" w:color="auto" w:fill="5BCBFF" w:themeFill="accent6" w:themeFillTint="7F"/>
      </w:tcPr>
    </w:tblStylePr>
  </w:style>
  <w:style w:type="table" w:styleId="ColorfulList">
    <w:name w:val="Colorful List"/>
    <w:basedOn w:val="TableNormal"/>
    <w:uiPriority w:val="72"/>
    <w:semiHidden/>
    <w:unhideWhenUsed/>
    <w:rsid w:val="00B241C2"/>
    <w:pPr>
      <w:spacing w:after="0" w:line="240" w:lineRule="auto"/>
    </w:pPr>
    <w:rPr>
      <w:rFonts w:eastAsia="Times New Roman" w:cs="Times New Roman"/>
      <w:color w:val="000000" w:themeColor="text1"/>
      <w:sz w:val="20"/>
      <w:szCs w:val="20"/>
      <w:lang w:eastAsia="en-AU"/>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3A200" w:themeFill="accent2" w:themeFillShade="CC"/>
      </w:tcPr>
    </w:tblStylePr>
    <w:tblStylePr w:type="lastRow">
      <w:rPr>
        <w:b/>
        <w:bCs/>
        <w:color w:val="D3A2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B241C2"/>
    <w:pPr>
      <w:spacing w:after="0" w:line="240" w:lineRule="auto"/>
    </w:pPr>
    <w:rPr>
      <w:rFonts w:eastAsia="Times New Roman" w:cs="Times New Roman"/>
      <w:color w:val="000000" w:themeColor="text1"/>
      <w:sz w:val="20"/>
      <w:szCs w:val="20"/>
      <w:lang w:eastAsia="en-AU"/>
    </w:rPr>
    <w:tblPr>
      <w:tblStyleRowBandSize w:val="1"/>
      <w:tblStyleColBandSize w:val="1"/>
    </w:tblPr>
    <w:tcPr>
      <w:shd w:val="clear" w:color="auto" w:fill="FAFBFA" w:themeFill="accent1" w:themeFillTint="19"/>
    </w:tcPr>
    <w:tblStylePr w:type="firstRow">
      <w:rPr>
        <w:b/>
        <w:bCs/>
        <w:color w:val="FFFFFF" w:themeColor="background1"/>
      </w:rPr>
      <w:tblPr/>
      <w:tcPr>
        <w:tcBorders>
          <w:bottom w:val="single" w:sz="12" w:space="0" w:color="FFFFFF" w:themeColor="background1"/>
        </w:tcBorders>
        <w:shd w:val="clear" w:color="auto" w:fill="D3A200" w:themeFill="accent2" w:themeFillShade="CC"/>
      </w:tcPr>
    </w:tblStylePr>
    <w:tblStylePr w:type="lastRow">
      <w:rPr>
        <w:b/>
        <w:bCs/>
        <w:color w:val="D3A2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F5F4" w:themeFill="accent1" w:themeFillTint="3F"/>
      </w:tcPr>
    </w:tblStylePr>
    <w:tblStylePr w:type="band1Horz">
      <w:tblPr/>
      <w:tcPr>
        <w:shd w:val="clear" w:color="auto" w:fill="F6F7F6" w:themeFill="accent1" w:themeFillTint="33"/>
      </w:tcPr>
    </w:tblStylePr>
  </w:style>
  <w:style w:type="table" w:styleId="ColorfulList-Accent2">
    <w:name w:val="Colorful List Accent 2"/>
    <w:basedOn w:val="TableNormal"/>
    <w:uiPriority w:val="72"/>
    <w:semiHidden/>
    <w:unhideWhenUsed/>
    <w:rsid w:val="00B241C2"/>
    <w:pPr>
      <w:spacing w:after="0" w:line="240" w:lineRule="auto"/>
    </w:pPr>
    <w:rPr>
      <w:rFonts w:eastAsia="Times New Roman" w:cs="Times New Roman"/>
      <w:color w:val="000000" w:themeColor="text1"/>
      <w:sz w:val="20"/>
      <w:szCs w:val="20"/>
      <w:lang w:eastAsia="en-AU"/>
    </w:rPr>
    <w:tblPr>
      <w:tblStyleRowBandSize w:val="1"/>
      <w:tblStyleColBandSize w:val="1"/>
    </w:tblPr>
    <w:tcPr>
      <w:shd w:val="clear" w:color="auto" w:fill="FFF9E6" w:themeFill="accent2" w:themeFillTint="19"/>
    </w:tcPr>
    <w:tblStylePr w:type="firstRow">
      <w:rPr>
        <w:b/>
        <w:bCs/>
        <w:color w:val="FFFFFF" w:themeColor="background1"/>
      </w:rPr>
      <w:tblPr/>
      <w:tcPr>
        <w:tcBorders>
          <w:bottom w:val="single" w:sz="12" w:space="0" w:color="FFFFFF" w:themeColor="background1"/>
        </w:tcBorders>
        <w:shd w:val="clear" w:color="auto" w:fill="D3A200" w:themeFill="accent2" w:themeFillShade="CC"/>
      </w:tcPr>
    </w:tblStylePr>
    <w:tblStylePr w:type="lastRow">
      <w:rPr>
        <w:b/>
        <w:bCs/>
        <w:color w:val="D3A2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0C2" w:themeFill="accent2" w:themeFillTint="3F"/>
      </w:tcPr>
    </w:tblStylePr>
    <w:tblStylePr w:type="band1Horz">
      <w:tblPr/>
      <w:tcPr>
        <w:shd w:val="clear" w:color="auto" w:fill="FFF3CD" w:themeFill="accent2" w:themeFillTint="33"/>
      </w:tcPr>
    </w:tblStylePr>
  </w:style>
  <w:style w:type="table" w:styleId="ColorfulList-Accent3">
    <w:name w:val="Colorful List Accent 3"/>
    <w:basedOn w:val="TableNormal"/>
    <w:uiPriority w:val="72"/>
    <w:semiHidden/>
    <w:unhideWhenUsed/>
    <w:rsid w:val="00B241C2"/>
    <w:pPr>
      <w:spacing w:after="0" w:line="240" w:lineRule="auto"/>
    </w:pPr>
    <w:rPr>
      <w:rFonts w:eastAsia="Times New Roman" w:cs="Times New Roman"/>
      <w:color w:val="000000" w:themeColor="text1"/>
      <w:sz w:val="20"/>
      <w:szCs w:val="20"/>
      <w:lang w:eastAsia="en-AU"/>
    </w:rPr>
    <w:tblPr>
      <w:tblStyleRowBandSize w:val="1"/>
      <w:tblStyleColBandSize w:val="1"/>
    </w:tblPr>
    <w:tcPr>
      <w:shd w:val="clear" w:color="auto" w:fill="FCE5EA" w:themeFill="accent3" w:themeFillTint="19"/>
    </w:tcPr>
    <w:tblStylePr w:type="firstRow">
      <w:rPr>
        <w:b/>
        <w:bCs/>
        <w:color w:val="FFFFFF" w:themeColor="background1"/>
      </w:rPr>
      <w:tblPr/>
      <w:tcPr>
        <w:tcBorders>
          <w:bottom w:val="single" w:sz="12" w:space="0" w:color="FFFFFF" w:themeColor="background1"/>
        </w:tcBorders>
        <w:shd w:val="clear" w:color="auto" w:fill="531E6A" w:themeFill="accent4" w:themeFillShade="CC"/>
      </w:tcPr>
    </w:tblStylePr>
    <w:tblStylePr w:type="lastRow">
      <w:rPr>
        <w:b/>
        <w:bCs/>
        <w:color w:val="531E6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BFCC" w:themeFill="accent3" w:themeFillTint="3F"/>
      </w:tcPr>
    </w:tblStylePr>
    <w:tblStylePr w:type="band1Horz">
      <w:tblPr/>
      <w:tcPr>
        <w:shd w:val="clear" w:color="auto" w:fill="F9CBD6" w:themeFill="accent3" w:themeFillTint="33"/>
      </w:tcPr>
    </w:tblStylePr>
  </w:style>
  <w:style w:type="table" w:styleId="ColorfulList-Accent4">
    <w:name w:val="Colorful List Accent 4"/>
    <w:basedOn w:val="TableNormal"/>
    <w:uiPriority w:val="72"/>
    <w:semiHidden/>
    <w:unhideWhenUsed/>
    <w:rsid w:val="00B241C2"/>
    <w:pPr>
      <w:spacing w:after="0" w:line="240" w:lineRule="auto"/>
    </w:pPr>
    <w:rPr>
      <w:rFonts w:eastAsia="Times New Roman" w:cs="Times New Roman"/>
      <w:color w:val="000000" w:themeColor="text1"/>
      <w:sz w:val="20"/>
      <w:szCs w:val="20"/>
      <w:lang w:eastAsia="en-AU"/>
    </w:rPr>
    <w:tblPr>
      <w:tblStyleRowBandSize w:val="1"/>
      <w:tblStyleColBandSize w:val="1"/>
    </w:tblPr>
    <w:tcPr>
      <w:shd w:val="clear" w:color="auto" w:fill="F1E5F7" w:themeFill="accent4" w:themeFillTint="19"/>
    </w:tcPr>
    <w:tblStylePr w:type="firstRow">
      <w:rPr>
        <w:b/>
        <w:bCs/>
        <w:color w:val="FFFFFF" w:themeColor="background1"/>
      </w:rPr>
      <w:tblPr/>
      <w:tcPr>
        <w:tcBorders>
          <w:bottom w:val="single" w:sz="12" w:space="0" w:color="FFFFFF" w:themeColor="background1"/>
        </w:tcBorders>
        <w:shd w:val="clear" w:color="auto" w:fill="A31132" w:themeFill="accent3" w:themeFillShade="CC"/>
      </w:tcPr>
    </w:tblStylePr>
    <w:tblStylePr w:type="lastRow">
      <w:rPr>
        <w:b/>
        <w:bCs/>
        <w:color w:val="A31132"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BDEC" w:themeFill="accent4" w:themeFillTint="3F"/>
      </w:tcPr>
    </w:tblStylePr>
    <w:tblStylePr w:type="band1Horz">
      <w:tblPr/>
      <w:tcPr>
        <w:shd w:val="clear" w:color="auto" w:fill="E4CAF0" w:themeFill="accent4" w:themeFillTint="33"/>
      </w:tcPr>
    </w:tblStylePr>
  </w:style>
  <w:style w:type="table" w:styleId="ColorfulList-Accent5">
    <w:name w:val="Colorful List Accent 5"/>
    <w:basedOn w:val="TableNormal"/>
    <w:uiPriority w:val="72"/>
    <w:semiHidden/>
    <w:unhideWhenUsed/>
    <w:rsid w:val="00B241C2"/>
    <w:pPr>
      <w:spacing w:after="0" w:line="240" w:lineRule="auto"/>
    </w:pPr>
    <w:rPr>
      <w:rFonts w:eastAsia="Times New Roman" w:cs="Times New Roman"/>
      <w:color w:val="000000" w:themeColor="text1"/>
      <w:sz w:val="20"/>
      <w:szCs w:val="20"/>
      <w:lang w:eastAsia="en-AU"/>
    </w:rPr>
    <w:tblPr>
      <w:tblStyleRowBandSize w:val="1"/>
      <w:tblStyleColBandSize w:val="1"/>
    </w:tblPr>
    <w:tcPr>
      <w:shd w:val="clear" w:color="auto" w:fill="E5FAEC" w:themeFill="accent5" w:themeFillTint="19"/>
    </w:tcPr>
    <w:tblStylePr w:type="firstRow">
      <w:rPr>
        <w:b/>
        <w:bCs/>
        <w:color w:val="FFFFFF" w:themeColor="background1"/>
      </w:rPr>
      <w:tblPr/>
      <w:tcPr>
        <w:tcBorders>
          <w:bottom w:val="single" w:sz="12" w:space="0" w:color="FFFFFF" w:themeColor="background1"/>
        </w:tcBorders>
        <w:shd w:val="clear" w:color="auto" w:fill="006391" w:themeFill="accent6" w:themeFillShade="CC"/>
      </w:tcPr>
    </w:tblStylePr>
    <w:tblStylePr w:type="lastRow">
      <w:rPr>
        <w:b/>
        <w:bCs/>
        <w:color w:val="006391"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EF3CF" w:themeFill="accent5" w:themeFillTint="3F"/>
      </w:tcPr>
    </w:tblStylePr>
    <w:tblStylePr w:type="band1Horz">
      <w:tblPr/>
      <w:tcPr>
        <w:shd w:val="clear" w:color="auto" w:fill="CBF5D8" w:themeFill="accent5" w:themeFillTint="33"/>
      </w:tcPr>
    </w:tblStylePr>
  </w:style>
  <w:style w:type="table" w:styleId="ColorfulList-Accent6">
    <w:name w:val="Colorful List Accent 6"/>
    <w:basedOn w:val="TableNormal"/>
    <w:uiPriority w:val="72"/>
    <w:semiHidden/>
    <w:unhideWhenUsed/>
    <w:rsid w:val="00B241C2"/>
    <w:pPr>
      <w:spacing w:after="0" w:line="240" w:lineRule="auto"/>
    </w:pPr>
    <w:rPr>
      <w:rFonts w:eastAsia="Times New Roman" w:cs="Times New Roman"/>
      <w:color w:val="000000" w:themeColor="text1"/>
      <w:sz w:val="20"/>
      <w:szCs w:val="20"/>
      <w:lang w:eastAsia="en-AU"/>
    </w:rPr>
    <w:tblPr>
      <w:tblStyleRowBandSize w:val="1"/>
      <w:tblStyleColBandSize w:val="1"/>
    </w:tblPr>
    <w:tcPr>
      <w:shd w:val="clear" w:color="auto" w:fill="DEF4FF" w:themeFill="accent6" w:themeFillTint="19"/>
    </w:tcPr>
    <w:tblStylePr w:type="firstRow">
      <w:rPr>
        <w:b/>
        <w:bCs/>
        <w:color w:val="FFFFFF" w:themeColor="background1"/>
      </w:rPr>
      <w:tblPr/>
      <w:tcPr>
        <w:tcBorders>
          <w:bottom w:val="single" w:sz="12" w:space="0" w:color="FFFFFF" w:themeColor="background1"/>
        </w:tcBorders>
        <w:shd w:val="clear" w:color="auto" w:fill="19873D" w:themeFill="accent5" w:themeFillShade="CC"/>
      </w:tcPr>
    </w:tblStylePr>
    <w:tblStylePr w:type="lastRow">
      <w:rPr>
        <w:b/>
        <w:bCs/>
        <w:color w:val="19873D"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DE5FF" w:themeFill="accent6" w:themeFillTint="3F"/>
      </w:tcPr>
    </w:tblStylePr>
    <w:tblStylePr w:type="band1Horz">
      <w:tblPr/>
      <w:tcPr>
        <w:shd w:val="clear" w:color="auto" w:fill="BDEAFF" w:themeFill="accent6" w:themeFillTint="33"/>
      </w:tcPr>
    </w:tblStylePr>
  </w:style>
  <w:style w:type="table" w:styleId="ColorfulShading">
    <w:name w:val="Colorful Shading"/>
    <w:basedOn w:val="TableNormal"/>
    <w:uiPriority w:val="71"/>
    <w:semiHidden/>
    <w:unhideWhenUsed/>
    <w:rsid w:val="00B241C2"/>
    <w:pPr>
      <w:spacing w:after="0" w:line="240" w:lineRule="auto"/>
    </w:pPr>
    <w:rPr>
      <w:rFonts w:eastAsia="Times New Roman" w:cs="Times New Roman"/>
      <w:color w:val="000000" w:themeColor="text1"/>
      <w:sz w:val="20"/>
      <w:szCs w:val="20"/>
      <w:lang w:eastAsia="en-AU"/>
    </w:rPr>
    <w:tblPr>
      <w:tblStyleRowBandSize w:val="1"/>
      <w:tblStyleColBandSize w:val="1"/>
      <w:tblBorders>
        <w:top w:val="single" w:sz="24" w:space="0" w:color="FFC709"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FC70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B241C2"/>
    <w:pPr>
      <w:spacing w:after="0" w:line="240" w:lineRule="auto"/>
    </w:pPr>
    <w:rPr>
      <w:rFonts w:eastAsia="Times New Roman" w:cs="Times New Roman"/>
      <w:color w:val="000000" w:themeColor="text1"/>
      <w:sz w:val="20"/>
      <w:szCs w:val="20"/>
      <w:lang w:eastAsia="en-AU"/>
    </w:rPr>
    <w:tblPr>
      <w:tblStyleRowBandSize w:val="1"/>
      <w:tblStyleColBandSize w:val="1"/>
      <w:tblBorders>
        <w:top w:val="single" w:sz="24" w:space="0" w:color="FFC709" w:themeColor="accent2"/>
        <w:left w:val="single" w:sz="4" w:space="0" w:color="D7D8D6" w:themeColor="accent1"/>
        <w:bottom w:val="single" w:sz="4" w:space="0" w:color="D7D8D6" w:themeColor="accent1"/>
        <w:right w:val="single" w:sz="4" w:space="0" w:color="D7D8D6" w:themeColor="accent1"/>
        <w:insideH w:val="single" w:sz="4" w:space="0" w:color="FFFFFF" w:themeColor="background1"/>
        <w:insideV w:val="single" w:sz="4" w:space="0" w:color="FFFFFF" w:themeColor="background1"/>
      </w:tblBorders>
    </w:tblPr>
    <w:tcPr>
      <w:shd w:val="clear" w:color="auto" w:fill="FAFBFA" w:themeFill="accent1" w:themeFillTint="19"/>
    </w:tcPr>
    <w:tblStylePr w:type="firstRow">
      <w:rPr>
        <w:b/>
        <w:bCs/>
      </w:rPr>
      <w:tblPr/>
      <w:tcPr>
        <w:tcBorders>
          <w:top w:val="nil"/>
          <w:left w:val="nil"/>
          <w:bottom w:val="single" w:sz="24" w:space="0" w:color="FFC70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0847D" w:themeFill="accent1" w:themeFillShade="99"/>
      </w:tcPr>
    </w:tblStylePr>
    <w:tblStylePr w:type="firstCol">
      <w:rPr>
        <w:color w:val="FFFFFF" w:themeColor="background1"/>
      </w:rPr>
      <w:tblPr/>
      <w:tcPr>
        <w:tcBorders>
          <w:top w:val="nil"/>
          <w:left w:val="nil"/>
          <w:bottom w:val="nil"/>
          <w:right w:val="nil"/>
          <w:insideH w:val="single" w:sz="4" w:space="0" w:color="80847D" w:themeColor="accent1" w:themeShade="99"/>
          <w:insideV w:val="nil"/>
        </w:tcBorders>
        <w:shd w:val="clear" w:color="auto" w:fill="80847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0847D" w:themeFill="accent1" w:themeFillShade="99"/>
      </w:tcPr>
    </w:tblStylePr>
    <w:tblStylePr w:type="band1Vert">
      <w:tblPr/>
      <w:tcPr>
        <w:shd w:val="clear" w:color="auto" w:fill="EEEFEE" w:themeFill="accent1" w:themeFillTint="66"/>
      </w:tcPr>
    </w:tblStylePr>
    <w:tblStylePr w:type="band1Horz">
      <w:tblPr/>
      <w:tcPr>
        <w:shd w:val="clear" w:color="auto" w:fill="EAEBEA"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B241C2"/>
    <w:pPr>
      <w:spacing w:after="0" w:line="240" w:lineRule="auto"/>
    </w:pPr>
    <w:rPr>
      <w:rFonts w:eastAsia="Times New Roman" w:cs="Times New Roman"/>
      <w:color w:val="000000" w:themeColor="text1"/>
      <w:sz w:val="20"/>
      <w:szCs w:val="20"/>
      <w:lang w:eastAsia="en-AU"/>
    </w:rPr>
    <w:tblPr>
      <w:tblStyleRowBandSize w:val="1"/>
      <w:tblStyleColBandSize w:val="1"/>
      <w:tblBorders>
        <w:top w:val="single" w:sz="24" w:space="0" w:color="FFC709" w:themeColor="accent2"/>
        <w:left w:val="single" w:sz="4" w:space="0" w:color="FFC709" w:themeColor="accent2"/>
        <w:bottom w:val="single" w:sz="4" w:space="0" w:color="FFC709" w:themeColor="accent2"/>
        <w:right w:val="single" w:sz="4" w:space="0" w:color="FFC709" w:themeColor="accent2"/>
        <w:insideH w:val="single" w:sz="4" w:space="0" w:color="FFFFFF" w:themeColor="background1"/>
        <w:insideV w:val="single" w:sz="4" w:space="0" w:color="FFFFFF" w:themeColor="background1"/>
      </w:tblBorders>
    </w:tblPr>
    <w:tcPr>
      <w:shd w:val="clear" w:color="auto" w:fill="FFF9E6" w:themeFill="accent2" w:themeFillTint="19"/>
    </w:tcPr>
    <w:tblStylePr w:type="firstRow">
      <w:rPr>
        <w:b/>
        <w:bCs/>
      </w:rPr>
      <w:tblPr/>
      <w:tcPr>
        <w:tcBorders>
          <w:top w:val="nil"/>
          <w:left w:val="nil"/>
          <w:bottom w:val="single" w:sz="24" w:space="0" w:color="FFC70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E7900" w:themeFill="accent2" w:themeFillShade="99"/>
      </w:tcPr>
    </w:tblStylePr>
    <w:tblStylePr w:type="firstCol">
      <w:rPr>
        <w:color w:val="FFFFFF" w:themeColor="background1"/>
      </w:rPr>
      <w:tblPr/>
      <w:tcPr>
        <w:tcBorders>
          <w:top w:val="nil"/>
          <w:left w:val="nil"/>
          <w:bottom w:val="nil"/>
          <w:right w:val="nil"/>
          <w:insideH w:val="single" w:sz="4" w:space="0" w:color="9E7900" w:themeColor="accent2" w:themeShade="99"/>
          <w:insideV w:val="nil"/>
        </w:tcBorders>
        <w:shd w:val="clear" w:color="auto" w:fill="9E79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E7900" w:themeFill="accent2" w:themeFillShade="99"/>
      </w:tcPr>
    </w:tblStylePr>
    <w:tblStylePr w:type="band1Vert">
      <w:tblPr/>
      <w:tcPr>
        <w:shd w:val="clear" w:color="auto" w:fill="FFE89C" w:themeFill="accent2" w:themeFillTint="66"/>
      </w:tcPr>
    </w:tblStylePr>
    <w:tblStylePr w:type="band1Horz">
      <w:tblPr/>
      <w:tcPr>
        <w:shd w:val="clear" w:color="auto" w:fill="FFE284"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B241C2"/>
    <w:pPr>
      <w:spacing w:after="0" w:line="240" w:lineRule="auto"/>
    </w:pPr>
    <w:rPr>
      <w:rFonts w:eastAsia="Times New Roman" w:cs="Times New Roman"/>
      <w:color w:val="000000" w:themeColor="text1"/>
      <w:sz w:val="20"/>
      <w:szCs w:val="20"/>
      <w:lang w:eastAsia="en-AU"/>
    </w:rPr>
    <w:tblPr>
      <w:tblStyleRowBandSize w:val="1"/>
      <w:tblStyleColBandSize w:val="1"/>
      <w:tblBorders>
        <w:top w:val="single" w:sz="24" w:space="0" w:color="692686" w:themeColor="accent4"/>
        <w:left w:val="single" w:sz="4" w:space="0" w:color="CD163F" w:themeColor="accent3"/>
        <w:bottom w:val="single" w:sz="4" w:space="0" w:color="CD163F" w:themeColor="accent3"/>
        <w:right w:val="single" w:sz="4" w:space="0" w:color="CD163F" w:themeColor="accent3"/>
        <w:insideH w:val="single" w:sz="4" w:space="0" w:color="FFFFFF" w:themeColor="background1"/>
        <w:insideV w:val="single" w:sz="4" w:space="0" w:color="FFFFFF" w:themeColor="background1"/>
      </w:tblBorders>
    </w:tblPr>
    <w:tcPr>
      <w:shd w:val="clear" w:color="auto" w:fill="FCE5EA" w:themeFill="accent3" w:themeFillTint="19"/>
    </w:tcPr>
    <w:tblStylePr w:type="firstRow">
      <w:rPr>
        <w:b/>
        <w:bCs/>
      </w:rPr>
      <w:tblPr/>
      <w:tcPr>
        <w:tcBorders>
          <w:top w:val="nil"/>
          <w:left w:val="nil"/>
          <w:bottom w:val="single" w:sz="24" w:space="0" w:color="69268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A0D25" w:themeFill="accent3" w:themeFillShade="99"/>
      </w:tcPr>
    </w:tblStylePr>
    <w:tblStylePr w:type="firstCol">
      <w:rPr>
        <w:color w:val="FFFFFF" w:themeColor="background1"/>
      </w:rPr>
      <w:tblPr/>
      <w:tcPr>
        <w:tcBorders>
          <w:top w:val="nil"/>
          <w:left w:val="nil"/>
          <w:bottom w:val="nil"/>
          <w:right w:val="nil"/>
          <w:insideH w:val="single" w:sz="4" w:space="0" w:color="7A0D25" w:themeColor="accent3" w:themeShade="99"/>
          <w:insideV w:val="nil"/>
        </w:tcBorders>
        <w:shd w:val="clear" w:color="auto" w:fill="7A0D2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7A0D25" w:themeFill="accent3" w:themeFillShade="99"/>
      </w:tcPr>
    </w:tblStylePr>
    <w:tblStylePr w:type="band1Vert">
      <w:tblPr/>
      <w:tcPr>
        <w:shd w:val="clear" w:color="auto" w:fill="F498AD" w:themeFill="accent3" w:themeFillTint="66"/>
      </w:tcPr>
    </w:tblStylePr>
    <w:tblStylePr w:type="band1Horz">
      <w:tblPr/>
      <w:tcPr>
        <w:shd w:val="clear" w:color="auto" w:fill="F17F99" w:themeFill="accent3" w:themeFillTint="7F"/>
      </w:tcPr>
    </w:tblStylePr>
  </w:style>
  <w:style w:type="table" w:styleId="ColorfulShading-Accent4">
    <w:name w:val="Colorful Shading Accent 4"/>
    <w:basedOn w:val="TableNormal"/>
    <w:uiPriority w:val="71"/>
    <w:semiHidden/>
    <w:unhideWhenUsed/>
    <w:rsid w:val="00B241C2"/>
    <w:pPr>
      <w:spacing w:after="0" w:line="240" w:lineRule="auto"/>
    </w:pPr>
    <w:rPr>
      <w:rFonts w:eastAsia="Times New Roman" w:cs="Times New Roman"/>
      <w:color w:val="000000" w:themeColor="text1"/>
      <w:sz w:val="20"/>
      <w:szCs w:val="20"/>
      <w:lang w:eastAsia="en-AU"/>
    </w:rPr>
    <w:tblPr>
      <w:tblStyleRowBandSize w:val="1"/>
      <w:tblStyleColBandSize w:val="1"/>
      <w:tblBorders>
        <w:top w:val="single" w:sz="24" w:space="0" w:color="CD163F" w:themeColor="accent3"/>
        <w:left w:val="single" w:sz="4" w:space="0" w:color="692686" w:themeColor="accent4"/>
        <w:bottom w:val="single" w:sz="4" w:space="0" w:color="692686" w:themeColor="accent4"/>
        <w:right w:val="single" w:sz="4" w:space="0" w:color="692686" w:themeColor="accent4"/>
        <w:insideH w:val="single" w:sz="4" w:space="0" w:color="FFFFFF" w:themeColor="background1"/>
        <w:insideV w:val="single" w:sz="4" w:space="0" w:color="FFFFFF" w:themeColor="background1"/>
      </w:tblBorders>
    </w:tblPr>
    <w:tcPr>
      <w:shd w:val="clear" w:color="auto" w:fill="F1E5F7" w:themeFill="accent4" w:themeFillTint="19"/>
    </w:tcPr>
    <w:tblStylePr w:type="firstRow">
      <w:rPr>
        <w:b/>
        <w:bCs/>
      </w:rPr>
      <w:tblPr/>
      <w:tcPr>
        <w:tcBorders>
          <w:top w:val="nil"/>
          <w:left w:val="nil"/>
          <w:bottom w:val="single" w:sz="24" w:space="0" w:color="CD163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E1650" w:themeFill="accent4" w:themeFillShade="99"/>
      </w:tcPr>
    </w:tblStylePr>
    <w:tblStylePr w:type="firstCol">
      <w:rPr>
        <w:color w:val="FFFFFF" w:themeColor="background1"/>
      </w:rPr>
      <w:tblPr/>
      <w:tcPr>
        <w:tcBorders>
          <w:top w:val="nil"/>
          <w:left w:val="nil"/>
          <w:bottom w:val="nil"/>
          <w:right w:val="nil"/>
          <w:insideH w:val="single" w:sz="4" w:space="0" w:color="3E1650" w:themeColor="accent4" w:themeShade="99"/>
          <w:insideV w:val="nil"/>
        </w:tcBorders>
        <w:shd w:val="clear" w:color="auto" w:fill="3E165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E1650" w:themeFill="accent4" w:themeFillShade="99"/>
      </w:tcPr>
    </w:tblStylePr>
    <w:tblStylePr w:type="band1Vert">
      <w:tblPr/>
      <w:tcPr>
        <w:shd w:val="clear" w:color="auto" w:fill="CA95E1" w:themeFill="accent4" w:themeFillTint="66"/>
      </w:tcPr>
    </w:tblStylePr>
    <w:tblStylePr w:type="band1Horz">
      <w:tblPr/>
      <w:tcPr>
        <w:shd w:val="clear" w:color="auto" w:fill="BC7BD9"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B241C2"/>
    <w:pPr>
      <w:spacing w:after="0" w:line="240" w:lineRule="auto"/>
    </w:pPr>
    <w:rPr>
      <w:rFonts w:eastAsia="Times New Roman" w:cs="Times New Roman"/>
      <w:color w:val="000000" w:themeColor="text1"/>
      <w:sz w:val="20"/>
      <w:szCs w:val="20"/>
      <w:lang w:eastAsia="en-AU"/>
    </w:rPr>
    <w:tblPr>
      <w:tblStyleRowBandSize w:val="1"/>
      <w:tblStyleColBandSize w:val="1"/>
      <w:tblBorders>
        <w:top w:val="single" w:sz="24" w:space="0" w:color="007DB6" w:themeColor="accent6"/>
        <w:left w:val="single" w:sz="4" w:space="0" w:color="20AA4D" w:themeColor="accent5"/>
        <w:bottom w:val="single" w:sz="4" w:space="0" w:color="20AA4D" w:themeColor="accent5"/>
        <w:right w:val="single" w:sz="4" w:space="0" w:color="20AA4D" w:themeColor="accent5"/>
        <w:insideH w:val="single" w:sz="4" w:space="0" w:color="FFFFFF" w:themeColor="background1"/>
        <w:insideV w:val="single" w:sz="4" w:space="0" w:color="FFFFFF" w:themeColor="background1"/>
      </w:tblBorders>
    </w:tblPr>
    <w:tcPr>
      <w:shd w:val="clear" w:color="auto" w:fill="E5FAEC" w:themeFill="accent5" w:themeFillTint="19"/>
    </w:tcPr>
    <w:tblStylePr w:type="firstRow">
      <w:rPr>
        <w:b/>
        <w:bCs/>
      </w:rPr>
      <w:tblPr/>
      <w:tcPr>
        <w:tcBorders>
          <w:top w:val="nil"/>
          <w:left w:val="nil"/>
          <w:bottom w:val="single" w:sz="24" w:space="0" w:color="007DB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652E" w:themeFill="accent5" w:themeFillShade="99"/>
      </w:tcPr>
    </w:tblStylePr>
    <w:tblStylePr w:type="firstCol">
      <w:rPr>
        <w:color w:val="FFFFFF" w:themeColor="background1"/>
      </w:rPr>
      <w:tblPr/>
      <w:tcPr>
        <w:tcBorders>
          <w:top w:val="nil"/>
          <w:left w:val="nil"/>
          <w:bottom w:val="nil"/>
          <w:right w:val="nil"/>
          <w:insideH w:val="single" w:sz="4" w:space="0" w:color="13652E" w:themeColor="accent5" w:themeShade="99"/>
          <w:insideV w:val="nil"/>
        </w:tcBorders>
        <w:shd w:val="clear" w:color="auto" w:fill="13652E"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13652E" w:themeFill="accent5" w:themeFillShade="99"/>
      </w:tcPr>
    </w:tblStylePr>
    <w:tblStylePr w:type="band1Vert">
      <w:tblPr/>
      <w:tcPr>
        <w:shd w:val="clear" w:color="auto" w:fill="97EBB2" w:themeFill="accent5" w:themeFillTint="66"/>
      </w:tcPr>
    </w:tblStylePr>
    <w:tblStylePr w:type="band1Horz">
      <w:tblPr/>
      <w:tcPr>
        <w:shd w:val="clear" w:color="auto" w:fill="7DE69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B241C2"/>
    <w:pPr>
      <w:spacing w:after="0" w:line="240" w:lineRule="auto"/>
    </w:pPr>
    <w:rPr>
      <w:rFonts w:eastAsia="Times New Roman" w:cs="Times New Roman"/>
      <w:color w:val="000000" w:themeColor="text1"/>
      <w:sz w:val="20"/>
      <w:szCs w:val="20"/>
      <w:lang w:eastAsia="en-AU"/>
    </w:rPr>
    <w:tblPr>
      <w:tblStyleRowBandSize w:val="1"/>
      <w:tblStyleColBandSize w:val="1"/>
      <w:tblBorders>
        <w:top w:val="single" w:sz="24" w:space="0" w:color="20AA4D" w:themeColor="accent5"/>
        <w:left w:val="single" w:sz="4" w:space="0" w:color="007DB6" w:themeColor="accent6"/>
        <w:bottom w:val="single" w:sz="4" w:space="0" w:color="007DB6" w:themeColor="accent6"/>
        <w:right w:val="single" w:sz="4" w:space="0" w:color="007DB6" w:themeColor="accent6"/>
        <w:insideH w:val="single" w:sz="4" w:space="0" w:color="FFFFFF" w:themeColor="background1"/>
        <w:insideV w:val="single" w:sz="4" w:space="0" w:color="FFFFFF" w:themeColor="background1"/>
      </w:tblBorders>
    </w:tblPr>
    <w:tcPr>
      <w:shd w:val="clear" w:color="auto" w:fill="DEF4FF" w:themeFill="accent6" w:themeFillTint="19"/>
    </w:tcPr>
    <w:tblStylePr w:type="firstRow">
      <w:rPr>
        <w:b/>
        <w:bCs/>
      </w:rPr>
      <w:tblPr/>
      <w:tcPr>
        <w:tcBorders>
          <w:top w:val="nil"/>
          <w:left w:val="nil"/>
          <w:bottom w:val="single" w:sz="24" w:space="0" w:color="20AA4D"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A6D" w:themeFill="accent6" w:themeFillShade="99"/>
      </w:tcPr>
    </w:tblStylePr>
    <w:tblStylePr w:type="firstCol">
      <w:rPr>
        <w:color w:val="FFFFFF" w:themeColor="background1"/>
      </w:rPr>
      <w:tblPr/>
      <w:tcPr>
        <w:tcBorders>
          <w:top w:val="nil"/>
          <w:left w:val="nil"/>
          <w:bottom w:val="nil"/>
          <w:right w:val="nil"/>
          <w:insideH w:val="single" w:sz="4" w:space="0" w:color="004A6D" w:themeColor="accent6" w:themeShade="99"/>
          <w:insideV w:val="nil"/>
        </w:tcBorders>
        <w:shd w:val="clear" w:color="auto" w:fill="004A6D"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04A6D" w:themeFill="accent6" w:themeFillShade="99"/>
      </w:tcPr>
    </w:tblStylePr>
    <w:tblStylePr w:type="band1Vert">
      <w:tblPr/>
      <w:tcPr>
        <w:shd w:val="clear" w:color="auto" w:fill="7BD5FF" w:themeFill="accent6" w:themeFillTint="66"/>
      </w:tcPr>
    </w:tblStylePr>
    <w:tblStylePr w:type="band1Horz">
      <w:tblPr/>
      <w:tcPr>
        <w:shd w:val="clear" w:color="auto" w:fill="5BCBFF"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B241C2"/>
    <w:pPr>
      <w:spacing w:after="0" w:line="240" w:lineRule="auto"/>
    </w:pPr>
    <w:rPr>
      <w:rFonts w:eastAsia="Times New Roman" w:cs="Times New Roman"/>
      <w:color w:val="FFFFFF" w:themeColor="background1"/>
      <w:sz w:val="20"/>
      <w:szCs w:val="20"/>
      <w:lang w:eastAsia="en-AU"/>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B241C2"/>
    <w:pPr>
      <w:spacing w:after="0" w:line="240" w:lineRule="auto"/>
    </w:pPr>
    <w:rPr>
      <w:rFonts w:eastAsia="Times New Roman" w:cs="Times New Roman"/>
      <w:color w:val="FFFFFF" w:themeColor="background1"/>
      <w:sz w:val="20"/>
      <w:szCs w:val="20"/>
      <w:lang w:eastAsia="en-AU"/>
    </w:rPr>
    <w:tblPr>
      <w:tblStyleRowBandSize w:val="1"/>
      <w:tblStyleColBandSize w:val="1"/>
    </w:tblPr>
    <w:tcPr>
      <w:shd w:val="clear" w:color="auto" w:fill="D7D8D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A6D6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0A39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0A39E" w:themeFill="accent1" w:themeFillShade="BF"/>
      </w:tcPr>
    </w:tblStylePr>
    <w:tblStylePr w:type="band1Vert">
      <w:tblPr/>
      <w:tcPr>
        <w:tcBorders>
          <w:top w:val="nil"/>
          <w:left w:val="nil"/>
          <w:bottom w:val="nil"/>
          <w:right w:val="nil"/>
          <w:insideH w:val="nil"/>
          <w:insideV w:val="nil"/>
        </w:tcBorders>
        <w:shd w:val="clear" w:color="auto" w:fill="A0A39E" w:themeFill="accent1" w:themeFillShade="BF"/>
      </w:tcPr>
    </w:tblStylePr>
    <w:tblStylePr w:type="band1Horz">
      <w:tblPr/>
      <w:tcPr>
        <w:tcBorders>
          <w:top w:val="nil"/>
          <w:left w:val="nil"/>
          <w:bottom w:val="nil"/>
          <w:right w:val="nil"/>
          <w:insideH w:val="nil"/>
          <w:insideV w:val="nil"/>
        </w:tcBorders>
        <w:shd w:val="clear" w:color="auto" w:fill="A0A39E" w:themeFill="accent1" w:themeFillShade="BF"/>
      </w:tcPr>
    </w:tblStylePr>
  </w:style>
  <w:style w:type="table" w:styleId="DarkList-Accent2">
    <w:name w:val="Dark List Accent 2"/>
    <w:basedOn w:val="TableNormal"/>
    <w:uiPriority w:val="70"/>
    <w:semiHidden/>
    <w:unhideWhenUsed/>
    <w:rsid w:val="00B241C2"/>
    <w:pPr>
      <w:spacing w:after="0" w:line="240" w:lineRule="auto"/>
    </w:pPr>
    <w:rPr>
      <w:rFonts w:eastAsia="Times New Roman" w:cs="Times New Roman"/>
      <w:color w:val="FFFFFF" w:themeColor="background1"/>
      <w:sz w:val="20"/>
      <w:szCs w:val="20"/>
      <w:lang w:eastAsia="en-AU"/>
    </w:rPr>
    <w:tblPr>
      <w:tblStyleRowBandSize w:val="1"/>
      <w:tblStyleColBandSize w:val="1"/>
    </w:tblPr>
    <w:tcPr>
      <w:shd w:val="clear" w:color="auto" w:fill="FFC709"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364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5970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59700" w:themeFill="accent2" w:themeFillShade="BF"/>
      </w:tcPr>
    </w:tblStylePr>
    <w:tblStylePr w:type="band1Vert">
      <w:tblPr/>
      <w:tcPr>
        <w:tcBorders>
          <w:top w:val="nil"/>
          <w:left w:val="nil"/>
          <w:bottom w:val="nil"/>
          <w:right w:val="nil"/>
          <w:insideH w:val="nil"/>
          <w:insideV w:val="nil"/>
        </w:tcBorders>
        <w:shd w:val="clear" w:color="auto" w:fill="C59700" w:themeFill="accent2" w:themeFillShade="BF"/>
      </w:tcPr>
    </w:tblStylePr>
    <w:tblStylePr w:type="band1Horz">
      <w:tblPr/>
      <w:tcPr>
        <w:tcBorders>
          <w:top w:val="nil"/>
          <w:left w:val="nil"/>
          <w:bottom w:val="nil"/>
          <w:right w:val="nil"/>
          <w:insideH w:val="nil"/>
          <w:insideV w:val="nil"/>
        </w:tcBorders>
        <w:shd w:val="clear" w:color="auto" w:fill="C59700" w:themeFill="accent2" w:themeFillShade="BF"/>
      </w:tcPr>
    </w:tblStylePr>
  </w:style>
  <w:style w:type="table" w:styleId="DarkList-Accent3">
    <w:name w:val="Dark List Accent 3"/>
    <w:basedOn w:val="TableNormal"/>
    <w:uiPriority w:val="70"/>
    <w:semiHidden/>
    <w:unhideWhenUsed/>
    <w:rsid w:val="00B241C2"/>
    <w:pPr>
      <w:spacing w:after="0" w:line="240" w:lineRule="auto"/>
    </w:pPr>
    <w:rPr>
      <w:rFonts w:eastAsia="Times New Roman" w:cs="Times New Roman"/>
      <w:color w:val="FFFFFF" w:themeColor="background1"/>
      <w:sz w:val="20"/>
      <w:szCs w:val="20"/>
      <w:lang w:eastAsia="en-AU"/>
    </w:rPr>
    <w:tblPr>
      <w:tblStyleRowBandSize w:val="1"/>
      <w:tblStyleColBandSize w:val="1"/>
    </w:tblPr>
    <w:tcPr>
      <w:shd w:val="clear" w:color="auto" w:fill="CD163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60B1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99102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99102F" w:themeFill="accent3" w:themeFillShade="BF"/>
      </w:tcPr>
    </w:tblStylePr>
    <w:tblStylePr w:type="band1Vert">
      <w:tblPr/>
      <w:tcPr>
        <w:tcBorders>
          <w:top w:val="nil"/>
          <w:left w:val="nil"/>
          <w:bottom w:val="nil"/>
          <w:right w:val="nil"/>
          <w:insideH w:val="nil"/>
          <w:insideV w:val="nil"/>
        </w:tcBorders>
        <w:shd w:val="clear" w:color="auto" w:fill="99102F" w:themeFill="accent3" w:themeFillShade="BF"/>
      </w:tcPr>
    </w:tblStylePr>
    <w:tblStylePr w:type="band1Horz">
      <w:tblPr/>
      <w:tcPr>
        <w:tcBorders>
          <w:top w:val="nil"/>
          <w:left w:val="nil"/>
          <w:bottom w:val="nil"/>
          <w:right w:val="nil"/>
          <w:insideH w:val="nil"/>
          <w:insideV w:val="nil"/>
        </w:tcBorders>
        <w:shd w:val="clear" w:color="auto" w:fill="99102F" w:themeFill="accent3" w:themeFillShade="BF"/>
      </w:tcPr>
    </w:tblStylePr>
  </w:style>
  <w:style w:type="table" w:styleId="DarkList-Accent4">
    <w:name w:val="Dark List Accent 4"/>
    <w:basedOn w:val="TableNormal"/>
    <w:uiPriority w:val="70"/>
    <w:semiHidden/>
    <w:unhideWhenUsed/>
    <w:rsid w:val="00B241C2"/>
    <w:pPr>
      <w:spacing w:after="0" w:line="240" w:lineRule="auto"/>
    </w:pPr>
    <w:rPr>
      <w:rFonts w:eastAsia="Times New Roman" w:cs="Times New Roman"/>
      <w:color w:val="FFFFFF" w:themeColor="background1"/>
      <w:sz w:val="20"/>
      <w:szCs w:val="20"/>
      <w:lang w:eastAsia="en-AU"/>
    </w:rPr>
    <w:tblPr>
      <w:tblStyleRowBandSize w:val="1"/>
      <w:tblStyleColBandSize w:val="1"/>
    </w:tblPr>
    <w:tcPr>
      <w:shd w:val="clear" w:color="auto" w:fill="69268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3134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E1C6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E1C64" w:themeFill="accent4" w:themeFillShade="BF"/>
      </w:tcPr>
    </w:tblStylePr>
    <w:tblStylePr w:type="band1Vert">
      <w:tblPr/>
      <w:tcPr>
        <w:tcBorders>
          <w:top w:val="nil"/>
          <w:left w:val="nil"/>
          <w:bottom w:val="nil"/>
          <w:right w:val="nil"/>
          <w:insideH w:val="nil"/>
          <w:insideV w:val="nil"/>
        </w:tcBorders>
        <w:shd w:val="clear" w:color="auto" w:fill="4E1C64" w:themeFill="accent4" w:themeFillShade="BF"/>
      </w:tcPr>
    </w:tblStylePr>
    <w:tblStylePr w:type="band1Horz">
      <w:tblPr/>
      <w:tcPr>
        <w:tcBorders>
          <w:top w:val="nil"/>
          <w:left w:val="nil"/>
          <w:bottom w:val="nil"/>
          <w:right w:val="nil"/>
          <w:insideH w:val="nil"/>
          <w:insideV w:val="nil"/>
        </w:tcBorders>
        <w:shd w:val="clear" w:color="auto" w:fill="4E1C64" w:themeFill="accent4" w:themeFillShade="BF"/>
      </w:tcPr>
    </w:tblStylePr>
  </w:style>
  <w:style w:type="table" w:styleId="DarkList-Accent5">
    <w:name w:val="Dark List Accent 5"/>
    <w:basedOn w:val="TableNormal"/>
    <w:uiPriority w:val="70"/>
    <w:semiHidden/>
    <w:unhideWhenUsed/>
    <w:rsid w:val="00B241C2"/>
    <w:pPr>
      <w:spacing w:after="0" w:line="240" w:lineRule="auto"/>
    </w:pPr>
    <w:rPr>
      <w:rFonts w:eastAsia="Times New Roman" w:cs="Times New Roman"/>
      <w:color w:val="FFFFFF" w:themeColor="background1"/>
      <w:sz w:val="20"/>
      <w:szCs w:val="20"/>
      <w:lang w:eastAsia="en-AU"/>
    </w:rPr>
    <w:tblPr>
      <w:tblStyleRowBandSize w:val="1"/>
      <w:tblStyleColBandSize w:val="1"/>
    </w:tblPr>
    <w:tcPr>
      <w:shd w:val="clear" w:color="auto" w:fill="20AA4D"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05426"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187F3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187F39" w:themeFill="accent5" w:themeFillShade="BF"/>
      </w:tcPr>
    </w:tblStylePr>
    <w:tblStylePr w:type="band1Vert">
      <w:tblPr/>
      <w:tcPr>
        <w:tcBorders>
          <w:top w:val="nil"/>
          <w:left w:val="nil"/>
          <w:bottom w:val="nil"/>
          <w:right w:val="nil"/>
          <w:insideH w:val="nil"/>
          <w:insideV w:val="nil"/>
        </w:tcBorders>
        <w:shd w:val="clear" w:color="auto" w:fill="187F39" w:themeFill="accent5" w:themeFillShade="BF"/>
      </w:tcPr>
    </w:tblStylePr>
    <w:tblStylePr w:type="band1Horz">
      <w:tblPr/>
      <w:tcPr>
        <w:tcBorders>
          <w:top w:val="nil"/>
          <w:left w:val="nil"/>
          <w:bottom w:val="nil"/>
          <w:right w:val="nil"/>
          <w:insideH w:val="nil"/>
          <w:insideV w:val="nil"/>
        </w:tcBorders>
        <w:shd w:val="clear" w:color="auto" w:fill="187F39" w:themeFill="accent5" w:themeFillShade="BF"/>
      </w:tcPr>
    </w:tblStylePr>
  </w:style>
  <w:style w:type="table" w:styleId="DarkList-Accent6">
    <w:name w:val="Dark List Accent 6"/>
    <w:basedOn w:val="TableNormal"/>
    <w:uiPriority w:val="70"/>
    <w:semiHidden/>
    <w:unhideWhenUsed/>
    <w:rsid w:val="00B241C2"/>
    <w:pPr>
      <w:spacing w:after="0" w:line="240" w:lineRule="auto"/>
    </w:pPr>
    <w:rPr>
      <w:rFonts w:eastAsia="Times New Roman" w:cs="Times New Roman"/>
      <w:color w:val="FFFFFF" w:themeColor="background1"/>
      <w:sz w:val="20"/>
      <w:szCs w:val="20"/>
      <w:lang w:eastAsia="en-AU"/>
    </w:rPr>
    <w:tblPr>
      <w:tblStyleRowBandSize w:val="1"/>
      <w:tblStyleColBandSize w:val="1"/>
    </w:tblPr>
    <w:tcPr>
      <w:shd w:val="clear" w:color="auto" w:fill="007DB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D5A"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05D88"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05D88" w:themeFill="accent6" w:themeFillShade="BF"/>
      </w:tcPr>
    </w:tblStylePr>
    <w:tblStylePr w:type="band1Vert">
      <w:tblPr/>
      <w:tcPr>
        <w:tcBorders>
          <w:top w:val="nil"/>
          <w:left w:val="nil"/>
          <w:bottom w:val="nil"/>
          <w:right w:val="nil"/>
          <w:insideH w:val="nil"/>
          <w:insideV w:val="nil"/>
        </w:tcBorders>
        <w:shd w:val="clear" w:color="auto" w:fill="005D88" w:themeFill="accent6" w:themeFillShade="BF"/>
      </w:tcPr>
    </w:tblStylePr>
    <w:tblStylePr w:type="band1Horz">
      <w:tblPr/>
      <w:tcPr>
        <w:tcBorders>
          <w:top w:val="nil"/>
          <w:left w:val="nil"/>
          <w:bottom w:val="nil"/>
          <w:right w:val="nil"/>
          <w:insideH w:val="nil"/>
          <w:insideV w:val="nil"/>
        </w:tcBorders>
        <w:shd w:val="clear" w:color="auto" w:fill="005D88" w:themeFill="accent6" w:themeFillShade="BF"/>
      </w:tcPr>
    </w:tblStylePr>
  </w:style>
  <w:style w:type="table" w:styleId="GridTable1Light">
    <w:name w:val="Grid Table 1 Light"/>
    <w:basedOn w:val="TableNormal"/>
    <w:uiPriority w:val="46"/>
    <w:rsid w:val="00B241C2"/>
    <w:pPr>
      <w:spacing w:after="0" w:line="240" w:lineRule="auto"/>
    </w:pPr>
    <w:rPr>
      <w:rFonts w:eastAsia="Times New Roman" w:cs="Times New Roman"/>
      <w:sz w:val="20"/>
      <w:szCs w:val="20"/>
      <w:lang w:eastAsia="en-AU"/>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B241C2"/>
    <w:pPr>
      <w:spacing w:after="0" w:line="240" w:lineRule="auto"/>
    </w:pPr>
    <w:rPr>
      <w:rFonts w:eastAsia="Times New Roman" w:cs="Times New Roman"/>
      <w:sz w:val="20"/>
      <w:szCs w:val="20"/>
      <w:lang w:eastAsia="en-AU"/>
    </w:rPr>
    <w:tblPr>
      <w:tblStyleRowBandSize w:val="1"/>
      <w:tblStyleColBandSize w:val="1"/>
      <w:tblBorders>
        <w:top w:val="single" w:sz="4" w:space="0" w:color="EEEFEE" w:themeColor="accent1" w:themeTint="66"/>
        <w:left w:val="single" w:sz="4" w:space="0" w:color="EEEFEE" w:themeColor="accent1" w:themeTint="66"/>
        <w:bottom w:val="single" w:sz="4" w:space="0" w:color="EEEFEE" w:themeColor="accent1" w:themeTint="66"/>
        <w:right w:val="single" w:sz="4" w:space="0" w:color="EEEFEE" w:themeColor="accent1" w:themeTint="66"/>
        <w:insideH w:val="single" w:sz="4" w:space="0" w:color="EEEFEE" w:themeColor="accent1" w:themeTint="66"/>
        <w:insideV w:val="single" w:sz="4" w:space="0" w:color="EEEFEE" w:themeColor="accent1" w:themeTint="66"/>
      </w:tblBorders>
    </w:tblPr>
    <w:tblStylePr w:type="firstRow">
      <w:rPr>
        <w:b/>
        <w:bCs/>
      </w:rPr>
      <w:tblPr/>
      <w:tcPr>
        <w:tcBorders>
          <w:bottom w:val="single" w:sz="12" w:space="0" w:color="E6E7E6" w:themeColor="accent1" w:themeTint="99"/>
        </w:tcBorders>
      </w:tcPr>
    </w:tblStylePr>
    <w:tblStylePr w:type="lastRow">
      <w:rPr>
        <w:b/>
        <w:bCs/>
      </w:rPr>
      <w:tblPr/>
      <w:tcPr>
        <w:tcBorders>
          <w:top w:val="double" w:sz="2" w:space="0" w:color="E6E7E6"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B241C2"/>
    <w:pPr>
      <w:spacing w:after="0" w:line="240" w:lineRule="auto"/>
    </w:pPr>
    <w:rPr>
      <w:rFonts w:eastAsia="Times New Roman" w:cs="Times New Roman"/>
      <w:sz w:val="20"/>
      <w:szCs w:val="20"/>
      <w:lang w:eastAsia="en-AU"/>
    </w:rPr>
    <w:tblPr>
      <w:tblStyleRowBandSize w:val="1"/>
      <w:tblStyleColBandSize w:val="1"/>
      <w:tblBorders>
        <w:top w:val="single" w:sz="4" w:space="0" w:color="FFE89C" w:themeColor="accent2" w:themeTint="66"/>
        <w:left w:val="single" w:sz="4" w:space="0" w:color="FFE89C" w:themeColor="accent2" w:themeTint="66"/>
        <w:bottom w:val="single" w:sz="4" w:space="0" w:color="FFE89C" w:themeColor="accent2" w:themeTint="66"/>
        <w:right w:val="single" w:sz="4" w:space="0" w:color="FFE89C" w:themeColor="accent2" w:themeTint="66"/>
        <w:insideH w:val="single" w:sz="4" w:space="0" w:color="FFE89C" w:themeColor="accent2" w:themeTint="66"/>
        <w:insideV w:val="single" w:sz="4" w:space="0" w:color="FFE89C" w:themeColor="accent2" w:themeTint="66"/>
      </w:tblBorders>
    </w:tblPr>
    <w:tblStylePr w:type="firstRow">
      <w:rPr>
        <w:b/>
        <w:bCs/>
      </w:rPr>
      <w:tblPr/>
      <w:tcPr>
        <w:tcBorders>
          <w:bottom w:val="single" w:sz="12" w:space="0" w:color="FFDC6B" w:themeColor="accent2" w:themeTint="99"/>
        </w:tcBorders>
      </w:tcPr>
    </w:tblStylePr>
    <w:tblStylePr w:type="lastRow">
      <w:rPr>
        <w:b/>
        <w:bCs/>
      </w:rPr>
      <w:tblPr/>
      <w:tcPr>
        <w:tcBorders>
          <w:top w:val="double" w:sz="2" w:space="0" w:color="FFDC6B"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B241C2"/>
    <w:pPr>
      <w:spacing w:after="0" w:line="240" w:lineRule="auto"/>
    </w:pPr>
    <w:rPr>
      <w:rFonts w:eastAsia="Times New Roman" w:cs="Times New Roman"/>
      <w:sz w:val="20"/>
      <w:szCs w:val="20"/>
      <w:lang w:eastAsia="en-AU"/>
    </w:rPr>
    <w:tblPr>
      <w:tblStyleRowBandSize w:val="1"/>
      <w:tblStyleColBandSize w:val="1"/>
      <w:tblBorders>
        <w:top w:val="single" w:sz="4" w:space="0" w:color="F498AD" w:themeColor="accent3" w:themeTint="66"/>
        <w:left w:val="single" w:sz="4" w:space="0" w:color="F498AD" w:themeColor="accent3" w:themeTint="66"/>
        <w:bottom w:val="single" w:sz="4" w:space="0" w:color="F498AD" w:themeColor="accent3" w:themeTint="66"/>
        <w:right w:val="single" w:sz="4" w:space="0" w:color="F498AD" w:themeColor="accent3" w:themeTint="66"/>
        <w:insideH w:val="single" w:sz="4" w:space="0" w:color="F498AD" w:themeColor="accent3" w:themeTint="66"/>
        <w:insideV w:val="single" w:sz="4" w:space="0" w:color="F498AD" w:themeColor="accent3" w:themeTint="66"/>
      </w:tblBorders>
    </w:tblPr>
    <w:tblStylePr w:type="firstRow">
      <w:rPr>
        <w:b/>
        <w:bCs/>
      </w:rPr>
      <w:tblPr/>
      <w:tcPr>
        <w:tcBorders>
          <w:bottom w:val="single" w:sz="12" w:space="0" w:color="EE6584" w:themeColor="accent3" w:themeTint="99"/>
        </w:tcBorders>
      </w:tcPr>
    </w:tblStylePr>
    <w:tblStylePr w:type="lastRow">
      <w:rPr>
        <w:b/>
        <w:bCs/>
      </w:rPr>
      <w:tblPr/>
      <w:tcPr>
        <w:tcBorders>
          <w:top w:val="double" w:sz="2" w:space="0" w:color="EE6584"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B241C2"/>
    <w:pPr>
      <w:spacing w:after="0" w:line="240" w:lineRule="auto"/>
    </w:pPr>
    <w:rPr>
      <w:rFonts w:eastAsia="Times New Roman" w:cs="Times New Roman"/>
      <w:sz w:val="20"/>
      <w:szCs w:val="20"/>
      <w:lang w:eastAsia="en-AU"/>
    </w:rPr>
    <w:tblPr>
      <w:tblStyleRowBandSize w:val="1"/>
      <w:tblStyleColBandSize w:val="1"/>
      <w:tblBorders>
        <w:top w:val="single" w:sz="4" w:space="0" w:color="CA95E1" w:themeColor="accent4" w:themeTint="66"/>
        <w:left w:val="single" w:sz="4" w:space="0" w:color="CA95E1" w:themeColor="accent4" w:themeTint="66"/>
        <w:bottom w:val="single" w:sz="4" w:space="0" w:color="CA95E1" w:themeColor="accent4" w:themeTint="66"/>
        <w:right w:val="single" w:sz="4" w:space="0" w:color="CA95E1" w:themeColor="accent4" w:themeTint="66"/>
        <w:insideH w:val="single" w:sz="4" w:space="0" w:color="CA95E1" w:themeColor="accent4" w:themeTint="66"/>
        <w:insideV w:val="single" w:sz="4" w:space="0" w:color="CA95E1" w:themeColor="accent4" w:themeTint="66"/>
      </w:tblBorders>
    </w:tblPr>
    <w:tblStylePr w:type="firstRow">
      <w:rPr>
        <w:b/>
        <w:bCs/>
      </w:rPr>
      <w:tblPr/>
      <w:tcPr>
        <w:tcBorders>
          <w:bottom w:val="single" w:sz="12" w:space="0" w:color="AF60D2" w:themeColor="accent4" w:themeTint="99"/>
        </w:tcBorders>
      </w:tcPr>
    </w:tblStylePr>
    <w:tblStylePr w:type="lastRow">
      <w:rPr>
        <w:b/>
        <w:bCs/>
      </w:rPr>
      <w:tblPr/>
      <w:tcPr>
        <w:tcBorders>
          <w:top w:val="double" w:sz="2" w:space="0" w:color="AF60D2"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B241C2"/>
    <w:pPr>
      <w:spacing w:after="0" w:line="240" w:lineRule="auto"/>
    </w:pPr>
    <w:rPr>
      <w:rFonts w:eastAsia="Times New Roman" w:cs="Times New Roman"/>
      <w:sz w:val="20"/>
      <w:szCs w:val="20"/>
      <w:lang w:eastAsia="en-AU"/>
    </w:rPr>
    <w:tblPr>
      <w:tblStyleRowBandSize w:val="1"/>
      <w:tblStyleColBandSize w:val="1"/>
      <w:tblBorders>
        <w:top w:val="single" w:sz="4" w:space="0" w:color="97EBB2" w:themeColor="accent5" w:themeTint="66"/>
        <w:left w:val="single" w:sz="4" w:space="0" w:color="97EBB2" w:themeColor="accent5" w:themeTint="66"/>
        <w:bottom w:val="single" w:sz="4" w:space="0" w:color="97EBB2" w:themeColor="accent5" w:themeTint="66"/>
        <w:right w:val="single" w:sz="4" w:space="0" w:color="97EBB2" w:themeColor="accent5" w:themeTint="66"/>
        <w:insideH w:val="single" w:sz="4" w:space="0" w:color="97EBB2" w:themeColor="accent5" w:themeTint="66"/>
        <w:insideV w:val="single" w:sz="4" w:space="0" w:color="97EBB2" w:themeColor="accent5" w:themeTint="66"/>
      </w:tblBorders>
    </w:tblPr>
    <w:tblStylePr w:type="firstRow">
      <w:rPr>
        <w:b/>
        <w:bCs/>
      </w:rPr>
      <w:tblPr/>
      <w:tcPr>
        <w:tcBorders>
          <w:bottom w:val="single" w:sz="12" w:space="0" w:color="63E18C" w:themeColor="accent5" w:themeTint="99"/>
        </w:tcBorders>
      </w:tcPr>
    </w:tblStylePr>
    <w:tblStylePr w:type="lastRow">
      <w:rPr>
        <w:b/>
        <w:bCs/>
      </w:rPr>
      <w:tblPr/>
      <w:tcPr>
        <w:tcBorders>
          <w:top w:val="double" w:sz="2" w:space="0" w:color="63E18C"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B241C2"/>
    <w:pPr>
      <w:spacing w:after="0" w:line="240" w:lineRule="auto"/>
    </w:pPr>
    <w:rPr>
      <w:rFonts w:eastAsia="Times New Roman" w:cs="Times New Roman"/>
      <w:sz w:val="20"/>
      <w:szCs w:val="20"/>
      <w:lang w:eastAsia="en-AU"/>
    </w:rPr>
    <w:tblPr>
      <w:tblStyleRowBandSize w:val="1"/>
      <w:tblStyleColBandSize w:val="1"/>
      <w:tblBorders>
        <w:top w:val="single" w:sz="4" w:space="0" w:color="7BD5FF" w:themeColor="accent6" w:themeTint="66"/>
        <w:left w:val="single" w:sz="4" w:space="0" w:color="7BD5FF" w:themeColor="accent6" w:themeTint="66"/>
        <w:bottom w:val="single" w:sz="4" w:space="0" w:color="7BD5FF" w:themeColor="accent6" w:themeTint="66"/>
        <w:right w:val="single" w:sz="4" w:space="0" w:color="7BD5FF" w:themeColor="accent6" w:themeTint="66"/>
        <w:insideH w:val="single" w:sz="4" w:space="0" w:color="7BD5FF" w:themeColor="accent6" w:themeTint="66"/>
        <w:insideV w:val="single" w:sz="4" w:space="0" w:color="7BD5FF" w:themeColor="accent6" w:themeTint="66"/>
      </w:tblBorders>
    </w:tblPr>
    <w:tblStylePr w:type="firstRow">
      <w:rPr>
        <w:b/>
        <w:bCs/>
      </w:rPr>
      <w:tblPr/>
      <w:tcPr>
        <w:tcBorders>
          <w:bottom w:val="single" w:sz="12" w:space="0" w:color="3AC1FF" w:themeColor="accent6" w:themeTint="99"/>
        </w:tcBorders>
      </w:tcPr>
    </w:tblStylePr>
    <w:tblStylePr w:type="lastRow">
      <w:rPr>
        <w:b/>
        <w:bCs/>
      </w:rPr>
      <w:tblPr/>
      <w:tcPr>
        <w:tcBorders>
          <w:top w:val="double" w:sz="2" w:space="0" w:color="3AC1FF"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B241C2"/>
    <w:pPr>
      <w:spacing w:after="0" w:line="240" w:lineRule="auto"/>
    </w:pPr>
    <w:rPr>
      <w:rFonts w:eastAsia="Times New Roman" w:cs="Times New Roman"/>
      <w:sz w:val="20"/>
      <w:szCs w:val="20"/>
      <w:lang w:eastAsia="en-AU"/>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B241C2"/>
    <w:pPr>
      <w:spacing w:after="0" w:line="240" w:lineRule="auto"/>
    </w:pPr>
    <w:rPr>
      <w:rFonts w:eastAsia="Times New Roman" w:cs="Times New Roman"/>
      <w:sz w:val="20"/>
      <w:szCs w:val="20"/>
      <w:lang w:eastAsia="en-AU"/>
    </w:rPr>
    <w:tblPr>
      <w:tblStyleRowBandSize w:val="1"/>
      <w:tblStyleColBandSize w:val="1"/>
      <w:tblBorders>
        <w:top w:val="single" w:sz="2" w:space="0" w:color="E6E7E6" w:themeColor="accent1" w:themeTint="99"/>
        <w:bottom w:val="single" w:sz="2" w:space="0" w:color="E6E7E6" w:themeColor="accent1" w:themeTint="99"/>
        <w:insideH w:val="single" w:sz="2" w:space="0" w:color="E6E7E6" w:themeColor="accent1" w:themeTint="99"/>
        <w:insideV w:val="single" w:sz="2" w:space="0" w:color="E6E7E6" w:themeColor="accent1" w:themeTint="99"/>
      </w:tblBorders>
    </w:tblPr>
    <w:tblStylePr w:type="firstRow">
      <w:rPr>
        <w:b/>
        <w:bCs/>
      </w:rPr>
      <w:tblPr/>
      <w:tcPr>
        <w:tcBorders>
          <w:top w:val="nil"/>
          <w:bottom w:val="single" w:sz="12" w:space="0" w:color="E6E7E6" w:themeColor="accent1" w:themeTint="99"/>
          <w:insideH w:val="nil"/>
          <w:insideV w:val="nil"/>
        </w:tcBorders>
        <w:shd w:val="clear" w:color="auto" w:fill="FFFFFF" w:themeFill="background1"/>
      </w:tcPr>
    </w:tblStylePr>
    <w:tblStylePr w:type="lastRow">
      <w:rPr>
        <w:b/>
        <w:bCs/>
      </w:rPr>
      <w:tblPr/>
      <w:tcPr>
        <w:tcBorders>
          <w:top w:val="double" w:sz="2" w:space="0" w:color="E6E7E6"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F7F6" w:themeFill="accent1" w:themeFillTint="33"/>
      </w:tcPr>
    </w:tblStylePr>
    <w:tblStylePr w:type="band1Horz">
      <w:tblPr/>
      <w:tcPr>
        <w:shd w:val="clear" w:color="auto" w:fill="F6F7F6" w:themeFill="accent1" w:themeFillTint="33"/>
      </w:tcPr>
    </w:tblStylePr>
  </w:style>
  <w:style w:type="table" w:styleId="GridTable2-Accent2">
    <w:name w:val="Grid Table 2 Accent 2"/>
    <w:basedOn w:val="TableNormal"/>
    <w:uiPriority w:val="47"/>
    <w:rsid w:val="00B241C2"/>
    <w:pPr>
      <w:spacing w:after="0" w:line="240" w:lineRule="auto"/>
    </w:pPr>
    <w:rPr>
      <w:rFonts w:eastAsia="Times New Roman" w:cs="Times New Roman"/>
      <w:sz w:val="20"/>
      <w:szCs w:val="20"/>
      <w:lang w:eastAsia="en-AU"/>
    </w:rPr>
    <w:tblPr>
      <w:tblStyleRowBandSize w:val="1"/>
      <w:tblStyleColBandSize w:val="1"/>
      <w:tblBorders>
        <w:top w:val="single" w:sz="2" w:space="0" w:color="FFDC6B" w:themeColor="accent2" w:themeTint="99"/>
        <w:bottom w:val="single" w:sz="2" w:space="0" w:color="FFDC6B" w:themeColor="accent2" w:themeTint="99"/>
        <w:insideH w:val="single" w:sz="2" w:space="0" w:color="FFDC6B" w:themeColor="accent2" w:themeTint="99"/>
        <w:insideV w:val="single" w:sz="2" w:space="0" w:color="FFDC6B" w:themeColor="accent2" w:themeTint="99"/>
      </w:tblBorders>
    </w:tblPr>
    <w:tblStylePr w:type="firstRow">
      <w:rPr>
        <w:b/>
        <w:bCs/>
      </w:rPr>
      <w:tblPr/>
      <w:tcPr>
        <w:tcBorders>
          <w:top w:val="nil"/>
          <w:bottom w:val="single" w:sz="12" w:space="0" w:color="FFDC6B" w:themeColor="accent2" w:themeTint="99"/>
          <w:insideH w:val="nil"/>
          <w:insideV w:val="nil"/>
        </w:tcBorders>
        <w:shd w:val="clear" w:color="auto" w:fill="FFFFFF" w:themeFill="background1"/>
      </w:tcPr>
    </w:tblStylePr>
    <w:tblStylePr w:type="lastRow">
      <w:rPr>
        <w:b/>
        <w:bCs/>
      </w:rPr>
      <w:tblPr/>
      <w:tcPr>
        <w:tcBorders>
          <w:top w:val="double" w:sz="2" w:space="0" w:color="FFDC6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3CD" w:themeFill="accent2" w:themeFillTint="33"/>
      </w:tcPr>
    </w:tblStylePr>
    <w:tblStylePr w:type="band1Horz">
      <w:tblPr/>
      <w:tcPr>
        <w:shd w:val="clear" w:color="auto" w:fill="FFF3CD" w:themeFill="accent2" w:themeFillTint="33"/>
      </w:tcPr>
    </w:tblStylePr>
  </w:style>
  <w:style w:type="table" w:styleId="GridTable2-Accent3">
    <w:name w:val="Grid Table 2 Accent 3"/>
    <w:basedOn w:val="TableNormal"/>
    <w:uiPriority w:val="47"/>
    <w:rsid w:val="00B241C2"/>
    <w:pPr>
      <w:spacing w:after="0" w:line="240" w:lineRule="auto"/>
    </w:pPr>
    <w:rPr>
      <w:rFonts w:eastAsia="Times New Roman" w:cs="Times New Roman"/>
      <w:sz w:val="20"/>
      <w:szCs w:val="20"/>
      <w:lang w:eastAsia="en-AU"/>
    </w:rPr>
    <w:tblPr>
      <w:tblStyleRowBandSize w:val="1"/>
      <w:tblStyleColBandSize w:val="1"/>
      <w:tblBorders>
        <w:top w:val="single" w:sz="2" w:space="0" w:color="EE6584" w:themeColor="accent3" w:themeTint="99"/>
        <w:bottom w:val="single" w:sz="2" w:space="0" w:color="EE6584" w:themeColor="accent3" w:themeTint="99"/>
        <w:insideH w:val="single" w:sz="2" w:space="0" w:color="EE6584" w:themeColor="accent3" w:themeTint="99"/>
        <w:insideV w:val="single" w:sz="2" w:space="0" w:color="EE6584" w:themeColor="accent3" w:themeTint="99"/>
      </w:tblBorders>
    </w:tblPr>
    <w:tblStylePr w:type="firstRow">
      <w:rPr>
        <w:b/>
        <w:bCs/>
      </w:rPr>
      <w:tblPr/>
      <w:tcPr>
        <w:tcBorders>
          <w:top w:val="nil"/>
          <w:bottom w:val="single" w:sz="12" w:space="0" w:color="EE6584" w:themeColor="accent3" w:themeTint="99"/>
          <w:insideH w:val="nil"/>
          <w:insideV w:val="nil"/>
        </w:tcBorders>
        <w:shd w:val="clear" w:color="auto" w:fill="FFFFFF" w:themeFill="background1"/>
      </w:tcPr>
    </w:tblStylePr>
    <w:tblStylePr w:type="lastRow">
      <w:rPr>
        <w:b/>
        <w:bCs/>
      </w:rPr>
      <w:tblPr/>
      <w:tcPr>
        <w:tcBorders>
          <w:top w:val="double" w:sz="2" w:space="0" w:color="EE658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CBD6" w:themeFill="accent3" w:themeFillTint="33"/>
      </w:tcPr>
    </w:tblStylePr>
    <w:tblStylePr w:type="band1Horz">
      <w:tblPr/>
      <w:tcPr>
        <w:shd w:val="clear" w:color="auto" w:fill="F9CBD6" w:themeFill="accent3" w:themeFillTint="33"/>
      </w:tcPr>
    </w:tblStylePr>
  </w:style>
  <w:style w:type="table" w:styleId="GridTable2-Accent4">
    <w:name w:val="Grid Table 2 Accent 4"/>
    <w:basedOn w:val="TableNormal"/>
    <w:uiPriority w:val="47"/>
    <w:rsid w:val="00B241C2"/>
    <w:pPr>
      <w:spacing w:after="0" w:line="240" w:lineRule="auto"/>
    </w:pPr>
    <w:rPr>
      <w:rFonts w:eastAsia="Times New Roman" w:cs="Times New Roman"/>
      <w:sz w:val="20"/>
      <w:szCs w:val="20"/>
      <w:lang w:eastAsia="en-AU"/>
    </w:rPr>
    <w:tblPr>
      <w:tblStyleRowBandSize w:val="1"/>
      <w:tblStyleColBandSize w:val="1"/>
      <w:tblBorders>
        <w:top w:val="single" w:sz="2" w:space="0" w:color="AF60D2" w:themeColor="accent4" w:themeTint="99"/>
        <w:bottom w:val="single" w:sz="2" w:space="0" w:color="AF60D2" w:themeColor="accent4" w:themeTint="99"/>
        <w:insideH w:val="single" w:sz="2" w:space="0" w:color="AF60D2" w:themeColor="accent4" w:themeTint="99"/>
        <w:insideV w:val="single" w:sz="2" w:space="0" w:color="AF60D2" w:themeColor="accent4" w:themeTint="99"/>
      </w:tblBorders>
    </w:tblPr>
    <w:tblStylePr w:type="firstRow">
      <w:rPr>
        <w:b/>
        <w:bCs/>
      </w:rPr>
      <w:tblPr/>
      <w:tcPr>
        <w:tcBorders>
          <w:top w:val="nil"/>
          <w:bottom w:val="single" w:sz="12" w:space="0" w:color="AF60D2" w:themeColor="accent4" w:themeTint="99"/>
          <w:insideH w:val="nil"/>
          <w:insideV w:val="nil"/>
        </w:tcBorders>
        <w:shd w:val="clear" w:color="auto" w:fill="FFFFFF" w:themeFill="background1"/>
      </w:tcPr>
    </w:tblStylePr>
    <w:tblStylePr w:type="lastRow">
      <w:rPr>
        <w:b/>
        <w:bCs/>
      </w:rPr>
      <w:tblPr/>
      <w:tcPr>
        <w:tcBorders>
          <w:top w:val="double" w:sz="2" w:space="0" w:color="AF60D2"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CAF0" w:themeFill="accent4" w:themeFillTint="33"/>
      </w:tcPr>
    </w:tblStylePr>
    <w:tblStylePr w:type="band1Horz">
      <w:tblPr/>
      <w:tcPr>
        <w:shd w:val="clear" w:color="auto" w:fill="E4CAF0" w:themeFill="accent4" w:themeFillTint="33"/>
      </w:tcPr>
    </w:tblStylePr>
  </w:style>
  <w:style w:type="table" w:styleId="GridTable2-Accent5">
    <w:name w:val="Grid Table 2 Accent 5"/>
    <w:basedOn w:val="TableNormal"/>
    <w:uiPriority w:val="47"/>
    <w:rsid w:val="00B241C2"/>
    <w:pPr>
      <w:spacing w:after="0" w:line="240" w:lineRule="auto"/>
    </w:pPr>
    <w:rPr>
      <w:rFonts w:eastAsia="Times New Roman" w:cs="Times New Roman"/>
      <w:sz w:val="20"/>
      <w:szCs w:val="20"/>
      <w:lang w:eastAsia="en-AU"/>
    </w:rPr>
    <w:tblPr>
      <w:tblStyleRowBandSize w:val="1"/>
      <w:tblStyleColBandSize w:val="1"/>
      <w:tblBorders>
        <w:top w:val="single" w:sz="2" w:space="0" w:color="63E18C" w:themeColor="accent5" w:themeTint="99"/>
        <w:bottom w:val="single" w:sz="2" w:space="0" w:color="63E18C" w:themeColor="accent5" w:themeTint="99"/>
        <w:insideH w:val="single" w:sz="2" w:space="0" w:color="63E18C" w:themeColor="accent5" w:themeTint="99"/>
        <w:insideV w:val="single" w:sz="2" w:space="0" w:color="63E18C" w:themeColor="accent5" w:themeTint="99"/>
      </w:tblBorders>
    </w:tblPr>
    <w:tblStylePr w:type="firstRow">
      <w:rPr>
        <w:b/>
        <w:bCs/>
      </w:rPr>
      <w:tblPr/>
      <w:tcPr>
        <w:tcBorders>
          <w:top w:val="nil"/>
          <w:bottom w:val="single" w:sz="12" w:space="0" w:color="63E18C" w:themeColor="accent5" w:themeTint="99"/>
          <w:insideH w:val="nil"/>
          <w:insideV w:val="nil"/>
        </w:tcBorders>
        <w:shd w:val="clear" w:color="auto" w:fill="FFFFFF" w:themeFill="background1"/>
      </w:tcPr>
    </w:tblStylePr>
    <w:tblStylePr w:type="lastRow">
      <w:rPr>
        <w:b/>
        <w:bCs/>
      </w:rPr>
      <w:tblPr/>
      <w:tcPr>
        <w:tcBorders>
          <w:top w:val="double" w:sz="2" w:space="0" w:color="63E18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BF5D8" w:themeFill="accent5" w:themeFillTint="33"/>
      </w:tcPr>
    </w:tblStylePr>
    <w:tblStylePr w:type="band1Horz">
      <w:tblPr/>
      <w:tcPr>
        <w:shd w:val="clear" w:color="auto" w:fill="CBF5D8" w:themeFill="accent5" w:themeFillTint="33"/>
      </w:tcPr>
    </w:tblStylePr>
  </w:style>
  <w:style w:type="table" w:styleId="GridTable2-Accent6">
    <w:name w:val="Grid Table 2 Accent 6"/>
    <w:basedOn w:val="TableNormal"/>
    <w:uiPriority w:val="47"/>
    <w:rsid w:val="00B241C2"/>
    <w:pPr>
      <w:spacing w:after="0" w:line="240" w:lineRule="auto"/>
    </w:pPr>
    <w:rPr>
      <w:rFonts w:eastAsia="Times New Roman" w:cs="Times New Roman"/>
      <w:sz w:val="20"/>
      <w:szCs w:val="20"/>
      <w:lang w:eastAsia="en-AU"/>
    </w:rPr>
    <w:tblPr>
      <w:tblStyleRowBandSize w:val="1"/>
      <w:tblStyleColBandSize w:val="1"/>
      <w:tblBorders>
        <w:top w:val="single" w:sz="2" w:space="0" w:color="3AC1FF" w:themeColor="accent6" w:themeTint="99"/>
        <w:bottom w:val="single" w:sz="2" w:space="0" w:color="3AC1FF" w:themeColor="accent6" w:themeTint="99"/>
        <w:insideH w:val="single" w:sz="2" w:space="0" w:color="3AC1FF" w:themeColor="accent6" w:themeTint="99"/>
        <w:insideV w:val="single" w:sz="2" w:space="0" w:color="3AC1FF" w:themeColor="accent6" w:themeTint="99"/>
      </w:tblBorders>
    </w:tblPr>
    <w:tblStylePr w:type="firstRow">
      <w:rPr>
        <w:b/>
        <w:bCs/>
      </w:rPr>
      <w:tblPr/>
      <w:tcPr>
        <w:tcBorders>
          <w:top w:val="nil"/>
          <w:bottom w:val="single" w:sz="12" w:space="0" w:color="3AC1FF" w:themeColor="accent6" w:themeTint="99"/>
          <w:insideH w:val="nil"/>
          <w:insideV w:val="nil"/>
        </w:tcBorders>
        <w:shd w:val="clear" w:color="auto" w:fill="FFFFFF" w:themeFill="background1"/>
      </w:tcPr>
    </w:tblStylePr>
    <w:tblStylePr w:type="lastRow">
      <w:rPr>
        <w:b/>
        <w:bCs/>
      </w:rPr>
      <w:tblPr/>
      <w:tcPr>
        <w:tcBorders>
          <w:top w:val="double" w:sz="2" w:space="0" w:color="3AC1F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DEAFF" w:themeFill="accent6" w:themeFillTint="33"/>
      </w:tcPr>
    </w:tblStylePr>
    <w:tblStylePr w:type="band1Horz">
      <w:tblPr/>
      <w:tcPr>
        <w:shd w:val="clear" w:color="auto" w:fill="BDEAFF" w:themeFill="accent6" w:themeFillTint="33"/>
      </w:tcPr>
    </w:tblStylePr>
  </w:style>
  <w:style w:type="table" w:styleId="GridTable3">
    <w:name w:val="Grid Table 3"/>
    <w:basedOn w:val="TableNormal"/>
    <w:uiPriority w:val="48"/>
    <w:rsid w:val="00B241C2"/>
    <w:pPr>
      <w:spacing w:after="0" w:line="240" w:lineRule="auto"/>
    </w:pPr>
    <w:rPr>
      <w:rFonts w:eastAsia="Times New Roman" w:cs="Times New Roman"/>
      <w:sz w:val="20"/>
      <w:szCs w:val="20"/>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B241C2"/>
    <w:pPr>
      <w:spacing w:after="0" w:line="240" w:lineRule="auto"/>
    </w:pPr>
    <w:rPr>
      <w:rFonts w:eastAsia="Times New Roman" w:cs="Times New Roman"/>
      <w:sz w:val="20"/>
      <w:szCs w:val="20"/>
      <w:lang w:eastAsia="en-AU"/>
    </w:rPr>
    <w:tblPr>
      <w:tblStyleRowBandSize w:val="1"/>
      <w:tblStyleColBandSize w:val="1"/>
      <w:tblBorders>
        <w:top w:val="single" w:sz="4" w:space="0" w:color="E6E7E6" w:themeColor="accent1" w:themeTint="99"/>
        <w:left w:val="single" w:sz="4" w:space="0" w:color="E6E7E6" w:themeColor="accent1" w:themeTint="99"/>
        <w:bottom w:val="single" w:sz="4" w:space="0" w:color="E6E7E6" w:themeColor="accent1" w:themeTint="99"/>
        <w:right w:val="single" w:sz="4" w:space="0" w:color="E6E7E6" w:themeColor="accent1" w:themeTint="99"/>
        <w:insideH w:val="single" w:sz="4" w:space="0" w:color="E6E7E6" w:themeColor="accent1" w:themeTint="99"/>
        <w:insideV w:val="single" w:sz="4" w:space="0" w:color="E6E7E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F7F6" w:themeFill="accent1" w:themeFillTint="33"/>
      </w:tcPr>
    </w:tblStylePr>
    <w:tblStylePr w:type="band1Horz">
      <w:tblPr/>
      <w:tcPr>
        <w:shd w:val="clear" w:color="auto" w:fill="F6F7F6" w:themeFill="accent1" w:themeFillTint="33"/>
      </w:tcPr>
    </w:tblStylePr>
    <w:tblStylePr w:type="neCell">
      <w:tblPr/>
      <w:tcPr>
        <w:tcBorders>
          <w:bottom w:val="single" w:sz="4" w:space="0" w:color="E6E7E6" w:themeColor="accent1" w:themeTint="99"/>
        </w:tcBorders>
      </w:tcPr>
    </w:tblStylePr>
    <w:tblStylePr w:type="nwCell">
      <w:tblPr/>
      <w:tcPr>
        <w:tcBorders>
          <w:bottom w:val="single" w:sz="4" w:space="0" w:color="E6E7E6" w:themeColor="accent1" w:themeTint="99"/>
        </w:tcBorders>
      </w:tcPr>
    </w:tblStylePr>
    <w:tblStylePr w:type="seCell">
      <w:tblPr/>
      <w:tcPr>
        <w:tcBorders>
          <w:top w:val="single" w:sz="4" w:space="0" w:color="E6E7E6" w:themeColor="accent1" w:themeTint="99"/>
        </w:tcBorders>
      </w:tcPr>
    </w:tblStylePr>
    <w:tblStylePr w:type="swCell">
      <w:tblPr/>
      <w:tcPr>
        <w:tcBorders>
          <w:top w:val="single" w:sz="4" w:space="0" w:color="E6E7E6" w:themeColor="accent1" w:themeTint="99"/>
        </w:tcBorders>
      </w:tcPr>
    </w:tblStylePr>
  </w:style>
  <w:style w:type="table" w:styleId="GridTable3-Accent2">
    <w:name w:val="Grid Table 3 Accent 2"/>
    <w:basedOn w:val="TableNormal"/>
    <w:uiPriority w:val="48"/>
    <w:rsid w:val="00B241C2"/>
    <w:pPr>
      <w:spacing w:after="0" w:line="240" w:lineRule="auto"/>
    </w:pPr>
    <w:rPr>
      <w:rFonts w:eastAsia="Times New Roman" w:cs="Times New Roman"/>
      <w:sz w:val="20"/>
      <w:szCs w:val="20"/>
      <w:lang w:eastAsia="en-AU"/>
    </w:rPr>
    <w:tblPr>
      <w:tblStyleRowBandSize w:val="1"/>
      <w:tblStyleColBandSize w:val="1"/>
      <w:tblBorders>
        <w:top w:val="single" w:sz="4" w:space="0" w:color="FFDC6B" w:themeColor="accent2" w:themeTint="99"/>
        <w:left w:val="single" w:sz="4" w:space="0" w:color="FFDC6B" w:themeColor="accent2" w:themeTint="99"/>
        <w:bottom w:val="single" w:sz="4" w:space="0" w:color="FFDC6B" w:themeColor="accent2" w:themeTint="99"/>
        <w:right w:val="single" w:sz="4" w:space="0" w:color="FFDC6B" w:themeColor="accent2" w:themeTint="99"/>
        <w:insideH w:val="single" w:sz="4" w:space="0" w:color="FFDC6B" w:themeColor="accent2" w:themeTint="99"/>
        <w:insideV w:val="single" w:sz="4" w:space="0" w:color="FFDC6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3CD" w:themeFill="accent2" w:themeFillTint="33"/>
      </w:tcPr>
    </w:tblStylePr>
    <w:tblStylePr w:type="band1Horz">
      <w:tblPr/>
      <w:tcPr>
        <w:shd w:val="clear" w:color="auto" w:fill="FFF3CD" w:themeFill="accent2" w:themeFillTint="33"/>
      </w:tcPr>
    </w:tblStylePr>
    <w:tblStylePr w:type="neCell">
      <w:tblPr/>
      <w:tcPr>
        <w:tcBorders>
          <w:bottom w:val="single" w:sz="4" w:space="0" w:color="FFDC6B" w:themeColor="accent2" w:themeTint="99"/>
        </w:tcBorders>
      </w:tcPr>
    </w:tblStylePr>
    <w:tblStylePr w:type="nwCell">
      <w:tblPr/>
      <w:tcPr>
        <w:tcBorders>
          <w:bottom w:val="single" w:sz="4" w:space="0" w:color="FFDC6B" w:themeColor="accent2" w:themeTint="99"/>
        </w:tcBorders>
      </w:tcPr>
    </w:tblStylePr>
    <w:tblStylePr w:type="seCell">
      <w:tblPr/>
      <w:tcPr>
        <w:tcBorders>
          <w:top w:val="single" w:sz="4" w:space="0" w:color="FFDC6B" w:themeColor="accent2" w:themeTint="99"/>
        </w:tcBorders>
      </w:tcPr>
    </w:tblStylePr>
    <w:tblStylePr w:type="swCell">
      <w:tblPr/>
      <w:tcPr>
        <w:tcBorders>
          <w:top w:val="single" w:sz="4" w:space="0" w:color="FFDC6B" w:themeColor="accent2" w:themeTint="99"/>
        </w:tcBorders>
      </w:tcPr>
    </w:tblStylePr>
  </w:style>
  <w:style w:type="table" w:styleId="GridTable3-Accent3">
    <w:name w:val="Grid Table 3 Accent 3"/>
    <w:basedOn w:val="TableNormal"/>
    <w:uiPriority w:val="48"/>
    <w:rsid w:val="00B241C2"/>
    <w:pPr>
      <w:spacing w:after="0" w:line="240" w:lineRule="auto"/>
    </w:pPr>
    <w:rPr>
      <w:rFonts w:eastAsia="Times New Roman" w:cs="Times New Roman"/>
      <w:sz w:val="20"/>
      <w:szCs w:val="20"/>
      <w:lang w:eastAsia="en-AU"/>
    </w:rPr>
    <w:tblPr>
      <w:tblStyleRowBandSize w:val="1"/>
      <w:tblStyleColBandSize w:val="1"/>
      <w:tblBorders>
        <w:top w:val="single" w:sz="4" w:space="0" w:color="EE6584" w:themeColor="accent3" w:themeTint="99"/>
        <w:left w:val="single" w:sz="4" w:space="0" w:color="EE6584" w:themeColor="accent3" w:themeTint="99"/>
        <w:bottom w:val="single" w:sz="4" w:space="0" w:color="EE6584" w:themeColor="accent3" w:themeTint="99"/>
        <w:right w:val="single" w:sz="4" w:space="0" w:color="EE6584" w:themeColor="accent3" w:themeTint="99"/>
        <w:insideH w:val="single" w:sz="4" w:space="0" w:color="EE6584" w:themeColor="accent3" w:themeTint="99"/>
        <w:insideV w:val="single" w:sz="4" w:space="0" w:color="EE658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CBD6" w:themeFill="accent3" w:themeFillTint="33"/>
      </w:tcPr>
    </w:tblStylePr>
    <w:tblStylePr w:type="band1Horz">
      <w:tblPr/>
      <w:tcPr>
        <w:shd w:val="clear" w:color="auto" w:fill="F9CBD6" w:themeFill="accent3" w:themeFillTint="33"/>
      </w:tcPr>
    </w:tblStylePr>
    <w:tblStylePr w:type="neCell">
      <w:tblPr/>
      <w:tcPr>
        <w:tcBorders>
          <w:bottom w:val="single" w:sz="4" w:space="0" w:color="EE6584" w:themeColor="accent3" w:themeTint="99"/>
        </w:tcBorders>
      </w:tcPr>
    </w:tblStylePr>
    <w:tblStylePr w:type="nwCell">
      <w:tblPr/>
      <w:tcPr>
        <w:tcBorders>
          <w:bottom w:val="single" w:sz="4" w:space="0" w:color="EE6584" w:themeColor="accent3" w:themeTint="99"/>
        </w:tcBorders>
      </w:tcPr>
    </w:tblStylePr>
    <w:tblStylePr w:type="seCell">
      <w:tblPr/>
      <w:tcPr>
        <w:tcBorders>
          <w:top w:val="single" w:sz="4" w:space="0" w:color="EE6584" w:themeColor="accent3" w:themeTint="99"/>
        </w:tcBorders>
      </w:tcPr>
    </w:tblStylePr>
    <w:tblStylePr w:type="swCell">
      <w:tblPr/>
      <w:tcPr>
        <w:tcBorders>
          <w:top w:val="single" w:sz="4" w:space="0" w:color="EE6584" w:themeColor="accent3" w:themeTint="99"/>
        </w:tcBorders>
      </w:tcPr>
    </w:tblStylePr>
  </w:style>
  <w:style w:type="table" w:styleId="GridTable3-Accent4">
    <w:name w:val="Grid Table 3 Accent 4"/>
    <w:basedOn w:val="TableNormal"/>
    <w:uiPriority w:val="48"/>
    <w:rsid w:val="00B241C2"/>
    <w:pPr>
      <w:spacing w:after="0" w:line="240" w:lineRule="auto"/>
    </w:pPr>
    <w:rPr>
      <w:rFonts w:eastAsia="Times New Roman" w:cs="Times New Roman"/>
      <w:sz w:val="20"/>
      <w:szCs w:val="20"/>
      <w:lang w:eastAsia="en-AU"/>
    </w:rPr>
    <w:tblPr>
      <w:tblStyleRowBandSize w:val="1"/>
      <w:tblStyleColBandSize w:val="1"/>
      <w:tblBorders>
        <w:top w:val="single" w:sz="4" w:space="0" w:color="AF60D2" w:themeColor="accent4" w:themeTint="99"/>
        <w:left w:val="single" w:sz="4" w:space="0" w:color="AF60D2" w:themeColor="accent4" w:themeTint="99"/>
        <w:bottom w:val="single" w:sz="4" w:space="0" w:color="AF60D2" w:themeColor="accent4" w:themeTint="99"/>
        <w:right w:val="single" w:sz="4" w:space="0" w:color="AF60D2" w:themeColor="accent4" w:themeTint="99"/>
        <w:insideH w:val="single" w:sz="4" w:space="0" w:color="AF60D2" w:themeColor="accent4" w:themeTint="99"/>
        <w:insideV w:val="single" w:sz="4" w:space="0" w:color="AF60D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CAF0" w:themeFill="accent4" w:themeFillTint="33"/>
      </w:tcPr>
    </w:tblStylePr>
    <w:tblStylePr w:type="band1Horz">
      <w:tblPr/>
      <w:tcPr>
        <w:shd w:val="clear" w:color="auto" w:fill="E4CAF0" w:themeFill="accent4" w:themeFillTint="33"/>
      </w:tcPr>
    </w:tblStylePr>
    <w:tblStylePr w:type="neCell">
      <w:tblPr/>
      <w:tcPr>
        <w:tcBorders>
          <w:bottom w:val="single" w:sz="4" w:space="0" w:color="AF60D2" w:themeColor="accent4" w:themeTint="99"/>
        </w:tcBorders>
      </w:tcPr>
    </w:tblStylePr>
    <w:tblStylePr w:type="nwCell">
      <w:tblPr/>
      <w:tcPr>
        <w:tcBorders>
          <w:bottom w:val="single" w:sz="4" w:space="0" w:color="AF60D2" w:themeColor="accent4" w:themeTint="99"/>
        </w:tcBorders>
      </w:tcPr>
    </w:tblStylePr>
    <w:tblStylePr w:type="seCell">
      <w:tblPr/>
      <w:tcPr>
        <w:tcBorders>
          <w:top w:val="single" w:sz="4" w:space="0" w:color="AF60D2" w:themeColor="accent4" w:themeTint="99"/>
        </w:tcBorders>
      </w:tcPr>
    </w:tblStylePr>
    <w:tblStylePr w:type="swCell">
      <w:tblPr/>
      <w:tcPr>
        <w:tcBorders>
          <w:top w:val="single" w:sz="4" w:space="0" w:color="AF60D2" w:themeColor="accent4" w:themeTint="99"/>
        </w:tcBorders>
      </w:tcPr>
    </w:tblStylePr>
  </w:style>
  <w:style w:type="table" w:styleId="GridTable3-Accent5">
    <w:name w:val="Grid Table 3 Accent 5"/>
    <w:basedOn w:val="TableNormal"/>
    <w:uiPriority w:val="48"/>
    <w:rsid w:val="00B241C2"/>
    <w:pPr>
      <w:spacing w:after="0" w:line="240" w:lineRule="auto"/>
    </w:pPr>
    <w:rPr>
      <w:rFonts w:eastAsia="Times New Roman" w:cs="Times New Roman"/>
      <w:sz w:val="20"/>
      <w:szCs w:val="20"/>
      <w:lang w:eastAsia="en-AU"/>
    </w:rPr>
    <w:tblPr>
      <w:tblStyleRowBandSize w:val="1"/>
      <w:tblStyleColBandSize w:val="1"/>
      <w:tblBorders>
        <w:top w:val="single" w:sz="4" w:space="0" w:color="63E18C" w:themeColor="accent5" w:themeTint="99"/>
        <w:left w:val="single" w:sz="4" w:space="0" w:color="63E18C" w:themeColor="accent5" w:themeTint="99"/>
        <w:bottom w:val="single" w:sz="4" w:space="0" w:color="63E18C" w:themeColor="accent5" w:themeTint="99"/>
        <w:right w:val="single" w:sz="4" w:space="0" w:color="63E18C" w:themeColor="accent5" w:themeTint="99"/>
        <w:insideH w:val="single" w:sz="4" w:space="0" w:color="63E18C" w:themeColor="accent5" w:themeTint="99"/>
        <w:insideV w:val="single" w:sz="4" w:space="0" w:color="63E18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BF5D8" w:themeFill="accent5" w:themeFillTint="33"/>
      </w:tcPr>
    </w:tblStylePr>
    <w:tblStylePr w:type="band1Horz">
      <w:tblPr/>
      <w:tcPr>
        <w:shd w:val="clear" w:color="auto" w:fill="CBF5D8" w:themeFill="accent5" w:themeFillTint="33"/>
      </w:tcPr>
    </w:tblStylePr>
    <w:tblStylePr w:type="neCell">
      <w:tblPr/>
      <w:tcPr>
        <w:tcBorders>
          <w:bottom w:val="single" w:sz="4" w:space="0" w:color="63E18C" w:themeColor="accent5" w:themeTint="99"/>
        </w:tcBorders>
      </w:tcPr>
    </w:tblStylePr>
    <w:tblStylePr w:type="nwCell">
      <w:tblPr/>
      <w:tcPr>
        <w:tcBorders>
          <w:bottom w:val="single" w:sz="4" w:space="0" w:color="63E18C" w:themeColor="accent5" w:themeTint="99"/>
        </w:tcBorders>
      </w:tcPr>
    </w:tblStylePr>
    <w:tblStylePr w:type="seCell">
      <w:tblPr/>
      <w:tcPr>
        <w:tcBorders>
          <w:top w:val="single" w:sz="4" w:space="0" w:color="63E18C" w:themeColor="accent5" w:themeTint="99"/>
        </w:tcBorders>
      </w:tcPr>
    </w:tblStylePr>
    <w:tblStylePr w:type="swCell">
      <w:tblPr/>
      <w:tcPr>
        <w:tcBorders>
          <w:top w:val="single" w:sz="4" w:space="0" w:color="63E18C" w:themeColor="accent5" w:themeTint="99"/>
        </w:tcBorders>
      </w:tcPr>
    </w:tblStylePr>
  </w:style>
  <w:style w:type="table" w:styleId="GridTable3-Accent6">
    <w:name w:val="Grid Table 3 Accent 6"/>
    <w:basedOn w:val="TableNormal"/>
    <w:uiPriority w:val="48"/>
    <w:rsid w:val="00B241C2"/>
    <w:pPr>
      <w:spacing w:after="0" w:line="240" w:lineRule="auto"/>
    </w:pPr>
    <w:rPr>
      <w:rFonts w:eastAsia="Times New Roman" w:cs="Times New Roman"/>
      <w:sz w:val="20"/>
      <w:szCs w:val="20"/>
      <w:lang w:eastAsia="en-AU"/>
    </w:rPr>
    <w:tblPr>
      <w:tblStyleRowBandSize w:val="1"/>
      <w:tblStyleColBandSize w:val="1"/>
      <w:tblBorders>
        <w:top w:val="single" w:sz="4" w:space="0" w:color="3AC1FF" w:themeColor="accent6" w:themeTint="99"/>
        <w:left w:val="single" w:sz="4" w:space="0" w:color="3AC1FF" w:themeColor="accent6" w:themeTint="99"/>
        <w:bottom w:val="single" w:sz="4" w:space="0" w:color="3AC1FF" w:themeColor="accent6" w:themeTint="99"/>
        <w:right w:val="single" w:sz="4" w:space="0" w:color="3AC1FF" w:themeColor="accent6" w:themeTint="99"/>
        <w:insideH w:val="single" w:sz="4" w:space="0" w:color="3AC1FF" w:themeColor="accent6" w:themeTint="99"/>
        <w:insideV w:val="single" w:sz="4" w:space="0" w:color="3AC1F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DEAFF" w:themeFill="accent6" w:themeFillTint="33"/>
      </w:tcPr>
    </w:tblStylePr>
    <w:tblStylePr w:type="band1Horz">
      <w:tblPr/>
      <w:tcPr>
        <w:shd w:val="clear" w:color="auto" w:fill="BDEAFF" w:themeFill="accent6" w:themeFillTint="33"/>
      </w:tcPr>
    </w:tblStylePr>
    <w:tblStylePr w:type="neCell">
      <w:tblPr/>
      <w:tcPr>
        <w:tcBorders>
          <w:bottom w:val="single" w:sz="4" w:space="0" w:color="3AC1FF" w:themeColor="accent6" w:themeTint="99"/>
        </w:tcBorders>
      </w:tcPr>
    </w:tblStylePr>
    <w:tblStylePr w:type="nwCell">
      <w:tblPr/>
      <w:tcPr>
        <w:tcBorders>
          <w:bottom w:val="single" w:sz="4" w:space="0" w:color="3AC1FF" w:themeColor="accent6" w:themeTint="99"/>
        </w:tcBorders>
      </w:tcPr>
    </w:tblStylePr>
    <w:tblStylePr w:type="seCell">
      <w:tblPr/>
      <w:tcPr>
        <w:tcBorders>
          <w:top w:val="single" w:sz="4" w:space="0" w:color="3AC1FF" w:themeColor="accent6" w:themeTint="99"/>
        </w:tcBorders>
      </w:tcPr>
    </w:tblStylePr>
    <w:tblStylePr w:type="swCell">
      <w:tblPr/>
      <w:tcPr>
        <w:tcBorders>
          <w:top w:val="single" w:sz="4" w:space="0" w:color="3AC1FF" w:themeColor="accent6" w:themeTint="99"/>
        </w:tcBorders>
      </w:tcPr>
    </w:tblStylePr>
  </w:style>
  <w:style w:type="table" w:styleId="GridTable4">
    <w:name w:val="Grid Table 4"/>
    <w:basedOn w:val="TableNormal"/>
    <w:uiPriority w:val="49"/>
    <w:rsid w:val="00B241C2"/>
    <w:pPr>
      <w:spacing w:after="0" w:line="240" w:lineRule="auto"/>
    </w:pPr>
    <w:rPr>
      <w:rFonts w:eastAsia="Times New Roman" w:cs="Times New Roman"/>
      <w:sz w:val="20"/>
      <w:szCs w:val="20"/>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B241C2"/>
    <w:pPr>
      <w:spacing w:after="0" w:line="240" w:lineRule="auto"/>
    </w:pPr>
    <w:rPr>
      <w:rFonts w:eastAsia="Times New Roman" w:cs="Times New Roman"/>
      <w:sz w:val="20"/>
      <w:szCs w:val="20"/>
      <w:lang w:eastAsia="en-AU"/>
    </w:rPr>
    <w:tblPr>
      <w:tblStyleRowBandSize w:val="1"/>
      <w:tblStyleColBandSize w:val="1"/>
      <w:tblBorders>
        <w:top w:val="single" w:sz="4" w:space="0" w:color="E6E7E6" w:themeColor="accent1" w:themeTint="99"/>
        <w:left w:val="single" w:sz="4" w:space="0" w:color="E6E7E6" w:themeColor="accent1" w:themeTint="99"/>
        <w:bottom w:val="single" w:sz="4" w:space="0" w:color="E6E7E6" w:themeColor="accent1" w:themeTint="99"/>
        <w:right w:val="single" w:sz="4" w:space="0" w:color="E6E7E6" w:themeColor="accent1" w:themeTint="99"/>
        <w:insideH w:val="single" w:sz="4" w:space="0" w:color="E6E7E6" w:themeColor="accent1" w:themeTint="99"/>
        <w:insideV w:val="single" w:sz="4" w:space="0" w:color="E6E7E6" w:themeColor="accent1" w:themeTint="99"/>
      </w:tblBorders>
    </w:tblPr>
    <w:tblStylePr w:type="firstRow">
      <w:rPr>
        <w:b/>
        <w:bCs/>
        <w:color w:val="FFFFFF" w:themeColor="background1"/>
      </w:rPr>
      <w:tblPr/>
      <w:tcPr>
        <w:tcBorders>
          <w:top w:val="single" w:sz="4" w:space="0" w:color="D7D8D6" w:themeColor="accent1"/>
          <w:left w:val="single" w:sz="4" w:space="0" w:color="D7D8D6" w:themeColor="accent1"/>
          <w:bottom w:val="single" w:sz="4" w:space="0" w:color="D7D8D6" w:themeColor="accent1"/>
          <w:right w:val="single" w:sz="4" w:space="0" w:color="D7D8D6" w:themeColor="accent1"/>
          <w:insideH w:val="nil"/>
          <w:insideV w:val="nil"/>
        </w:tcBorders>
        <w:shd w:val="clear" w:color="auto" w:fill="D7D8D6" w:themeFill="accent1"/>
      </w:tcPr>
    </w:tblStylePr>
    <w:tblStylePr w:type="lastRow">
      <w:rPr>
        <w:b/>
        <w:bCs/>
      </w:rPr>
      <w:tblPr/>
      <w:tcPr>
        <w:tcBorders>
          <w:top w:val="double" w:sz="4" w:space="0" w:color="D7D8D6" w:themeColor="accent1"/>
        </w:tcBorders>
      </w:tcPr>
    </w:tblStylePr>
    <w:tblStylePr w:type="firstCol">
      <w:rPr>
        <w:b/>
        <w:bCs/>
      </w:rPr>
    </w:tblStylePr>
    <w:tblStylePr w:type="lastCol">
      <w:rPr>
        <w:b/>
        <w:bCs/>
      </w:rPr>
    </w:tblStylePr>
    <w:tblStylePr w:type="band1Vert">
      <w:tblPr/>
      <w:tcPr>
        <w:shd w:val="clear" w:color="auto" w:fill="F6F7F6" w:themeFill="accent1" w:themeFillTint="33"/>
      </w:tcPr>
    </w:tblStylePr>
    <w:tblStylePr w:type="band1Horz">
      <w:tblPr/>
      <w:tcPr>
        <w:shd w:val="clear" w:color="auto" w:fill="F6F7F6" w:themeFill="accent1" w:themeFillTint="33"/>
      </w:tcPr>
    </w:tblStylePr>
  </w:style>
  <w:style w:type="table" w:styleId="GridTable4-Accent2">
    <w:name w:val="Grid Table 4 Accent 2"/>
    <w:basedOn w:val="TableNormal"/>
    <w:uiPriority w:val="49"/>
    <w:rsid w:val="00B241C2"/>
    <w:pPr>
      <w:spacing w:after="0" w:line="240" w:lineRule="auto"/>
    </w:pPr>
    <w:rPr>
      <w:rFonts w:eastAsia="Times New Roman" w:cs="Times New Roman"/>
      <w:sz w:val="20"/>
      <w:szCs w:val="20"/>
      <w:lang w:eastAsia="en-AU"/>
    </w:rPr>
    <w:tblPr>
      <w:tblStyleRowBandSize w:val="1"/>
      <w:tblStyleColBandSize w:val="1"/>
      <w:tblBorders>
        <w:top w:val="single" w:sz="4" w:space="0" w:color="FFDC6B" w:themeColor="accent2" w:themeTint="99"/>
        <w:left w:val="single" w:sz="4" w:space="0" w:color="FFDC6B" w:themeColor="accent2" w:themeTint="99"/>
        <w:bottom w:val="single" w:sz="4" w:space="0" w:color="FFDC6B" w:themeColor="accent2" w:themeTint="99"/>
        <w:right w:val="single" w:sz="4" w:space="0" w:color="FFDC6B" w:themeColor="accent2" w:themeTint="99"/>
        <w:insideH w:val="single" w:sz="4" w:space="0" w:color="FFDC6B" w:themeColor="accent2" w:themeTint="99"/>
        <w:insideV w:val="single" w:sz="4" w:space="0" w:color="FFDC6B" w:themeColor="accent2" w:themeTint="99"/>
      </w:tblBorders>
    </w:tblPr>
    <w:tblStylePr w:type="firstRow">
      <w:rPr>
        <w:b/>
        <w:bCs/>
        <w:color w:val="FFFFFF" w:themeColor="background1"/>
      </w:rPr>
      <w:tblPr/>
      <w:tcPr>
        <w:tcBorders>
          <w:top w:val="single" w:sz="4" w:space="0" w:color="FFC709" w:themeColor="accent2"/>
          <w:left w:val="single" w:sz="4" w:space="0" w:color="FFC709" w:themeColor="accent2"/>
          <w:bottom w:val="single" w:sz="4" w:space="0" w:color="FFC709" w:themeColor="accent2"/>
          <w:right w:val="single" w:sz="4" w:space="0" w:color="FFC709" w:themeColor="accent2"/>
          <w:insideH w:val="nil"/>
          <w:insideV w:val="nil"/>
        </w:tcBorders>
        <w:shd w:val="clear" w:color="auto" w:fill="FFC709" w:themeFill="accent2"/>
      </w:tcPr>
    </w:tblStylePr>
    <w:tblStylePr w:type="lastRow">
      <w:rPr>
        <w:b/>
        <w:bCs/>
      </w:rPr>
      <w:tblPr/>
      <w:tcPr>
        <w:tcBorders>
          <w:top w:val="double" w:sz="4" w:space="0" w:color="FFC709" w:themeColor="accent2"/>
        </w:tcBorders>
      </w:tcPr>
    </w:tblStylePr>
    <w:tblStylePr w:type="firstCol">
      <w:rPr>
        <w:b/>
        <w:bCs/>
      </w:rPr>
    </w:tblStylePr>
    <w:tblStylePr w:type="lastCol">
      <w:rPr>
        <w:b/>
        <w:bCs/>
      </w:rPr>
    </w:tblStylePr>
    <w:tblStylePr w:type="band1Vert">
      <w:tblPr/>
      <w:tcPr>
        <w:shd w:val="clear" w:color="auto" w:fill="FFF3CD" w:themeFill="accent2" w:themeFillTint="33"/>
      </w:tcPr>
    </w:tblStylePr>
    <w:tblStylePr w:type="band1Horz">
      <w:tblPr/>
      <w:tcPr>
        <w:shd w:val="clear" w:color="auto" w:fill="FFF3CD" w:themeFill="accent2" w:themeFillTint="33"/>
      </w:tcPr>
    </w:tblStylePr>
  </w:style>
  <w:style w:type="table" w:styleId="GridTable4-Accent3">
    <w:name w:val="Grid Table 4 Accent 3"/>
    <w:basedOn w:val="TableNormal"/>
    <w:uiPriority w:val="49"/>
    <w:rsid w:val="00B241C2"/>
    <w:pPr>
      <w:spacing w:after="0" w:line="240" w:lineRule="auto"/>
    </w:pPr>
    <w:rPr>
      <w:rFonts w:eastAsia="Times New Roman" w:cs="Times New Roman"/>
      <w:sz w:val="20"/>
      <w:szCs w:val="20"/>
      <w:lang w:eastAsia="en-AU"/>
    </w:rPr>
    <w:tblPr>
      <w:tblStyleRowBandSize w:val="1"/>
      <w:tblStyleColBandSize w:val="1"/>
      <w:tblBorders>
        <w:top w:val="single" w:sz="4" w:space="0" w:color="EE6584" w:themeColor="accent3" w:themeTint="99"/>
        <w:left w:val="single" w:sz="4" w:space="0" w:color="EE6584" w:themeColor="accent3" w:themeTint="99"/>
        <w:bottom w:val="single" w:sz="4" w:space="0" w:color="EE6584" w:themeColor="accent3" w:themeTint="99"/>
        <w:right w:val="single" w:sz="4" w:space="0" w:color="EE6584" w:themeColor="accent3" w:themeTint="99"/>
        <w:insideH w:val="single" w:sz="4" w:space="0" w:color="EE6584" w:themeColor="accent3" w:themeTint="99"/>
        <w:insideV w:val="single" w:sz="4" w:space="0" w:color="EE6584" w:themeColor="accent3" w:themeTint="99"/>
      </w:tblBorders>
    </w:tblPr>
    <w:tblStylePr w:type="firstRow">
      <w:rPr>
        <w:b/>
        <w:bCs/>
        <w:color w:val="FFFFFF" w:themeColor="background1"/>
      </w:rPr>
      <w:tblPr/>
      <w:tcPr>
        <w:tcBorders>
          <w:top w:val="single" w:sz="4" w:space="0" w:color="CD163F" w:themeColor="accent3"/>
          <w:left w:val="single" w:sz="4" w:space="0" w:color="CD163F" w:themeColor="accent3"/>
          <w:bottom w:val="single" w:sz="4" w:space="0" w:color="CD163F" w:themeColor="accent3"/>
          <w:right w:val="single" w:sz="4" w:space="0" w:color="CD163F" w:themeColor="accent3"/>
          <w:insideH w:val="nil"/>
          <w:insideV w:val="nil"/>
        </w:tcBorders>
        <w:shd w:val="clear" w:color="auto" w:fill="CD163F" w:themeFill="accent3"/>
      </w:tcPr>
    </w:tblStylePr>
    <w:tblStylePr w:type="lastRow">
      <w:rPr>
        <w:b/>
        <w:bCs/>
      </w:rPr>
      <w:tblPr/>
      <w:tcPr>
        <w:tcBorders>
          <w:top w:val="double" w:sz="4" w:space="0" w:color="CD163F" w:themeColor="accent3"/>
        </w:tcBorders>
      </w:tcPr>
    </w:tblStylePr>
    <w:tblStylePr w:type="firstCol">
      <w:rPr>
        <w:b/>
        <w:bCs/>
      </w:rPr>
    </w:tblStylePr>
    <w:tblStylePr w:type="lastCol">
      <w:rPr>
        <w:b/>
        <w:bCs/>
      </w:rPr>
    </w:tblStylePr>
    <w:tblStylePr w:type="band1Vert">
      <w:tblPr/>
      <w:tcPr>
        <w:shd w:val="clear" w:color="auto" w:fill="F9CBD6" w:themeFill="accent3" w:themeFillTint="33"/>
      </w:tcPr>
    </w:tblStylePr>
    <w:tblStylePr w:type="band1Horz">
      <w:tblPr/>
      <w:tcPr>
        <w:shd w:val="clear" w:color="auto" w:fill="F9CBD6" w:themeFill="accent3" w:themeFillTint="33"/>
      </w:tcPr>
    </w:tblStylePr>
  </w:style>
  <w:style w:type="table" w:styleId="GridTable4-Accent4">
    <w:name w:val="Grid Table 4 Accent 4"/>
    <w:basedOn w:val="TableNormal"/>
    <w:uiPriority w:val="49"/>
    <w:rsid w:val="00B241C2"/>
    <w:pPr>
      <w:spacing w:after="0" w:line="240" w:lineRule="auto"/>
    </w:pPr>
    <w:rPr>
      <w:rFonts w:eastAsia="Times New Roman" w:cs="Times New Roman"/>
      <w:sz w:val="20"/>
      <w:szCs w:val="20"/>
      <w:lang w:eastAsia="en-AU"/>
    </w:rPr>
    <w:tblPr>
      <w:tblStyleRowBandSize w:val="1"/>
      <w:tblStyleColBandSize w:val="1"/>
      <w:tblBorders>
        <w:top w:val="single" w:sz="4" w:space="0" w:color="AF60D2" w:themeColor="accent4" w:themeTint="99"/>
        <w:left w:val="single" w:sz="4" w:space="0" w:color="AF60D2" w:themeColor="accent4" w:themeTint="99"/>
        <w:bottom w:val="single" w:sz="4" w:space="0" w:color="AF60D2" w:themeColor="accent4" w:themeTint="99"/>
        <w:right w:val="single" w:sz="4" w:space="0" w:color="AF60D2" w:themeColor="accent4" w:themeTint="99"/>
        <w:insideH w:val="single" w:sz="4" w:space="0" w:color="AF60D2" w:themeColor="accent4" w:themeTint="99"/>
        <w:insideV w:val="single" w:sz="4" w:space="0" w:color="AF60D2" w:themeColor="accent4" w:themeTint="99"/>
      </w:tblBorders>
    </w:tblPr>
    <w:tblStylePr w:type="firstRow">
      <w:rPr>
        <w:b/>
        <w:bCs/>
        <w:color w:val="FFFFFF" w:themeColor="background1"/>
      </w:rPr>
      <w:tblPr/>
      <w:tcPr>
        <w:tcBorders>
          <w:top w:val="single" w:sz="4" w:space="0" w:color="692686" w:themeColor="accent4"/>
          <w:left w:val="single" w:sz="4" w:space="0" w:color="692686" w:themeColor="accent4"/>
          <w:bottom w:val="single" w:sz="4" w:space="0" w:color="692686" w:themeColor="accent4"/>
          <w:right w:val="single" w:sz="4" w:space="0" w:color="692686" w:themeColor="accent4"/>
          <w:insideH w:val="nil"/>
          <w:insideV w:val="nil"/>
        </w:tcBorders>
        <w:shd w:val="clear" w:color="auto" w:fill="692686" w:themeFill="accent4"/>
      </w:tcPr>
    </w:tblStylePr>
    <w:tblStylePr w:type="lastRow">
      <w:rPr>
        <w:b/>
        <w:bCs/>
      </w:rPr>
      <w:tblPr/>
      <w:tcPr>
        <w:tcBorders>
          <w:top w:val="double" w:sz="4" w:space="0" w:color="692686" w:themeColor="accent4"/>
        </w:tcBorders>
      </w:tcPr>
    </w:tblStylePr>
    <w:tblStylePr w:type="firstCol">
      <w:rPr>
        <w:b/>
        <w:bCs/>
      </w:rPr>
    </w:tblStylePr>
    <w:tblStylePr w:type="lastCol">
      <w:rPr>
        <w:b/>
        <w:bCs/>
      </w:rPr>
    </w:tblStylePr>
    <w:tblStylePr w:type="band1Vert">
      <w:tblPr/>
      <w:tcPr>
        <w:shd w:val="clear" w:color="auto" w:fill="E4CAF0" w:themeFill="accent4" w:themeFillTint="33"/>
      </w:tcPr>
    </w:tblStylePr>
    <w:tblStylePr w:type="band1Horz">
      <w:tblPr/>
      <w:tcPr>
        <w:shd w:val="clear" w:color="auto" w:fill="E4CAF0" w:themeFill="accent4" w:themeFillTint="33"/>
      </w:tcPr>
    </w:tblStylePr>
  </w:style>
  <w:style w:type="table" w:styleId="GridTable4-Accent5">
    <w:name w:val="Grid Table 4 Accent 5"/>
    <w:basedOn w:val="TableNormal"/>
    <w:uiPriority w:val="49"/>
    <w:rsid w:val="00B241C2"/>
    <w:pPr>
      <w:spacing w:after="0" w:line="240" w:lineRule="auto"/>
    </w:pPr>
    <w:rPr>
      <w:rFonts w:eastAsia="Times New Roman" w:cs="Times New Roman"/>
      <w:sz w:val="20"/>
      <w:szCs w:val="20"/>
      <w:lang w:eastAsia="en-AU"/>
    </w:rPr>
    <w:tblPr>
      <w:tblStyleRowBandSize w:val="1"/>
      <w:tblStyleColBandSize w:val="1"/>
      <w:tblBorders>
        <w:top w:val="single" w:sz="4" w:space="0" w:color="63E18C" w:themeColor="accent5" w:themeTint="99"/>
        <w:left w:val="single" w:sz="4" w:space="0" w:color="63E18C" w:themeColor="accent5" w:themeTint="99"/>
        <w:bottom w:val="single" w:sz="4" w:space="0" w:color="63E18C" w:themeColor="accent5" w:themeTint="99"/>
        <w:right w:val="single" w:sz="4" w:space="0" w:color="63E18C" w:themeColor="accent5" w:themeTint="99"/>
        <w:insideH w:val="single" w:sz="4" w:space="0" w:color="63E18C" w:themeColor="accent5" w:themeTint="99"/>
        <w:insideV w:val="single" w:sz="4" w:space="0" w:color="63E18C" w:themeColor="accent5" w:themeTint="99"/>
      </w:tblBorders>
    </w:tblPr>
    <w:tblStylePr w:type="firstRow">
      <w:rPr>
        <w:b/>
        <w:bCs/>
        <w:color w:val="FFFFFF" w:themeColor="background1"/>
      </w:rPr>
      <w:tblPr/>
      <w:tcPr>
        <w:tcBorders>
          <w:top w:val="single" w:sz="4" w:space="0" w:color="20AA4D" w:themeColor="accent5"/>
          <w:left w:val="single" w:sz="4" w:space="0" w:color="20AA4D" w:themeColor="accent5"/>
          <w:bottom w:val="single" w:sz="4" w:space="0" w:color="20AA4D" w:themeColor="accent5"/>
          <w:right w:val="single" w:sz="4" w:space="0" w:color="20AA4D" w:themeColor="accent5"/>
          <w:insideH w:val="nil"/>
          <w:insideV w:val="nil"/>
        </w:tcBorders>
        <w:shd w:val="clear" w:color="auto" w:fill="20AA4D" w:themeFill="accent5"/>
      </w:tcPr>
    </w:tblStylePr>
    <w:tblStylePr w:type="lastRow">
      <w:rPr>
        <w:b/>
        <w:bCs/>
      </w:rPr>
      <w:tblPr/>
      <w:tcPr>
        <w:tcBorders>
          <w:top w:val="double" w:sz="4" w:space="0" w:color="20AA4D" w:themeColor="accent5"/>
        </w:tcBorders>
      </w:tcPr>
    </w:tblStylePr>
    <w:tblStylePr w:type="firstCol">
      <w:rPr>
        <w:b/>
        <w:bCs/>
      </w:rPr>
    </w:tblStylePr>
    <w:tblStylePr w:type="lastCol">
      <w:rPr>
        <w:b/>
        <w:bCs/>
      </w:rPr>
    </w:tblStylePr>
    <w:tblStylePr w:type="band1Vert">
      <w:tblPr/>
      <w:tcPr>
        <w:shd w:val="clear" w:color="auto" w:fill="CBF5D8" w:themeFill="accent5" w:themeFillTint="33"/>
      </w:tcPr>
    </w:tblStylePr>
    <w:tblStylePr w:type="band1Horz">
      <w:tblPr/>
      <w:tcPr>
        <w:shd w:val="clear" w:color="auto" w:fill="CBF5D8" w:themeFill="accent5" w:themeFillTint="33"/>
      </w:tcPr>
    </w:tblStylePr>
  </w:style>
  <w:style w:type="table" w:styleId="GridTable4-Accent6">
    <w:name w:val="Grid Table 4 Accent 6"/>
    <w:basedOn w:val="TableNormal"/>
    <w:uiPriority w:val="49"/>
    <w:rsid w:val="00B241C2"/>
    <w:pPr>
      <w:spacing w:after="0" w:line="240" w:lineRule="auto"/>
    </w:pPr>
    <w:rPr>
      <w:rFonts w:eastAsia="Times New Roman" w:cs="Times New Roman"/>
      <w:sz w:val="20"/>
      <w:szCs w:val="20"/>
      <w:lang w:eastAsia="en-AU"/>
    </w:rPr>
    <w:tblPr>
      <w:tblStyleRowBandSize w:val="1"/>
      <w:tblStyleColBandSize w:val="1"/>
      <w:tblBorders>
        <w:top w:val="single" w:sz="4" w:space="0" w:color="3AC1FF" w:themeColor="accent6" w:themeTint="99"/>
        <w:left w:val="single" w:sz="4" w:space="0" w:color="3AC1FF" w:themeColor="accent6" w:themeTint="99"/>
        <w:bottom w:val="single" w:sz="4" w:space="0" w:color="3AC1FF" w:themeColor="accent6" w:themeTint="99"/>
        <w:right w:val="single" w:sz="4" w:space="0" w:color="3AC1FF" w:themeColor="accent6" w:themeTint="99"/>
        <w:insideH w:val="single" w:sz="4" w:space="0" w:color="3AC1FF" w:themeColor="accent6" w:themeTint="99"/>
        <w:insideV w:val="single" w:sz="4" w:space="0" w:color="3AC1FF" w:themeColor="accent6" w:themeTint="99"/>
      </w:tblBorders>
    </w:tblPr>
    <w:tblStylePr w:type="firstRow">
      <w:rPr>
        <w:b/>
        <w:bCs/>
        <w:color w:val="FFFFFF" w:themeColor="background1"/>
      </w:rPr>
      <w:tblPr/>
      <w:tcPr>
        <w:tcBorders>
          <w:top w:val="single" w:sz="4" w:space="0" w:color="007DB6" w:themeColor="accent6"/>
          <w:left w:val="single" w:sz="4" w:space="0" w:color="007DB6" w:themeColor="accent6"/>
          <w:bottom w:val="single" w:sz="4" w:space="0" w:color="007DB6" w:themeColor="accent6"/>
          <w:right w:val="single" w:sz="4" w:space="0" w:color="007DB6" w:themeColor="accent6"/>
          <w:insideH w:val="nil"/>
          <w:insideV w:val="nil"/>
        </w:tcBorders>
        <w:shd w:val="clear" w:color="auto" w:fill="007DB6" w:themeFill="accent6"/>
      </w:tcPr>
    </w:tblStylePr>
    <w:tblStylePr w:type="lastRow">
      <w:rPr>
        <w:b/>
        <w:bCs/>
      </w:rPr>
      <w:tblPr/>
      <w:tcPr>
        <w:tcBorders>
          <w:top w:val="double" w:sz="4" w:space="0" w:color="007DB6" w:themeColor="accent6"/>
        </w:tcBorders>
      </w:tcPr>
    </w:tblStylePr>
    <w:tblStylePr w:type="firstCol">
      <w:rPr>
        <w:b/>
        <w:bCs/>
      </w:rPr>
    </w:tblStylePr>
    <w:tblStylePr w:type="lastCol">
      <w:rPr>
        <w:b/>
        <w:bCs/>
      </w:rPr>
    </w:tblStylePr>
    <w:tblStylePr w:type="band1Vert">
      <w:tblPr/>
      <w:tcPr>
        <w:shd w:val="clear" w:color="auto" w:fill="BDEAFF" w:themeFill="accent6" w:themeFillTint="33"/>
      </w:tcPr>
    </w:tblStylePr>
    <w:tblStylePr w:type="band1Horz">
      <w:tblPr/>
      <w:tcPr>
        <w:shd w:val="clear" w:color="auto" w:fill="BDEAFF" w:themeFill="accent6" w:themeFillTint="33"/>
      </w:tcPr>
    </w:tblStylePr>
  </w:style>
  <w:style w:type="table" w:styleId="GridTable5Dark">
    <w:name w:val="Grid Table 5 Dark"/>
    <w:basedOn w:val="TableNormal"/>
    <w:uiPriority w:val="50"/>
    <w:rsid w:val="00B241C2"/>
    <w:pPr>
      <w:spacing w:after="0" w:line="240" w:lineRule="auto"/>
    </w:pPr>
    <w:rPr>
      <w:rFonts w:eastAsia="Times New Roman" w:cs="Times New Roman"/>
      <w:sz w:val="20"/>
      <w:szCs w:val="20"/>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B241C2"/>
    <w:pPr>
      <w:spacing w:after="0" w:line="240" w:lineRule="auto"/>
    </w:pPr>
    <w:rPr>
      <w:rFonts w:eastAsia="Times New Roman" w:cs="Times New Roman"/>
      <w:sz w:val="20"/>
      <w:szCs w:val="20"/>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6F7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7D8D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7D8D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7D8D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7D8D6" w:themeFill="accent1"/>
      </w:tcPr>
    </w:tblStylePr>
    <w:tblStylePr w:type="band1Vert">
      <w:tblPr/>
      <w:tcPr>
        <w:shd w:val="clear" w:color="auto" w:fill="EEEFEE" w:themeFill="accent1" w:themeFillTint="66"/>
      </w:tcPr>
    </w:tblStylePr>
    <w:tblStylePr w:type="band1Horz">
      <w:tblPr/>
      <w:tcPr>
        <w:shd w:val="clear" w:color="auto" w:fill="EEEFEE" w:themeFill="accent1" w:themeFillTint="66"/>
      </w:tcPr>
    </w:tblStylePr>
  </w:style>
  <w:style w:type="table" w:styleId="GridTable5Dark-Accent2">
    <w:name w:val="Grid Table 5 Dark Accent 2"/>
    <w:basedOn w:val="TableNormal"/>
    <w:uiPriority w:val="50"/>
    <w:rsid w:val="00B241C2"/>
    <w:pPr>
      <w:spacing w:after="0" w:line="240" w:lineRule="auto"/>
    </w:pPr>
    <w:rPr>
      <w:rFonts w:eastAsia="Times New Roman" w:cs="Times New Roman"/>
      <w:sz w:val="20"/>
      <w:szCs w:val="20"/>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3CD"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70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70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709"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709" w:themeFill="accent2"/>
      </w:tcPr>
    </w:tblStylePr>
    <w:tblStylePr w:type="band1Vert">
      <w:tblPr/>
      <w:tcPr>
        <w:shd w:val="clear" w:color="auto" w:fill="FFE89C" w:themeFill="accent2" w:themeFillTint="66"/>
      </w:tcPr>
    </w:tblStylePr>
    <w:tblStylePr w:type="band1Horz">
      <w:tblPr/>
      <w:tcPr>
        <w:shd w:val="clear" w:color="auto" w:fill="FFE89C" w:themeFill="accent2" w:themeFillTint="66"/>
      </w:tcPr>
    </w:tblStylePr>
  </w:style>
  <w:style w:type="table" w:styleId="GridTable5Dark-Accent3">
    <w:name w:val="Grid Table 5 Dark Accent 3"/>
    <w:basedOn w:val="TableNormal"/>
    <w:uiPriority w:val="50"/>
    <w:rsid w:val="00B241C2"/>
    <w:pPr>
      <w:spacing w:after="0" w:line="240" w:lineRule="auto"/>
    </w:pPr>
    <w:rPr>
      <w:rFonts w:eastAsia="Times New Roman" w:cs="Times New Roman"/>
      <w:sz w:val="20"/>
      <w:szCs w:val="20"/>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CBD6"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D163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D163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D163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D163F" w:themeFill="accent3"/>
      </w:tcPr>
    </w:tblStylePr>
    <w:tblStylePr w:type="band1Vert">
      <w:tblPr/>
      <w:tcPr>
        <w:shd w:val="clear" w:color="auto" w:fill="F498AD" w:themeFill="accent3" w:themeFillTint="66"/>
      </w:tcPr>
    </w:tblStylePr>
    <w:tblStylePr w:type="band1Horz">
      <w:tblPr/>
      <w:tcPr>
        <w:shd w:val="clear" w:color="auto" w:fill="F498AD" w:themeFill="accent3" w:themeFillTint="66"/>
      </w:tcPr>
    </w:tblStylePr>
  </w:style>
  <w:style w:type="table" w:styleId="GridTable5Dark-Accent4">
    <w:name w:val="Grid Table 5 Dark Accent 4"/>
    <w:basedOn w:val="TableNormal"/>
    <w:uiPriority w:val="50"/>
    <w:rsid w:val="00B241C2"/>
    <w:pPr>
      <w:spacing w:after="0" w:line="240" w:lineRule="auto"/>
    </w:pPr>
    <w:rPr>
      <w:rFonts w:eastAsia="Times New Roman" w:cs="Times New Roman"/>
      <w:sz w:val="20"/>
      <w:szCs w:val="20"/>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CAF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9268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9268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9268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92686" w:themeFill="accent4"/>
      </w:tcPr>
    </w:tblStylePr>
    <w:tblStylePr w:type="band1Vert">
      <w:tblPr/>
      <w:tcPr>
        <w:shd w:val="clear" w:color="auto" w:fill="CA95E1" w:themeFill="accent4" w:themeFillTint="66"/>
      </w:tcPr>
    </w:tblStylePr>
    <w:tblStylePr w:type="band1Horz">
      <w:tblPr/>
      <w:tcPr>
        <w:shd w:val="clear" w:color="auto" w:fill="CA95E1" w:themeFill="accent4" w:themeFillTint="66"/>
      </w:tcPr>
    </w:tblStylePr>
  </w:style>
  <w:style w:type="table" w:styleId="GridTable5Dark-Accent5">
    <w:name w:val="Grid Table 5 Dark Accent 5"/>
    <w:basedOn w:val="TableNormal"/>
    <w:uiPriority w:val="50"/>
    <w:rsid w:val="00B241C2"/>
    <w:pPr>
      <w:spacing w:after="0" w:line="240" w:lineRule="auto"/>
    </w:pPr>
    <w:rPr>
      <w:rFonts w:eastAsia="Times New Roman" w:cs="Times New Roman"/>
      <w:sz w:val="20"/>
      <w:szCs w:val="20"/>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BF5D8"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AA4D"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AA4D"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AA4D"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AA4D" w:themeFill="accent5"/>
      </w:tcPr>
    </w:tblStylePr>
    <w:tblStylePr w:type="band1Vert">
      <w:tblPr/>
      <w:tcPr>
        <w:shd w:val="clear" w:color="auto" w:fill="97EBB2" w:themeFill="accent5" w:themeFillTint="66"/>
      </w:tcPr>
    </w:tblStylePr>
    <w:tblStylePr w:type="band1Horz">
      <w:tblPr/>
      <w:tcPr>
        <w:shd w:val="clear" w:color="auto" w:fill="97EBB2" w:themeFill="accent5" w:themeFillTint="66"/>
      </w:tcPr>
    </w:tblStylePr>
  </w:style>
  <w:style w:type="table" w:styleId="GridTable5Dark-Accent6">
    <w:name w:val="Grid Table 5 Dark Accent 6"/>
    <w:basedOn w:val="TableNormal"/>
    <w:uiPriority w:val="50"/>
    <w:rsid w:val="00B241C2"/>
    <w:pPr>
      <w:spacing w:after="0" w:line="240" w:lineRule="auto"/>
    </w:pPr>
    <w:rPr>
      <w:rFonts w:eastAsia="Times New Roman" w:cs="Times New Roman"/>
      <w:sz w:val="20"/>
      <w:szCs w:val="20"/>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DEAF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DB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DB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DB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DB6" w:themeFill="accent6"/>
      </w:tcPr>
    </w:tblStylePr>
    <w:tblStylePr w:type="band1Vert">
      <w:tblPr/>
      <w:tcPr>
        <w:shd w:val="clear" w:color="auto" w:fill="7BD5FF" w:themeFill="accent6" w:themeFillTint="66"/>
      </w:tcPr>
    </w:tblStylePr>
    <w:tblStylePr w:type="band1Horz">
      <w:tblPr/>
      <w:tcPr>
        <w:shd w:val="clear" w:color="auto" w:fill="7BD5FF" w:themeFill="accent6" w:themeFillTint="66"/>
      </w:tcPr>
    </w:tblStylePr>
  </w:style>
  <w:style w:type="table" w:styleId="GridTable6Colorful">
    <w:name w:val="Grid Table 6 Colorful"/>
    <w:basedOn w:val="TableNormal"/>
    <w:uiPriority w:val="51"/>
    <w:rsid w:val="00B241C2"/>
    <w:pPr>
      <w:spacing w:after="0" w:line="240" w:lineRule="auto"/>
    </w:pPr>
    <w:rPr>
      <w:rFonts w:eastAsia="Times New Roman" w:cs="Times New Roman"/>
      <w:color w:val="000000" w:themeColor="text1"/>
      <w:sz w:val="20"/>
      <w:szCs w:val="20"/>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B241C2"/>
    <w:pPr>
      <w:spacing w:after="0" w:line="240" w:lineRule="auto"/>
    </w:pPr>
    <w:rPr>
      <w:rFonts w:eastAsia="Times New Roman" w:cs="Times New Roman"/>
      <w:color w:val="A0A39E" w:themeColor="accent1" w:themeShade="BF"/>
      <w:sz w:val="20"/>
      <w:szCs w:val="20"/>
      <w:lang w:eastAsia="en-AU"/>
    </w:rPr>
    <w:tblPr>
      <w:tblStyleRowBandSize w:val="1"/>
      <w:tblStyleColBandSize w:val="1"/>
      <w:tblBorders>
        <w:top w:val="single" w:sz="4" w:space="0" w:color="E6E7E6" w:themeColor="accent1" w:themeTint="99"/>
        <w:left w:val="single" w:sz="4" w:space="0" w:color="E6E7E6" w:themeColor="accent1" w:themeTint="99"/>
        <w:bottom w:val="single" w:sz="4" w:space="0" w:color="E6E7E6" w:themeColor="accent1" w:themeTint="99"/>
        <w:right w:val="single" w:sz="4" w:space="0" w:color="E6E7E6" w:themeColor="accent1" w:themeTint="99"/>
        <w:insideH w:val="single" w:sz="4" w:space="0" w:color="E6E7E6" w:themeColor="accent1" w:themeTint="99"/>
        <w:insideV w:val="single" w:sz="4" w:space="0" w:color="E6E7E6" w:themeColor="accent1" w:themeTint="99"/>
      </w:tblBorders>
    </w:tblPr>
    <w:tblStylePr w:type="firstRow">
      <w:rPr>
        <w:b/>
        <w:bCs/>
      </w:rPr>
      <w:tblPr/>
      <w:tcPr>
        <w:tcBorders>
          <w:bottom w:val="single" w:sz="12" w:space="0" w:color="E6E7E6" w:themeColor="accent1" w:themeTint="99"/>
        </w:tcBorders>
      </w:tcPr>
    </w:tblStylePr>
    <w:tblStylePr w:type="lastRow">
      <w:rPr>
        <w:b/>
        <w:bCs/>
      </w:rPr>
      <w:tblPr/>
      <w:tcPr>
        <w:tcBorders>
          <w:top w:val="double" w:sz="4" w:space="0" w:color="E6E7E6" w:themeColor="accent1" w:themeTint="99"/>
        </w:tcBorders>
      </w:tcPr>
    </w:tblStylePr>
    <w:tblStylePr w:type="firstCol">
      <w:rPr>
        <w:b/>
        <w:bCs/>
      </w:rPr>
    </w:tblStylePr>
    <w:tblStylePr w:type="lastCol">
      <w:rPr>
        <w:b/>
        <w:bCs/>
      </w:rPr>
    </w:tblStylePr>
    <w:tblStylePr w:type="band1Vert">
      <w:tblPr/>
      <w:tcPr>
        <w:shd w:val="clear" w:color="auto" w:fill="F6F7F6" w:themeFill="accent1" w:themeFillTint="33"/>
      </w:tcPr>
    </w:tblStylePr>
    <w:tblStylePr w:type="band1Horz">
      <w:tblPr/>
      <w:tcPr>
        <w:shd w:val="clear" w:color="auto" w:fill="F6F7F6" w:themeFill="accent1" w:themeFillTint="33"/>
      </w:tcPr>
    </w:tblStylePr>
  </w:style>
  <w:style w:type="table" w:styleId="GridTable6Colorful-Accent2">
    <w:name w:val="Grid Table 6 Colorful Accent 2"/>
    <w:basedOn w:val="TableNormal"/>
    <w:uiPriority w:val="51"/>
    <w:rsid w:val="00B241C2"/>
    <w:pPr>
      <w:spacing w:after="0" w:line="240" w:lineRule="auto"/>
    </w:pPr>
    <w:rPr>
      <w:rFonts w:eastAsia="Times New Roman" w:cs="Times New Roman"/>
      <w:color w:val="C59700" w:themeColor="accent2" w:themeShade="BF"/>
      <w:sz w:val="20"/>
      <w:szCs w:val="20"/>
      <w:lang w:eastAsia="en-AU"/>
    </w:rPr>
    <w:tblPr>
      <w:tblStyleRowBandSize w:val="1"/>
      <w:tblStyleColBandSize w:val="1"/>
      <w:tblBorders>
        <w:top w:val="single" w:sz="4" w:space="0" w:color="FFDC6B" w:themeColor="accent2" w:themeTint="99"/>
        <w:left w:val="single" w:sz="4" w:space="0" w:color="FFDC6B" w:themeColor="accent2" w:themeTint="99"/>
        <w:bottom w:val="single" w:sz="4" w:space="0" w:color="FFDC6B" w:themeColor="accent2" w:themeTint="99"/>
        <w:right w:val="single" w:sz="4" w:space="0" w:color="FFDC6B" w:themeColor="accent2" w:themeTint="99"/>
        <w:insideH w:val="single" w:sz="4" w:space="0" w:color="FFDC6B" w:themeColor="accent2" w:themeTint="99"/>
        <w:insideV w:val="single" w:sz="4" w:space="0" w:color="FFDC6B" w:themeColor="accent2" w:themeTint="99"/>
      </w:tblBorders>
    </w:tblPr>
    <w:tblStylePr w:type="firstRow">
      <w:rPr>
        <w:b/>
        <w:bCs/>
      </w:rPr>
      <w:tblPr/>
      <w:tcPr>
        <w:tcBorders>
          <w:bottom w:val="single" w:sz="12" w:space="0" w:color="FFDC6B" w:themeColor="accent2" w:themeTint="99"/>
        </w:tcBorders>
      </w:tcPr>
    </w:tblStylePr>
    <w:tblStylePr w:type="lastRow">
      <w:rPr>
        <w:b/>
        <w:bCs/>
      </w:rPr>
      <w:tblPr/>
      <w:tcPr>
        <w:tcBorders>
          <w:top w:val="double" w:sz="4" w:space="0" w:color="FFDC6B" w:themeColor="accent2" w:themeTint="99"/>
        </w:tcBorders>
      </w:tcPr>
    </w:tblStylePr>
    <w:tblStylePr w:type="firstCol">
      <w:rPr>
        <w:b/>
        <w:bCs/>
      </w:rPr>
    </w:tblStylePr>
    <w:tblStylePr w:type="lastCol">
      <w:rPr>
        <w:b/>
        <w:bCs/>
      </w:rPr>
    </w:tblStylePr>
    <w:tblStylePr w:type="band1Vert">
      <w:tblPr/>
      <w:tcPr>
        <w:shd w:val="clear" w:color="auto" w:fill="FFF3CD" w:themeFill="accent2" w:themeFillTint="33"/>
      </w:tcPr>
    </w:tblStylePr>
    <w:tblStylePr w:type="band1Horz">
      <w:tblPr/>
      <w:tcPr>
        <w:shd w:val="clear" w:color="auto" w:fill="FFF3CD" w:themeFill="accent2" w:themeFillTint="33"/>
      </w:tcPr>
    </w:tblStylePr>
  </w:style>
  <w:style w:type="table" w:styleId="GridTable6Colorful-Accent3">
    <w:name w:val="Grid Table 6 Colorful Accent 3"/>
    <w:basedOn w:val="TableNormal"/>
    <w:uiPriority w:val="51"/>
    <w:rsid w:val="00B241C2"/>
    <w:pPr>
      <w:spacing w:after="0" w:line="240" w:lineRule="auto"/>
    </w:pPr>
    <w:rPr>
      <w:rFonts w:eastAsia="Times New Roman" w:cs="Times New Roman"/>
      <w:color w:val="99102F" w:themeColor="accent3" w:themeShade="BF"/>
      <w:sz w:val="20"/>
      <w:szCs w:val="20"/>
      <w:lang w:eastAsia="en-AU"/>
    </w:rPr>
    <w:tblPr>
      <w:tblStyleRowBandSize w:val="1"/>
      <w:tblStyleColBandSize w:val="1"/>
      <w:tblBorders>
        <w:top w:val="single" w:sz="4" w:space="0" w:color="EE6584" w:themeColor="accent3" w:themeTint="99"/>
        <w:left w:val="single" w:sz="4" w:space="0" w:color="EE6584" w:themeColor="accent3" w:themeTint="99"/>
        <w:bottom w:val="single" w:sz="4" w:space="0" w:color="EE6584" w:themeColor="accent3" w:themeTint="99"/>
        <w:right w:val="single" w:sz="4" w:space="0" w:color="EE6584" w:themeColor="accent3" w:themeTint="99"/>
        <w:insideH w:val="single" w:sz="4" w:space="0" w:color="EE6584" w:themeColor="accent3" w:themeTint="99"/>
        <w:insideV w:val="single" w:sz="4" w:space="0" w:color="EE6584" w:themeColor="accent3" w:themeTint="99"/>
      </w:tblBorders>
    </w:tblPr>
    <w:tblStylePr w:type="firstRow">
      <w:rPr>
        <w:b/>
        <w:bCs/>
      </w:rPr>
      <w:tblPr/>
      <w:tcPr>
        <w:tcBorders>
          <w:bottom w:val="single" w:sz="12" w:space="0" w:color="EE6584" w:themeColor="accent3" w:themeTint="99"/>
        </w:tcBorders>
      </w:tcPr>
    </w:tblStylePr>
    <w:tblStylePr w:type="lastRow">
      <w:rPr>
        <w:b/>
        <w:bCs/>
      </w:rPr>
      <w:tblPr/>
      <w:tcPr>
        <w:tcBorders>
          <w:top w:val="double" w:sz="4" w:space="0" w:color="EE6584" w:themeColor="accent3" w:themeTint="99"/>
        </w:tcBorders>
      </w:tcPr>
    </w:tblStylePr>
    <w:tblStylePr w:type="firstCol">
      <w:rPr>
        <w:b/>
        <w:bCs/>
      </w:rPr>
    </w:tblStylePr>
    <w:tblStylePr w:type="lastCol">
      <w:rPr>
        <w:b/>
        <w:bCs/>
      </w:rPr>
    </w:tblStylePr>
    <w:tblStylePr w:type="band1Vert">
      <w:tblPr/>
      <w:tcPr>
        <w:shd w:val="clear" w:color="auto" w:fill="F9CBD6" w:themeFill="accent3" w:themeFillTint="33"/>
      </w:tcPr>
    </w:tblStylePr>
    <w:tblStylePr w:type="band1Horz">
      <w:tblPr/>
      <w:tcPr>
        <w:shd w:val="clear" w:color="auto" w:fill="F9CBD6" w:themeFill="accent3" w:themeFillTint="33"/>
      </w:tcPr>
    </w:tblStylePr>
  </w:style>
  <w:style w:type="table" w:styleId="GridTable6Colorful-Accent4">
    <w:name w:val="Grid Table 6 Colorful Accent 4"/>
    <w:basedOn w:val="TableNormal"/>
    <w:uiPriority w:val="51"/>
    <w:rsid w:val="00B241C2"/>
    <w:pPr>
      <w:spacing w:after="0" w:line="240" w:lineRule="auto"/>
    </w:pPr>
    <w:rPr>
      <w:rFonts w:eastAsia="Times New Roman" w:cs="Times New Roman"/>
      <w:color w:val="4E1C64" w:themeColor="accent4" w:themeShade="BF"/>
      <w:sz w:val="20"/>
      <w:szCs w:val="20"/>
      <w:lang w:eastAsia="en-AU"/>
    </w:rPr>
    <w:tblPr>
      <w:tblStyleRowBandSize w:val="1"/>
      <w:tblStyleColBandSize w:val="1"/>
      <w:tblBorders>
        <w:top w:val="single" w:sz="4" w:space="0" w:color="AF60D2" w:themeColor="accent4" w:themeTint="99"/>
        <w:left w:val="single" w:sz="4" w:space="0" w:color="AF60D2" w:themeColor="accent4" w:themeTint="99"/>
        <w:bottom w:val="single" w:sz="4" w:space="0" w:color="AF60D2" w:themeColor="accent4" w:themeTint="99"/>
        <w:right w:val="single" w:sz="4" w:space="0" w:color="AF60D2" w:themeColor="accent4" w:themeTint="99"/>
        <w:insideH w:val="single" w:sz="4" w:space="0" w:color="AF60D2" w:themeColor="accent4" w:themeTint="99"/>
        <w:insideV w:val="single" w:sz="4" w:space="0" w:color="AF60D2" w:themeColor="accent4" w:themeTint="99"/>
      </w:tblBorders>
    </w:tblPr>
    <w:tblStylePr w:type="firstRow">
      <w:rPr>
        <w:b/>
        <w:bCs/>
      </w:rPr>
      <w:tblPr/>
      <w:tcPr>
        <w:tcBorders>
          <w:bottom w:val="single" w:sz="12" w:space="0" w:color="AF60D2" w:themeColor="accent4" w:themeTint="99"/>
        </w:tcBorders>
      </w:tcPr>
    </w:tblStylePr>
    <w:tblStylePr w:type="lastRow">
      <w:rPr>
        <w:b/>
        <w:bCs/>
      </w:rPr>
      <w:tblPr/>
      <w:tcPr>
        <w:tcBorders>
          <w:top w:val="double" w:sz="4" w:space="0" w:color="AF60D2" w:themeColor="accent4" w:themeTint="99"/>
        </w:tcBorders>
      </w:tcPr>
    </w:tblStylePr>
    <w:tblStylePr w:type="firstCol">
      <w:rPr>
        <w:b/>
        <w:bCs/>
      </w:rPr>
    </w:tblStylePr>
    <w:tblStylePr w:type="lastCol">
      <w:rPr>
        <w:b/>
        <w:bCs/>
      </w:rPr>
    </w:tblStylePr>
    <w:tblStylePr w:type="band1Vert">
      <w:tblPr/>
      <w:tcPr>
        <w:shd w:val="clear" w:color="auto" w:fill="E4CAF0" w:themeFill="accent4" w:themeFillTint="33"/>
      </w:tcPr>
    </w:tblStylePr>
    <w:tblStylePr w:type="band1Horz">
      <w:tblPr/>
      <w:tcPr>
        <w:shd w:val="clear" w:color="auto" w:fill="E4CAF0" w:themeFill="accent4" w:themeFillTint="33"/>
      </w:tcPr>
    </w:tblStylePr>
  </w:style>
  <w:style w:type="table" w:styleId="GridTable6Colorful-Accent5">
    <w:name w:val="Grid Table 6 Colorful Accent 5"/>
    <w:basedOn w:val="TableNormal"/>
    <w:uiPriority w:val="51"/>
    <w:rsid w:val="00B241C2"/>
    <w:pPr>
      <w:spacing w:after="0" w:line="240" w:lineRule="auto"/>
    </w:pPr>
    <w:rPr>
      <w:rFonts w:eastAsia="Times New Roman" w:cs="Times New Roman"/>
      <w:color w:val="187F39" w:themeColor="accent5" w:themeShade="BF"/>
      <w:sz w:val="20"/>
      <w:szCs w:val="20"/>
      <w:lang w:eastAsia="en-AU"/>
    </w:rPr>
    <w:tblPr>
      <w:tblStyleRowBandSize w:val="1"/>
      <w:tblStyleColBandSize w:val="1"/>
      <w:tblBorders>
        <w:top w:val="single" w:sz="4" w:space="0" w:color="63E18C" w:themeColor="accent5" w:themeTint="99"/>
        <w:left w:val="single" w:sz="4" w:space="0" w:color="63E18C" w:themeColor="accent5" w:themeTint="99"/>
        <w:bottom w:val="single" w:sz="4" w:space="0" w:color="63E18C" w:themeColor="accent5" w:themeTint="99"/>
        <w:right w:val="single" w:sz="4" w:space="0" w:color="63E18C" w:themeColor="accent5" w:themeTint="99"/>
        <w:insideH w:val="single" w:sz="4" w:space="0" w:color="63E18C" w:themeColor="accent5" w:themeTint="99"/>
        <w:insideV w:val="single" w:sz="4" w:space="0" w:color="63E18C" w:themeColor="accent5" w:themeTint="99"/>
      </w:tblBorders>
    </w:tblPr>
    <w:tblStylePr w:type="firstRow">
      <w:rPr>
        <w:b/>
        <w:bCs/>
      </w:rPr>
      <w:tblPr/>
      <w:tcPr>
        <w:tcBorders>
          <w:bottom w:val="single" w:sz="12" w:space="0" w:color="63E18C" w:themeColor="accent5" w:themeTint="99"/>
        </w:tcBorders>
      </w:tcPr>
    </w:tblStylePr>
    <w:tblStylePr w:type="lastRow">
      <w:rPr>
        <w:b/>
        <w:bCs/>
      </w:rPr>
      <w:tblPr/>
      <w:tcPr>
        <w:tcBorders>
          <w:top w:val="double" w:sz="4" w:space="0" w:color="63E18C" w:themeColor="accent5" w:themeTint="99"/>
        </w:tcBorders>
      </w:tcPr>
    </w:tblStylePr>
    <w:tblStylePr w:type="firstCol">
      <w:rPr>
        <w:b/>
        <w:bCs/>
      </w:rPr>
    </w:tblStylePr>
    <w:tblStylePr w:type="lastCol">
      <w:rPr>
        <w:b/>
        <w:bCs/>
      </w:rPr>
    </w:tblStylePr>
    <w:tblStylePr w:type="band1Vert">
      <w:tblPr/>
      <w:tcPr>
        <w:shd w:val="clear" w:color="auto" w:fill="CBF5D8" w:themeFill="accent5" w:themeFillTint="33"/>
      </w:tcPr>
    </w:tblStylePr>
    <w:tblStylePr w:type="band1Horz">
      <w:tblPr/>
      <w:tcPr>
        <w:shd w:val="clear" w:color="auto" w:fill="CBF5D8" w:themeFill="accent5" w:themeFillTint="33"/>
      </w:tcPr>
    </w:tblStylePr>
  </w:style>
  <w:style w:type="table" w:styleId="GridTable6Colorful-Accent6">
    <w:name w:val="Grid Table 6 Colorful Accent 6"/>
    <w:basedOn w:val="TableNormal"/>
    <w:uiPriority w:val="51"/>
    <w:rsid w:val="00B241C2"/>
    <w:pPr>
      <w:spacing w:after="0" w:line="240" w:lineRule="auto"/>
    </w:pPr>
    <w:rPr>
      <w:rFonts w:eastAsia="Times New Roman" w:cs="Times New Roman"/>
      <w:color w:val="005D88" w:themeColor="accent6" w:themeShade="BF"/>
      <w:sz w:val="20"/>
      <w:szCs w:val="20"/>
      <w:lang w:eastAsia="en-AU"/>
    </w:rPr>
    <w:tblPr>
      <w:tblStyleRowBandSize w:val="1"/>
      <w:tblStyleColBandSize w:val="1"/>
      <w:tblBorders>
        <w:top w:val="single" w:sz="4" w:space="0" w:color="3AC1FF" w:themeColor="accent6" w:themeTint="99"/>
        <w:left w:val="single" w:sz="4" w:space="0" w:color="3AC1FF" w:themeColor="accent6" w:themeTint="99"/>
        <w:bottom w:val="single" w:sz="4" w:space="0" w:color="3AC1FF" w:themeColor="accent6" w:themeTint="99"/>
        <w:right w:val="single" w:sz="4" w:space="0" w:color="3AC1FF" w:themeColor="accent6" w:themeTint="99"/>
        <w:insideH w:val="single" w:sz="4" w:space="0" w:color="3AC1FF" w:themeColor="accent6" w:themeTint="99"/>
        <w:insideV w:val="single" w:sz="4" w:space="0" w:color="3AC1FF" w:themeColor="accent6" w:themeTint="99"/>
      </w:tblBorders>
    </w:tblPr>
    <w:tblStylePr w:type="firstRow">
      <w:rPr>
        <w:b/>
        <w:bCs/>
      </w:rPr>
      <w:tblPr/>
      <w:tcPr>
        <w:tcBorders>
          <w:bottom w:val="single" w:sz="12" w:space="0" w:color="3AC1FF" w:themeColor="accent6" w:themeTint="99"/>
        </w:tcBorders>
      </w:tcPr>
    </w:tblStylePr>
    <w:tblStylePr w:type="lastRow">
      <w:rPr>
        <w:b/>
        <w:bCs/>
      </w:rPr>
      <w:tblPr/>
      <w:tcPr>
        <w:tcBorders>
          <w:top w:val="double" w:sz="4" w:space="0" w:color="3AC1FF" w:themeColor="accent6" w:themeTint="99"/>
        </w:tcBorders>
      </w:tcPr>
    </w:tblStylePr>
    <w:tblStylePr w:type="firstCol">
      <w:rPr>
        <w:b/>
        <w:bCs/>
      </w:rPr>
    </w:tblStylePr>
    <w:tblStylePr w:type="lastCol">
      <w:rPr>
        <w:b/>
        <w:bCs/>
      </w:rPr>
    </w:tblStylePr>
    <w:tblStylePr w:type="band1Vert">
      <w:tblPr/>
      <w:tcPr>
        <w:shd w:val="clear" w:color="auto" w:fill="BDEAFF" w:themeFill="accent6" w:themeFillTint="33"/>
      </w:tcPr>
    </w:tblStylePr>
    <w:tblStylePr w:type="band1Horz">
      <w:tblPr/>
      <w:tcPr>
        <w:shd w:val="clear" w:color="auto" w:fill="BDEAFF" w:themeFill="accent6" w:themeFillTint="33"/>
      </w:tcPr>
    </w:tblStylePr>
  </w:style>
  <w:style w:type="table" w:styleId="GridTable7Colorful">
    <w:name w:val="Grid Table 7 Colorful"/>
    <w:basedOn w:val="TableNormal"/>
    <w:uiPriority w:val="52"/>
    <w:rsid w:val="00B241C2"/>
    <w:pPr>
      <w:spacing w:after="0" w:line="240" w:lineRule="auto"/>
    </w:pPr>
    <w:rPr>
      <w:rFonts w:eastAsia="Times New Roman" w:cs="Times New Roman"/>
      <w:color w:val="000000" w:themeColor="text1"/>
      <w:sz w:val="20"/>
      <w:szCs w:val="20"/>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B241C2"/>
    <w:pPr>
      <w:spacing w:after="0" w:line="240" w:lineRule="auto"/>
    </w:pPr>
    <w:rPr>
      <w:rFonts w:eastAsia="Times New Roman" w:cs="Times New Roman"/>
      <w:color w:val="A0A39E" w:themeColor="accent1" w:themeShade="BF"/>
      <w:sz w:val="20"/>
      <w:szCs w:val="20"/>
      <w:lang w:eastAsia="en-AU"/>
    </w:rPr>
    <w:tblPr>
      <w:tblStyleRowBandSize w:val="1"/>
      <w:tblStyleColBandSize w:val="1"/>
      <w:tblBorders>
        <w:top w:val="single" w:sz="4" w:space="0" w:color="E6E7E6" w:themeColor="accent1" w:themeTint="99"/>
        <w:left w:val="single" w:sz="4" w:space="0" w:color="E6E7E6" w:themeColor="accent1" w:themeTint="99"/>
        <w:bottom w:val="single" w:sz="4" w:space="0" w:color="E6E7E6" w:themeColor="accent1" w:themeTint="99"/>
        <w:right w:val="single" w:sz="4" w:space="0" w:color="E6E7E6" w:themeColor="accent1" w:themeTint="99"/>
        <w:insideH w:val="single" w:sz="4" w:space="0" w:color="E6E7E6" w:themeColor="accent1" w:themeTint="99"/>
        <w:insideV w:val="single" w:sz="4" w:space="0" w:color="E6E7E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F7F6" w:themeFill="accent1" w:themeFillTint="33"/>
      </w:tcPr>
    </w:tblStylePr>
    <w:tblStylePr w:type="band1Horz">
      <w:tblPr/>
      <w:tcPr>
        <w:shd w:val="clear" w:color="auto" w:fill="F6F7F6" w:themeFill="accent1" w:themeFillTint="33"/>
      </w:tcPr>
    </w:tblStylePr>
    <w:tblStylePr w:type="neCell">
      <w:tblPr/>
      <w:tcPr>
        <w:tcBorders>
          <w:bottom w:val="single" w:sz="4" w:space="0" w:color="E6E7E6" w:themeColor="accent1" w:themeTint="99"/>
        </w:tcBorders>
      </w:tcPr>
    </w:tblStylePr>
    <w:tblStylePr w:type="nwCell">
      <w:tblPr/>
      <w:tcPr>
        <w:tcBorders>
          <w:bottom w:val="single" w:sz="4" w:space="0" w:color="E6E7E6" w:themeColor="accent1" w:themeTint="99"/>
        </w:tcBorders>
      </w:tcPr>
    </w:tblStylePr>
    <w:tblStylePr w:type="seCell">
      <w:tblPr/>
      <w:tcPr>
        <w:tcBorders>
          <w:top w:val="single" w:sz="4" w:space="0" w:color="E6E7E6" w:themeColor="accent1" w:themeTint="99"/>
        </w:tcBorders>
      </w:tcPr>
    </w:tblStylePr>
    <w:tblStylePr w:type="swCell">
      <w:tblPr/>
      <w:tcPr>
        <w:tcBorders>
          <w:top w:val="single" w:sz="4" w:space="0" w:color="E6E7E6" w:themeColor="accent1" w:themeTint="99"/>
        </w:tcBorders>
      </w:tcPr>
    </w:tblStylePr>
  </w:style>
  <w:style w:type="table" w:styleId="GridTable7Colorful-Accent3">
    <w:name w:val="Grid Table 7 Colorful Accent 3"/>
    <w:basedOn w:val="TableNormal"/>
    <w:uiPriority w:val="52"/>
    <w:rsid w:val="00B241C2"/>
    <w:pPr>
      <w:spacing w:after="0" w:line="240" w:lineRule="auto"/>
    </w:pPr>
    <w:rPr>
      <w:rFonts w:eastAsia="Times New Roman" w:cs="Times New Roman"/>
      <w:color w:val="99102F" w:themeColor="accent3" w:themeShade="BF"/>
      <w:sz w:val="20"/>
      <w:szCs w:val="20"/>
      <w:lang w:eastAsia="en-AU"/>
    </w:rPr>
    <w:tblPr>
      <w:tblStyleRowBandSize w:val="1"/>
      <w:tblStyleColBandSize w:val="1"/>
      <w:tblBorders>
        <w:top w:val="single" w:sz="4" w:space="0" w:color="EE6584" w:themeColor="accent3" w:themeTint="99"/>
        <w:left w:val="single" w:sz="4" w:space="0" w:color="EE6584" w:themeColor="accent3" w:themeTint="99"/>
        <w:bottom w:val="single" w:sz="4" w:space="0" w:color="EE6584" w:themeColor="accent3" w:themeTint="99"/>
        <w:right w:val="single" w:sz="4" w:space="0" w:color="EE6584" w:themeColor="accent3" w:themeTint="99"/>
        <w:insideH w:val="single" w:sz="4" w:space="0" w:color="EE6584" w:themeColor="accent3" w:themeTint="99"/>
        <w:insideV w:val="single" w:sz="4" w:space="0" w:color="EE658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CBD6" w:themeFill="accent3" w:themeFillTint="33"/>
      </w:tcPr>
    </w:tblStylePr>
    <w:tblStylePr w:type="band1Horz">
      <w:tblPr/>
      <w:tcPr>
        <w:shd w:val="clear" w:color="auto" w:fill="F9CBD6" w:themeFill="accent3" w:themeFillTint="33"/>
      </w:tcPr>
    </w:tblStylePr>
    <w:tblStylePr w:type="neCell">
      <w:tblPr/>
      <w:tcPr>
        <w:tcBorders>
          <w:bottom w:val="single" w:sz="4" w:space="0" w:color="EE6584" w:themeColor="accent3" w:themeTint="99"/>
        </w:tcBorders>
      </w:tcPr>
    </w:tblStylePr>
    <w:tblStylePr w:type="nwCell">
      <w:tblPr/>
      <w:tcPr>
        <w:tcBorders>
          <w:bottom w:val="single" w:sz="4" w:space="0" w:color="EE6584" w:themeColor="accent3" w:themeTint="99"/>
        </w:tcBorders>
      </w:tcPr>
    </w:tblStylePr>
    <w:tblStylePr w:type="seCell">
      <w:tblPr/>
      <w:tcPr>
        <w:tcBorders>
          <w:top w:val="single" w:sz="4" w:space="0" w:color="EE6584" w:themeColor="accent3" w:themeTint="99"/>
        </w:tcBorders>
      </w:tcPr>
    </w:tblStylePr>
    <w:tblStylePr w:type="swCell">
      <w:tblPr/>
      <w:tcPr>
        <w:tcBorders>
          <w:top w:val="single" w:sz="4" w:space="0" w:color="EE6584" w:themeColor="accent3" w:themeTint="99"/>
        </w:tcBorders>
      </w:tcPr>
    </w:tblStylePr>
  </w:style>
  <w:style w:type="table" w:styleId="GridTable7Colorful-Accent4">
    <w:name w:val="Grid Table 7 Colorful Accent 4"/>
    <w:basedOn w:val="TableNormal"/>
    <w:uiPriority w:val="52"/>
    <w:rsid w:val="00B241C2"/>
    <w:pPr>
      <w:spacing w:after="0" w:line="240" w:lineRule="auto"/>
    </w:pPr>
    <w:rPr>
      <w:rFonts w:eastAsia="Times New Roman" w:cs="Times New Roman"/>
      <w:color w:val="4E1C64" w:themeColor="accent4" w:themeShade="BF"/>
      <w:sz w:val="20"/>
      <w:szCs w:val="20"/>
      <w:lang w:eastAsia="en-AU"/>
    </w:rPr>
    <w:tblPr>
      <w:tblStyleRowBandSize w:val="1"/>
      <w:tblStyleColBandSize w:val="1"/>
      <w:tblBorders>
        <w:top w:val="single" w:sz="4" w:space="0" w:color="AF60D2" w:themeColor="accent4" w:themeTint="99"/>
        <w:left w:val="single" w:sz="4" w:space="0" w:color="AF60D2" w:themeColor="accent4" w:themeTint="99"/>
        <w:bottom w:val="single" w:sz="4" w:space="0" w:color="AF60D2" w:themeColor="accent4" w:themeTint="99"/>
        <w:right w:val="single" w:sz="4" w:space="0" w:color="AF60D2" w:themeColor="accent4" w:themeTint="99"/>
        <w:insideH w:val="single" w:sz="4" w:space="0" w:color="AF60D2" w:themeColor="accent4" w:themeTint="99"/>
        <w:insideV w:val="single" w:sz="4" w:space="0" w:color="AF60D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CAF0" w:themeFill="accent4" w:themeFillTint="33"/>
      </w:tcPr>
    </w:tblStylePr>
    <w:tblStylePr w:type="band1Horz">
      <w:tblPr/>
      <w:tcPr>
        <w:shd w:val="clear" w:color="auto" w:fill="E4CAF0" w:themeFill="accent4" w:themeFillTint="33"/>
      </w:tcPr>
    </w:tblStylePr>
    <w:tblStylePr w:type="neCell">
      <w:tblPr/>
      <w:tcPr>
        <w:tcBorders>
          <w:bottom w:val="single" w:sz="4" w:space="0" w:color="AF60D2" w:themeColor="accent4" w:themeTint="99"/>
        </w:tcBorders>
      </w:tcPr>
    </w:tblStylePr>
    <w:tblStylePr w:type="nwCell">
      <w:tblPr/>
      <w:tcPr>
        <w:tcBorders>
          <w:bottom w:val="single" w:sz="4" w:space="0" w:color="AF60D2" w:themeColor="accent4" w:themeTint="99"/>
        </w:tcBorders>
      </w:tcPr>
    </w:tblStylePr>
    <w:tblStylePr w:type="seCell">
      <w:tblPr/>
      <w:tcPr>
        <w:tcBorders>
          <w:top w:val="single" w:sz="4" w:space="0" w:color="AF60D2" w:themeColor="accent4" w:themeTint="99"/>
        </w:tcBorders>
      </w:tcPr>
    </w:tblStylePr>
    <w:tblStylePr w:type="swCell">
      <w:tblPr/>
      <w:tcPr>
        <w:tcBorders>
          <w:top w:val="single" w:sz="4" w:space="0" w:color="AF60D2" w:themeColor="accent4" w:themeTint="99"/>
        </w:tcBorders>
      </w:tcPr>
    </w:tblStylePr>
  </w:style>
  <w:style w:type="table" w:styleId="GridTable7Colorful-Accent5">
    <w:name w:val="Grid Table 7 Colorful Accent 5"/>
    <w:basedOn w:val="TableNormal"/>
    <w:uiPriority w:val="52"/>
    <w:rsid w:val="00B241C2"/>
    <w:pPr>
      <w:spacing w:after="0" w:line="240" w:lineRule="auto"/>
    </w:pPr>
    <w:rPr>
      <w:rFonts w:eastAsia="Times New Roman" w:cs="Times New Roman"/>
      <w:color w:val="187F39" w:themeColor="accent5" w:themeShade="BF"/>
      <w:sz w:val="20"/>
      <w:szCs w:val="20"/>
      <w:lang w:eastAsia="en-AU"/>
    </w:rPr>
    <w:tblPr>
      <w:tblStyleRowBandSize w:val="1"/>
      <w:tblStyleColBandSize w:val="1"/>
      <w:tblBorders>
        <w:top w:val="single" w:sz="4" w:space="0" w:color="63E18C" w:themeColor="accent5" w:themeTint="99"/>
        <w:left w:val="single" w:sz="4" w:space="0" w:color="63E18C" w:themeColor="accent5" w:themeTint="99"/>
        <w:bottom w:val="single" w:sz="4" w:space="0" w:color="63E18C" w:themeColor="accent5" w:themeTint="99"/>
        <w:right w:val="single" w:sz="4" w:space="0" w:color="63E18C" w:themeColor="accent5" w:themeTint="99"/>
        <w:insideH w:val="single" w:sz="4" w:space="0" w:color="63E18C" w:themeColor="accent5" w:themeTint="99"/>
        <w:insideV w:val="single" w:sz="4" w:space="0" w:color="63E18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BF5D8" w:themeFill="accent5" w:themeFillTint="33"/>
      </w:tcPr>
    </w:tblStylePr>
    <w:tblStylePr w:type="band1Horz">
      <w:tblPr/>
      <w:tcPr>
        <w:shd w:val="clear" w:color="auto" w:fill="CBF5D8" w:themeFill="accent5" w:themeFillTint="33"/>
      </w:tcPr>
    </w:tblStylePr>
    <w:tblStylePr w:type="neCell">
      <w:tblPr/>
      <w:tcPr>
        <w:tcBorders>
          <w:bottom w:val="single" w:sz="4" w:space="0" w:color="63E18C" w:themeColor="accent5" w:themeTint="99"/>
        </w:tcBorders>
      </w:tcPr>
    </w:tblStylePr>
    <w:tblStylePr w:type="nwCell">
      <w:tblPr/>
      <w:tcPr>
        <w:tcBorders>
          <w:bottom w:val="single" w:sz="4" w:space="0" w:color="63E18C" w:themeColor="accent5" w:themeTint="99"/>
        </w:tcBorders>
      </w:tcPr>
    </w:tblStylePr>
    <w:tblStylePr w:type="seCell">
      <w:tblPr/>
      <w:tcPr>
        <w:tcBorders>
          <w:top w:val="single" w:sz="4" w:space="0" w:color="63E18C" w:themeColor="accent5" w:themeTint="99"/>
        </w:tcBorders>
      </w:tcPr>
    </w:tblStylePr>
    <w:tblStylePr w:type="swCell">
      <w:tblPr/>
      <w:tcPr>
        <w:tcBorders>
          <w:top w:val="single" w:sz="4" w:space="0" w:color="63E18C" w:themeColor="accent5" w:themeTint="99"/>
        </w:tcBorders>
      </w:tcPr>
    </w:tblStylePr>
  </w:style>
  <w:style w:type="table" w:styleId="GridTable7Colorful-Accent6">
    <w:name w:val="Grid Table 7 Colorful Accent 6"/>
    <w:basedOn w:val="TableNormal"/>
    <w:uiPriority w:val="52"/>
    <w:rsid w:val="00B241C2"/>
    <w:pPr>
      <w:spacing w:after="0" w:line="240" w:lineRule="auto"/>
    </w:pPr>
    <w:rPr>
      <w:rFonts w:eastAsia="Times New Roman" w:cs="Times New Roman"/>
      <w:color w:val="005D88" w:themeColor="accent6" w:themeShade="BF"/>
      <w:sz w:val="20"/>
      <w:szCs w:val="20"/>
      <w:lang w:eastAsia="en-AU"/>
    </w:rPr>
    <w:tblPr>
      <w:tblStyleRowBandSize w:val="1"/>
      <w:tblStyleColBandSize w:val="1"/>
      <w:tblBorders>
        <w:top w:val="single" w:sz="4" w:space="0" w:color="3AC1FF" w:themeColor="accent6" w:themeTint="99"/>
        <w:left w:val="single" w:sz="4" w:space="0" w:color="3AC1FF" w:themeColor="accent6" w:themeTint="99"/>
        <w:bottom w:val="single" w:sz="4" w:space="0" w:color="3AC1FF" w:themeColor="accent6" w:themeTint="99"/>
        <w:right w:val="single" w:sz="4" w:space="0" w:color="3AC1FF" w:themeColor="accent6" w:themeTint="99"/>
        <w:insideH w:val="single" w:sz="4" w:space="0" w:color="3AC1FF" w:themeColor="accent6" w:themeTint="99"/>
        <w:insideV w:val="single" w:sz="4" w:space="0" w:color="3AC1F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DEAFF" w:themeFill="accent6" w:themeFillTint="33"/>
      </w:tcPr>
    </w:tblStylePr>
    <w:tblStylePr w:type="band1Horz">
      <w:tblPr/>
      <w:tcPr>
        <w:shd w:val="clear" w:color="auto" w:fill="BDEAFF" w:themeFill="accent6" w:themeFillTint="33"/>
      </w:tcPr>
    </w:tblStylePr>
    <w:tblStylePr w:type="neCell">
      <w:tblPr/>
      <w:tcPr>
        <w:tcBorders>
          <w:bottom w:val="single" w:sz="4" w:space="0" w:color="3AC1FF" w:themeColor="accent6" w:themeTint="99"/>
        </w:tcBorders>
      </w:tcPr>
    </w:tblStylePr>
    <w:tblStylePr w:type="nwCell">
      <w:tblPr/>
      <w:tcPr>
        <w:tcBorders>
          <w:bottom w:val="single" w:sz="4" w:space="0" w:color="3AC1FF" w:themeColor="accent6" w:themeTint="99"/>
        </w:tcBorders>
      </w:tcPr>
    </w:tblStylePr>
    <w:tblStylePr w:type="seCell">
      <w:tblPr/>
      <w:tcPr>
        <w:tcBorders>
          <w:top w:val="single" w:sz="4" w:space="0" w:color="3AC1FF" w:themeColor="accent6" w:themeTint="99"/>
        </w:tcBorders>
      </w:tcPr>
    </w:tblStylePr>
    <w:tblStylePr w:type="swCell">
      <w:tblPr/>
      <w:tcPr>
        <w:tcBorders>
          <w:top w:val="single" w:sz="4" w:space="0" w:color="3AC1FF" w:themeColor="accent6" w:themeTint="99"/>
        </w:tcBorders>
      </w:tcPr>
    </w:tblStylePr>
  </w:style>
  <w:style w:type="character" w:styleId="HTMLAcronym">
    <w:name w:val="HTML Acronym"/>
    <w:basedOn w:val="DefaultParagraphFont"/>
    <w:semiHidden/>
    <w:unhideWhenUsed/>
    <w:rsid w:val="00B241C2"/>
  </w:style>
  <w:style w:type="character" w:styleId="HTMLCite">
    <w:name w:val="HTML Cite"/>
    <w:basedOn w:val="DefaultParagraphFont"/>
    <w:semiHidden/>
    <w:unhideWhenUsed/>
    <w:rsid w:val="00B241C2"/>
    <w:rPr>
      <w:i/>
      <w:iCs/>
    </w:rPr>
  </w:style>
  <w:style w:type="character" w:styleId="HTMLCode">
    <w:name w:val="HTML Code"/>
    <w:basedOn w:val="DefaultParagraphFont"/>
    <w:semiHidden/>
    <w:unhideWhenUsed/>
    <w:rsid w:val="00B241C2"/>
    <w:rPr>
      <w:rFonts w:ascii="Consolas" w:hAnsi="Consolas" w:cs="Consolas"/>
      <w:sz w:val="20"/>
      <w:szCs w:val="20"/>
    </w:rPr>
  </w:style>
  <w:style w:type="character" w:styleId="HTMLDefinition">
    <w:name w:val="HTML Definition"/>
    <w:basedOn w:val="DefaultParagraphFont"/>
    <w:semiHidden/>
    <w:unhideWhenUsed/>
    <w:rsid w:val="00B241C2"/>
    <w:rPr>
      <w:i/>
      <w:iCs/>
    </w:rPr>
  </w:style>
  <w:style w:type="character" w:styleId="HTMLKeyboard">
    <w:name w:val="HTML Keyboard"/>
    <w:basedOn w:val="DefaultParagraphFont"/>
    <w:semiHidden/>
    <w:unhideWhenUsed/>
    <w:rsid w:val="00B241C2"/>
    <w:rPr>
      <w:rFonts w:ascii="Consolas" w:hAnsi="Consolas" w:cs="Consolas"/>
      <w:sz w:val="20"/>
      <w:szCs w:val="20"/>
    </w:rPr>
  </w:style>
  <w:style w:type="character" w:styleId="HTMLSample">
    <w:name w:val="HTML Sample"/>
    <w:basedOn w:val="DefaultParagraphFont"/>
    <w:semiHidden/>
    <w:unhideWhenUsed/>
    <w:rsid w:val="00B241C2"/>
    <w:rPr>
      <w:rFonts w:ascii="Consolas" w:hAnsi="Consolas" w:cs="Consolas"/>
      <w:sz w:val="24"/>
      <w:szCs w:val="24"/>
    </w:rPr>
  </w:style>
  <w:style w:type="character" w:styleId="HTMLTypewriter">
    <w:name w:val="HTML Typewriter"/>
    <w:basedOn w:val="DefaultParagraphFont"/>
    <w:semiHidden/>
    <w:unhideWhenUsed/>
    <w:rsid w:val="00B241C2"/>
    <w:rPr>
      <w:rFonts w:ascii="Consolas" w:hAnsi="Consolas" w:cs="Consolas"/>
      <w:sz w:val="20"/>
      <w:szCs w:val="20"/>
    </w:rPr>
  </w:style>
  <w:style w:type="character" w:styleId="HTMLVariable">
    <w:name w:val="HTML Variable"/>
    <w:basedOn w:val="DefaultParagraphFont"/>
    <w:semiHidden/>
    <w:unhideWhenUsed/>
    <w:rsid w:val="00B241C2"/>
    <w:rPr>
      <w:i/>
      <w:iCs/>
    </w:rPr>
  </w:style>
  <w:style w:type="character" w:styleId="IntenseReference">
    <w:name w:val="Intense Reference"/>
    <w:basedOn w:val="DefaultParagraphFont"/>
    <w:uiPriority w:val="32"/>
    <w:rsid w:val="00B241C2"/>
    <w:rPr>
      <w:b/>
      <w:bCs/>
      <w:smallCaps/>
      <w:color w:val="D7D8D6" w:themeColor="accent1"/>
      <w:spacing w:val="5"/>
    </w:rPr>
  </w:style>
  <w:style w:type="table" w:styleId="LightGrid-Accent1">
    <w:name w:val="Light Grid Accent 1"/>
    <w:basedOn w:val="TableNormal"/>
    <w:uiPriority w:val="62"/>
    <w:semiHidden/>
    <w:unhideWhenUsed/>
    <w:rsid w:val="00B241C2"/>
    <w:pPr>
      <w:spacing w:after="0" w:line="240" w:lineRule="auto"/>
    </w:pPr>
    <w:rPr>
      <w:rFonts w:eastAsia="Times New Roman" w:cs="Times New Roman"/>
      <w:sz w:val="20"/>
      <w:szCs w:val="20"/>
      <w:lang w:eastAsia="en-AU"/>
    </w:rPr>
    <w:tblPr>
      <w:tblStyleRowBandSize w:val="1"/>
      <w:tblStyleColBandSize w:val="1"/>
      <w:tblBorders>
        <w:top w:val="single" w:sz="8" w:space="0" w:color="D7D8D6" w:themeColor="accent1"/>
        <w:left w:val="single" w:sz="8" w:space="0" w:color="D7D8D6" w:themeColor="accent1"/>
        <w:bottom w:val="single" w:sz="8" w:space="0" w:color="D7D8D6" w:themeColor="accent1"/>
        <w:right w:val="single" w:sz="8" w:space="0" w:color="D7D8D6" w:themeColor="accent1"/>
        <w:insideH w:val="single" w:sz="8" w:space="0" w:color="D7D8D6" w:themeColor="accent1"/>
        <w:insideV w:val="single" w:sz="8" w:space="0" w:color="D7D8D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7D8D6" w:themeColor="accent1"/>
          <w:left w:val="single" w:sz="8" w:space="0" w:color="D7D8D6" w:themeColor="accent1"/>
          <w:bottom w:val="single" w:sz="18" w:space="0" w:color="D7D8D6" w:themeColor="accent1"/>
          <w:right w:val="single" w:sz="8" w:space="0" w:color="D7D8D6" w:themeColor="accent1"/>
          <w:insideH w:val="nil"/>
          <w:insideV w:val="single" w:sz="8" w:space="0" w:color="D7D8D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7D8D6" w:themeColor="accent1"/>
          <w:left w:val="single" w:sz="8" w:space="0" w:color="D7D8D6" w:themeColor="accent1"/>
          <w:bottom w:val="single" w:sz="8" w:space="0" w:color="D7D8D6" w:themeColor="accent1"/>
          <w:right w:val="single" w:sz="8" w:space="0" w:color="D7D8D6" w:themeColor="accent1"/>
          <w:insideH w:val="nil"/>
          <w:insideV w:val="single" w:sz="8" w:space="0" w:color="D7D8D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7D8D6" w:themeColor="accent1"/>
          <w:left w:val="single" w:sz="8" w:space="0" w:color="D7D8D6" w:themeColor="accent1"/>
          <w:bottom w:val="single" w:sz="8" w:space="0" w:color="D7D8D6" w:themeColor="accent1"/>
          <w:right w:val="single" w:sz="8" w:space="0" w:color="D7D8D6" w:themeColor="accent1"/>
        </w:tcBorders>
      </w:tcPr>
    </w:tblStylePr>
    <w:tblStylePr w:type="band1Vert">
      <w:tblPr/>
      <w:tcPr>
        <w:tcBorders>
          <w:top w:val="single" w:sz="8" w:space="0" w:color="D7D8D6" w:themeColor="accent1"/>
          <w:left w:val="single" w:sz="8" w:space="0" w:color="D7D8D6" w:themeColor="accent1"/>
          <w:bottom w:val="single" w:sz="8" w:space="0" w:color="D7D8D6" w:themeColor="accent1"/>
          <w:right w:val="single" w:sz="8" w:space="0" w:color="D7D8D6" w:themeColor="accent1"/>
        </w:tcBorders>
        <w:shd w:val="clear" w:color="auto" w:fill="F4F5F4" w:themeFill="accent1" w:themeFillTint="3F"/>
      </w:tcPr>
    </w:tblStylePr>
    <w:tblStylePr w:type="band1Horz">
      <w:tblPr/>
      <w:tcPr>
        <w:tcBorders>
          <w:top w:val="single" w:sz="8" w:space="0" w:color="D7D8D6" w:themeColor="accent1"/>
          <w:left w:val="single" w:sz="8" w:space="0" w:color="D7D8D6" w:themeColor="accent1"/>
          <w:bottom w:val="single" w:sz="8" w:space="0" w:color="D7D8D6" w:themeColor="accent1"/>
          <w:right w:val="single" w:sz="8" w:space="0" w:color="D7D8D6" w:themeColor="accent1"/>
          <w:insideV w:val="single" w:sz="8" w:space="0" w:color="D7D8D6" w:themeColor="accent1"/>
        </w:tcBorders>
        <w:shd w:val="clear" w:color="auto" w:fill="F4F5F4" w:themeFill="accent1" w:themeFillTint="3F"/>
      </w:tcPr>
    </w:tblStylePr>
    <w:tblStylePr w:type="band2Horz">
      <w:tblPr/>
      <w:tcPr>
        <w:tcBorders>
          <w:top w:val="single" w:sz="8" w:space="0" w:color="D7D8D6" w:themeColor="accent1"/>
          <w:left w:val="single" w:sz="8" w:space="0" w:color="D7D8D6" w:themeColor="accent1"/>
          <w:bottom w:val="single" w:sz="8" w:space="0" w:color="D7D8D6" w:themeColor="accent1"/>
          <w:right w:val="single" w:sz="8" w:space="0" w:color="D7D8D6" w:themeColor="accent1"/>
          <w:insideV w:val="single" w:sz="8" w:space="0" w:color="D7D8D6" w:themeColor="accent1"/>
        </w:tcBorders>
      </w:tcPr>
    </w:tblStylePr>
  </w:style>
  <w:style w:type="table" w:styleId="LightGrid-Accent2">
    <w:name w:val="Light Grid Accent 2"/>
    <w:basedOn w:val="TableNormal"/>
    <w:uiPriority w:val="62"/>
    <w:semiHidden/>
    <w:unhideWhenUsed/>
    <w:rsid w:val="00B241C2"/>
    <w:pPr>
      <w:spacing w:after="0" w:line="240" w:lineRule="auto"/>
    </w:pPr>
    <w:rPr>
      <w:rFonts w:eastAsia="Times New Roman" w:cs="Times New Roman"/>
      <w:sz w:val="20"/>
      <w:szCs w:val="20"/>
      <w:lang w:eastAsia="en-AU"/>
    </w:rPr>
    <w:tblPr>
      <w:tblStyleRowBandSize w:val="1"/>
      <w:tblStyleColBandSize w:val="1"/>
      <w:tblBorders>
        <w:top w:val="single" w:sz="8" w:space="0" w:color="FFC709" w:themeColor="accent2"/>
        <w:left w:val="single" w:sz="8" w:space="0" w:color="FFC709" w:themeColor="accent2"/>
        <w:bottom w:val="single" w:sz="8" w:space="0" w:color="FFC709" w:themeColor="accent2"/>
        <w:right w:val="single" w:sz="8" w:space="0" w:color="FFC709" w:themeColor="accent2"/>
        <w:insideH w:val="single" w:sz="8" w:space="0" w:color="FFC709" w:themeColor="accent2"/>
        <w:insideV w:val="single" w:sz="8" w:space="0" w:color="FFC70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709" w:themeColor="accent2"/>
          <w:left w:val="single" w:sz="8" w:space="0" w:color="FFC709" w:themeColor="accent2"/>
          <w:bottom w:val="single" w:sz="18" w:space="0" w:color="FFC709" w:themeColor="accent2"/>
          <w:right w:val="single" w:sz="8" w:space="0" w:color="FFC709" w:themeColor="accent2"/>
          <w:insideH w:val="nil"/>
          <w:insideV w:val="single" w:sz="8" w:space="0" w:color="FFC70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709" w:themeColor="accent2"/>
          <w:left w:val="single" w:sz="8" w:space="0" w:color="FFC709" w:themeColor="accent2"/>
          <w:bottom w:val="single" w:sz="8" w:space="0" w:color="FFC709" w:themeColor="accent2"/>
          <w:right w:val="single" w:sz="8" w:space="0" w:color="FFC709" w:themeColor="accent2"/>
          <w:insideH w:val="nil"/>
          <w:insideV w:val="single" w:sz="8" w:space="0" w:color="FFC70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709" w:themeColor="accent2"/>
          <w:left w:val="single" w:sz="8" w:space="0" w:color="FFC709" w:themeColor="accent2"/>
          <w:bottom w:val="single" w:sz="8" w:space="0" w:color="FFC709" w:themeColor="accent2"/>
          <w:right w:val="single" w:sz="8" w:space="0" w:color="FFC709" w:themeColor="accent2"/>
        </w:tcBorders>
      </w:tcPr>
    </w:tblStylePr>
    <w:tblStylePr w:type="band1Vert">
      <w:tblPr/>
      <w:tcPr>
        <w:tcBorders>
          <w:top w:val="single" w:sz="8" w:space="0" w:color="FFC709" w:themeColor="accent2"/>
          <w:left w:val="single" w:sz="8" w:space="0" w:color="FFC709" w:themeColor="accent2"/>
          <w:bottom w:val="single" w:sz="8" w:space="0" w:color="FFC709" w:themeColor="accent2"/>
          <w:right w:val="single" w:sz="8" w:space="0" w:color="FFC709" w:themeColor="accent2"/>
        </w:tcBorders>
        <w:shd w:val="clear" w:color="auto" w:fill="FFF0C2" w:themeFill="accent2" w:themeFillTint="3F"/>
      </w:tcPr>
    </w:tblStylePr>
    <w:tblStylePr w:type="band1Horz">
      <w:tblPr/>
      <w:tcPr>
        <w:tcBorders>
          <w:top w:val="single" w:sz="8" w:space="0" w:color="FFC709" w:themeColor="accent2"/>
          <w:left w:val="single" w:sz="8" w:space="0" w:color="FFC709" w:themeColor="accent2"/>
          <w:bottom w:val="single" w:sz="8" w:space="0" w:color="FFC709" w:themeColor="accent2"/>
          <w:right w:val="single" w:sz="8" w:space="0" w:color="FFC709" w:themeColor="accent2"/>
          <w:insideV w:val="single" w:sz="8" w:space="0" w:color="FFC709" w:themeColor="accent2"/>
        </w:tcBorders>
        <w:shd w:val="clear" w:color="auto" w:fill="FFF0C2" w:themeFill="accent2" w:themeFillTint="3F"/>
      </w:tcPr>
    </w:tblStylePr>
    <w:tblStylePr w:type="band2Horz">
      <w:tblPr/>
      <w:tcPr>
        <w:tcBorders>
          <w:top w:val="single" w:sz="8" w:space="0" w:color="FFC709" w:themeColor="accent2"/>
          <w:left w:val="single" w:sz="8" w:space="0" w:color="FFC709" w:themeColor="accent2"/>
          <w:bottom w:val="single" w:sz="8" w:space="0" w:color="FFC709" w:themeColor="accent2"/>
          <w:right w:val="single" w:sz="8" w:space="0" w:color="FFC709" w:themeColor="accent2"/>
          <w:insideV w:val="single" w:sz="8" w:space="0" w:color="FFC709" w:themeColor="accent2"/>
        </w:tcBorders>
      </w:tcPr>
    </w:tblStylePr>
  </w:style>
  <w:style w:type="table" w:styleId="LightGrid-Accent3">
    <w:name w:val="Light Grid Accent 3"/>
    <w:basedOn w:val="TableNormal"/>
    <w:uiPriority w:val="62"/>
    <w:semiHidden/>
    <w:unhideWhenUsed/>
    <w:rsid w:val="00B241C2"/>
    <w:pPr>
      <w:spacing w:after="0" w:line="240" w:lineRule="auto"/>
    </w:pPr>
    <w:rPr>
      <w:rFonts w:eastAsia="Times New Roman" w:cs="Times New Roman"/>
      <w:sz w:val="20"/>
      <w:szCs w:val="20"/>
      <w:lang w:eastAsia="en-AU"/>
    </w:rPr>
    <w:tblPr>
      <w:tblStyleRowBandSize w:val="1"/>
      <w:tblStyleColBandSize w:val="1"/>
      <w:tblBorders>
        <w:top w:val="single" w:sz="8" w:space="0" w:color="CD163F" w:themeColor="accent3"/>
        <w:left w:val="single" w:sz="8" w:space="0" w:color="CD163F" w:themeColor="accent3"/>
        <w:bottom w:val="single" w:sz="8" w:space="0" w:color="CD163F" w:themeColor="accent3"/>
        <w:right w:val="single" w:sz="8" w:space="0" w:color="CD163F" w:themeColor="accent3"/>
        <w:insideH w:val="single" w:sz="8" w:space="0" w:color="CD163F" w:themeColor="accent3"/>
        <w:insideV w:val="single" w:sz="8" w:space="0" w:color="CD163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D163F" w:themeColor="accent3"/>
          <w:left w:val="single" w:sz="8" w:space="0" w:color="CD163F" w:themeColor="accent3"/>
          <w:bottom w:val="single" w:sz="18" w:space="0" w:color="CD163F" w:themeColor="accent3"/>
          <w:right w:val="single" w:sz="8" w:space="0" w:color="CD163F" w:themeColor="accent3"/>
          <w:insideH w:val="nil"/>
          <w:insideV w:val="single" w:sz="8" w:space="0" w:color="CD163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D163F" w:themeColor="accent3"/>
          <w:left w:val="single" w:sz="8" w:space="0" w:color="CD163F" w:themeColor="accent3"/>
          <w:bottom w:val="single" w:sz="8" w:space="0" w:color="CD163F" w:themeColor="accent3"/>
          <w:right w:val="single" w:sz="8" w:space="0" w:color="CD163F" w:themeColor="accent3"/>
          <w:insideH w:val="nil"/>
          <w:insideV w:val="single" w:sz="8" w:space="0" w:color="CD163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D163F" w:themeColor="accent3"/>
          <w:left w:val="single" w:sz="8" w:space="0" w:color="CD163F" w:themeColor="accent3"/>
          <w:bottom w:val="single" w:sz="8" w:space="0" w:color="CD163F" w:themeColor="accent3"/>
          <w:right w:val="single" w:sz="8" w:space="0" w:color="CD163F" w:themeColor="accent3"/>
        </w:tcBorders>
      </w:tcPr>
    </w:tblStylePr>
    <w:tblStylePr w:type="band1Vert">
      <w:tblPr/>
      <w:tcPr>
        <w:tcBorders>
          <w:top w:val="single" w:sz="8" w:space="0" w:color="CD163F" w:themeColor="accent3"/>
          <w:left w:val="single" w:sz="8" w:space="0" w:color="CD163F" w:themeColor="accent3"/>
          <w:bottom w:val="single" w:sz="8" w:space="0" w:color="CD163F" w:themeColor="accent3"/>
          <w:right w:val="single" w:sz="8" w:space="0" w:color="CD163F" w:themeColor="accent3"/>
        </w:tcBorders>
        <w:shd w:val="clear" w:color="auto" w:fill="F8BFCC" w:themeFill="accent3" w:themeFillTint="3F"/>
      </w:tcPr>
    </w:tblStylePr>
    <w:tblStylePr w:type="band1Horz">
      <w:tblPr/>
      <w:tcPr>
        <w:tcBorders>
          <w:top w:val="single" w:sz="8" w:space="0" w:color="CD163F" w:themeColor="accent3"/>
          <w:left w:val="single" w:sz="8" w:space="0" w:color="CD163F" w:themeColor="accent3"/>
          <w:bottom w:val="single" w:sz="8" w:space="0" w:color="CD163F" w:themeColor="accent3"/>
          <w:right w:val="single" w:sz="8" w:space="0" w:color="CD163F" w:themeColor="accent3"/>
          <w:insideV w:val="single" w:sz="8" w:space="0" w:color="CD163F" w:themeColor="accent3"/>
        </w:tcBorders>
        <w:shd w:val="clear" w:color="auto" w:fill="F8BFCC" w:themeFill="accent3" w:themeFillTint="3F"/>
      </w:tcPr>
    </w:tblStylePr>
    <w:tblStylePr w:type="band2Horz">
      <w:tblPr/>
      <w:tcPr>
        <w:tcBorders>
          <w:top w:val="single" w:sz="8" w:space="0" w:color="CD163F" w:themeColor="accent3"/>
          <w:left w:val="single" w:sz="8" w:space="0" w:color="CD163F" w:themeColor="accent3"/>
          <w:bottom w:val="single" w:sz="8" w:space="0" w:color="CD163F" w:themeColor="accent3"/>
          <w:right w:val="single" w:sz="8" w:space="0" w:color="CD163F" w:themeColor="accent3"/>
          <w:insideV w:val="single" w:sz="8" w:space="0" w:color="CD163F" w:themeColor="accent3"/>
        </w:tcBorders>
      </w:tcPr>
    </w:tblStylePr>
  </w:style>
  <w:style w:type="table" w:styleId="LightGrid-Accent4">
    <w:name w:val="Light Grid Accent 4"/>
    <w:basedOn w:val="TableNormal"/>
    <w:uiPriority w:val="62"/>
    <w:semiHidden/>
    <w:unhideWhenUsed/>
    <w:rsid w:val="00B241C2"/>
    <w:pPr>
      <w:spacing w:after="0" w:line="240" w:lineRule="auto"/>
    </w:pPr>
    <w:rPr>
      <w:rFonts w:eastAsia="Times New Roman" w:cs="Times New Roman"/>
      <w:sz w:val="20"/>
      <w:szCs w:val="20"/>
      <w:lang w:eastAsia="en-AU"/>
    </w:rPr>
    <w:tblPr>
      <w:tblStyleRowBandSize w:val="1"/>
      <w:tblStyleColBandSize w:val="1"/>
      <w:tblBorders>
        <w:top w:val="single" w:sz="8" w:space="0" w:color="692686" w:themeColor="accent4"/>
        <w:left w:val="single" w:sz="8" w:space="0" w:color="692686" w:themeColor="accent4"/>
        <w:bottom w:val="single" w:sz="8" w:space="0" w:color="692686" w:themeColor="accent4"/>
        <w:right w:val="single" w:sz="8" w:space="0" w:color="692686" w:themeColor="accent4"/>
        <w:insideH w:val="single" w:sz="8" w:space="0" w:color="692686" w:themeColor="accent4"/>
        <w:insideV w:val="single" w:sz="8" w:space="0" w:color="69268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92686" w:themeColor="accent4"/>
          <w:left w:val="single" w:sz="8" w:space="0" w:color="692686" w:themeColor="accent4"/>
          <w:bottom w:val="single" w:sz="18" w:space="0" w:color="692686" w:themeColor="accent4"/>
          <w:right w:val="single" w:sz="8" w:space="0" w:color="692686" w:themeColor="accent4"/>
          <w:insideH w:val="nil"/>
          <w:insideV w:val="single" w:sz="8" w:space="0" w:color="69268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92686" w:themeColor="accent4"/>
          <w:left w:val="single" w:sz="8" w:space="0" w:color="692686" w:themeColor="accent4"/>
          <w:bottom w:val="single" w:sz="8" w:space="0" w:color="692686" w:themeColor="accent4"/>
          <w:right w:val="single" w:sz="8" w:space="0" w:color="692686" w:themeColor="accent4"/>
          <w:insideH w:val="nil"/>
          <w:insideV w:val="single" w:sz="8" w:space="0" w:color="69268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92686" w:themeColor="accent4"/>
          <w:left w:val="single" w:sz="8" w:space="0" w:color="692686" w:themeColor="accent4"/>
          <w:bottom w:val="single" w:sz="8" w:space="0" w:color="692686" w:themeColor="accent4"/>
          <w:right w:val="single" w:sz="8" w:space="0" w:color="692686" w:themeColor="accent4"/>
        </w:tcBorders>
      </w:tcPr>
    </w:tblStylePr>
    <w:tblStylePr w:type="band1Vert">
      <w:tblPr/>
      <w:tcPr>
        <w:tcBorders>
          <w:top w:val="single" w:sz="8" w:space="0" w:color="692686" w:themeColor="accent4"/>
          <w:left w:val="single" w:sz="8" w:space="0" w:color="692686" w:themeColor="accent4"/>
          <w:bottom w:val="single" w:sz="8" w:space="0" w:color="692686" w:themeColor="accent4"/>
          <w:right w:val="single" w:sz="8" w:space="0" w:color="692686" w:themeColor="accent4"/>
        </w:tcBorders>
        <w:shd w:val="clear" w:color="auto" w:fill="DEBDEC" w:themeFill="accent4" w:themeFillTint="3F"/>
      </w:tcPr>
    </w:tblStylePr>
    <w:tblStylePr w:type="band1Horz">
      <w:tblPr/>
      <w:tcPr>
        <w:tcBorders>
          <w:top w:val="single" w:sz="8" w:space="0" w:color="692686" w:themeColor="accent4"/>
          <w:left w:val="single" w:sz="8" w:space="0" w:color="692686" w:themeColor="accent4"/>
          <w:bottom w:val="single" w:sz="8" w:space="0" w:color="692686" w:themeColor="accent4"/>
          <w:right w:val="single" w:sz="8" w:space="0" w:color="692686" w:themeColor="accent4"/>
          <w:insideV w:val="single" w:sz="8" w:space="0" w:color="692686" w:themeColor="accent4"/>
        </w:tcBorders>
        <w:shd w:val="clear" w:color="auto" w:fill="DEBDEC" w:themeFill="accent4" w:themeFillTint="3F"/>
      </w:tcPr>
    </w:tblStylePr>
    <w:tblStylePr w:type="band2Horz">
      <w:tblPr/>
      <w:tcPr>
        <w:tcBorders>
          <w:top w:val="single" w:sz="8" w:space="0" w:color="692686" w:themeColor="accent4"/>
          <w:left w:val="single" w:sz="8" w:space="0" w:color="692686" w:themeColor="accent4"/>
          <w:bottom w:val="single" w:sz="8" w:space="0" w:color="692686" w:themeColor="accent4"/>
          <w:right w:val="single" w:sz="8" w:space="0" w:color="692686" w:themeColor="accent4"/>
          <w:insideV w:val="single" w:sz="8" w:space="0" w:color="692686" w:themeColor="accent4"/>
        </w:tcBorders>
      </w:tcPr>
    </w:tblStylePr>
  </w:style>
  <w:style w:type="table" w:styleId="LightGrid-Accent5">
    <w:name w:val="Light Grid Accent 5"/>
    <w:basedOn w:val="TableNormal"/>
    <w:uiPriority w:val="62"/>
    <w:semiHidden/>
    <w:unhideWhenUsed/>
    <w:rsid w:val="00B241C2"/>
    <w:pPr>
      <w:spacing w:after="0" w:line="240" w:lineRule="auto"/>
    </w:pPr>
    <w:rPr>
      <w:rFonts w:eastAsia="Times New Roman" w:cs="Times New Roman"/>
      <w:sz w:val="20"/>
      <w:szCs w:val="20"/>
      <w:lang w:eastAsia="en-AU"/>
    </w:rPr>
    <w:tblPr>
      <w:tblStyleRowBandSize w:val="1"/>
      <w:tblStyleColBandSize w:val="1"/>
      <w:tblBorders>
        <w:top w:val="single" w:sz="8" w:space="0" w:color="20AA4D" w:themeColor="accent5"/>
        <w:left w:val="single" w:sz="8" w:space="0" w:color="20AA4D" w:themeColor="accent5"/>
        <w:bottom w:val="single" w:sz="8" w:space="0" w:color="20AA4D" w:themeColor="accent5"/>
        <w:right w:val="single" w:sz="8" w:space="0" w:color="20AA4D" w:themeColor="accent5"/>
        <w:insideH w:val="single" w:sz="8" w:space="0" w:color="20AA4D" w:themeColor="accent5"/>
        <w:insideV w:val="single" w:sz="8" w:space="0" w:color="20AA4D"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AA4D" w:themeColor="accent5"/>
          <w:left w:val="single" w:sz="8" w:space="0" w:color="20AA4D" w:themeColor="accent5"/>
          <w:bottom w:val="single" w:sz="18" w:space="0" w:color="20AA4D" w:themeColor="accent5"/>
          <w:right w:val="single" w:sz="8" w:space="0" w:color="20AA4D" w:themeColor="accent5"/>
          <w:insideH w:val="nil"/>
          <w:insideV w:val="single" w:sz="8" w:space="0" w:color="20AA4D"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AA4D" w:themeColor="accent5"/>
          <w:left w:val="single" w:sz="8" w:space="0" w:color="20AA4D" w:themeColor="accent5"/>
          <w:bottom w:val="single" w:sz="8" w:space="0" w:color="20AA4D" w:themeColor="accent5"/>
          <w:right w:val="single" w:sz="8" w:space="0" w:color="20AA4D" w:themeColor="accent5"/>
          <w:insideH w:val="nil"/>
          <w:insideV w:val="single" w:sz="8" w:space="0" w:color="20AA4D"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AA4D" w:themeColor="accent5"/>
          <w:left w:val="single" w:sz="8" w:space="0" w:color="20AA4D" w:themeColor="accent5"/>
          <w:bottom w:val="single" w:sz="8" w:space="0" w:color="20AA4D" w:themeColor="accent5"/>
          <w:right w:val="single" w:sz="8" w:space="0" w:color="20AA4D" w:themeColor="accent5"/>
        </w:tcBorders>
      </w:tcPr>
    </w:tblStylePr>
    <w:tblStylePr w:type="band1Vert">
      <w:tblPr/>
      <w:tcPr>
        <w:tcBorders>
          <w:top w:val="single" w:sz="8" w:space="0" w:color="20AA4D" w:themeColor="accent5"/>
          <w:left w:val="single" w:sz="8" w:space="0" w:color="20AA4D" w:themeColor="accent5"/>
          <w:bottom w:val="single" w:sz="8" w:space="0" w:color="20AA4D" w:themeColor="accent5"/>
          <w:right w:val="single" w:sz="8" w:space="0" w:color="20AA4D" w:themeColor="accent5"/>
        </w:tcBorders>
        <w:shd w:val="clear" w:color="auto" w:fill="BEF3CF" w:themeFill="accent5" w:themeFillTint="3F"/>
      </w:tcPr>
    </w:tblStylePr>
    <w:tblStylePr w:type="band1Horz">
      <w:tblPr/>
      <w:tcPr>
        <w:tcBorders>
          <w:top w:val="single" w:sz="8" w:space="0" w:color="20AA4D" w:themeColor="accent5"/>
          <w:left w:val="single" w:sz="8" w:space="0" w:color="20AA4D" w:themeColor="accent5"/>
          <w:bottom w:val="single" w:sz="8" w:space="0" w:color="20AA4D" w:themeColor="accent5"/>
          <w:right w:val="single" w:sz="8" w:space="0" w:color="20AA4D" w:themeColor="accent5"/>
          <w:insideV w:val="single" w:sz="8" w:space="0" w:color="20AA4D" w:themeColor="accent5"/>
        </w:tcBorders>
        <w:shd w:val="clear" w:color="auto" w:fill="BEF3CF" w:themeFill="accent5" w:themeFillTint="3F"/>
      </w:tcPr>
    </w:tblStylePr>
    <w:tblStylePr w:type="band2Horz">
      <w:tblPr/>
      <w:tcPr>
        <w:tcBorders>
          <w:top w:val="single" w:sz="8" w:space="0" w:color="20AA4D" w:themeColor="accent5"/>
          <w:left w:val="single" w:sz="8" w:space="0" w:color="20AA4D" w:themeColor="accent5"/>
          <w:bottom w:val="single" w:sz="8" w:space="0" w:color="20AA4D" w:themeColor="accent5"/>
          <w:right w:val="single" w:sz="8" w:space="0" w:color="20AA4D" w:themeColor="accent5"/>
          <w:insideV w:val="single" w:sz="8" w:space="0" w:color="20AA4D" w:themeColor="accent5"/>
        </w:tcBorders>
      </w:tcPr>
    </w:tblStylePr>
  </w:style>
  <w:style w:type="table" w:styleId="LightGrid-Accent6">
    <w:name w:val="Light Grid Accent 6"/>
    <w:basedOn w:val="TableNormal"/>
    <w:uiPriority w:val="62"/>
    <w:semiHidden/>
    <w:unhideWhenUsed/>
    <w:rsid w:val="00B241C2"/>
    <w:pPr>
      <w:spacing w:after="0" w:line="240" w:lineRule="auto"/>
    </w:pPr>
    <w:rPr>
      <w:rFonts w:eastAsia="Times New Roman" w:cs="Times New Roman"/>
      <w:sz w:val="20"/>
      <w:szCs w:val="20"/>
      <w:lang w:eastAsia="en-AU"/>
    </w:rPr>
    <w:tblPr>
      <w:tblStyleRowBandSize w:val="1"/>
      <w:tblStyleColBandSize w:val="1"/>
      <w:tblBorders>
        <w:top w:val="single" w:sz="8" w:space="0" w:color="007DB6" w:themeColor="accent6"/>
        <w:left w:val="single" w:sz="8" w:space="0" w:color="007DB6" w:themeColor="accent6"/>
        <w:bottom w:val="single" w:sz="8" w:space="0" w:color="007DB6" w:themeColor="accent6"/>
        <w:right w:val="single" w:sz="8" w:space="0" w:color="007DB6" w:themeColor="accent6"/>
        <w:insideH w:val="single" w:sz="8" w:space="0" w:color="007DB6" w:themeColor="accent6"/>
        <w:insideV w:val="single" w:sz="8" w:space="0" w:color="007DB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DB6" w:themeColor="accent6"/>
          <w:left w:val="single" w:sz="8" w:space="0" w:color="007DB6" w:themeColor="accent6"/>
          <w:bottom w:val="single" w:sz="18" w:space="0" w:color="007DB6" w:themeColor="accent6"/>
          <w:right w:val="single" w:sz="8" w:space="0" w:color="007DB6" w:themeColor="accent6"/>
          <w:insideH w:val="nil"/>
          <w:insideV w:val="single" w:sz="8" w:space="0" w:color="007DB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DB6" w:themeColor="accent6"/>
          <w:left w:val="single" w:sz="8" w:space="0" w:color="007DB6" w:themeColor="accent6"/>
          <w:bottom w:val="single" w:sz="8" w:space="0" w:color="007DB6" w:themeColor="accent6"/>
          <w:right w:val="single" w:sz="8" w:space="0" w:color="007DB6" w:themeColor="accent6"/>
          <w:insideH w:val="nil"/>
          <w:insideV w:val="single" w:sz="8" w:space="0" w:color="007DB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DB6" w:themeColor="accent6"/>
          <w:left w:val="single" w:sz="8" w:space="0" w:color="007DB6" w:themeColor="accent6"/>
          <w:bottom w:val="single" w:sz="8" w:space="0" w:color="007DB6" w:themeColor="accent6"/>
          <w:right w:val="single" w:sz="8" w:space="0" w:color="007DB6" w:themeColor="accent6"/>
        </w:tcBorders>
      </w:tcPr>
    </w:tblStylePr>
    <w:tblStylePr w:type="band1Vert">
      <w:tblPr/>
      <w:tcPr>
        <w:tcBorders>
          <w:top w:val="single" w:sz="8" w:space="0" w:color="007DB6" w:themeColor="accent6"/>
          <w:left w:val="single" w:sz="8" w:space="0" w:color="007DB6" w:themeColor="accent6"/>
          <w:bottom w:val="single" w:sz="8" w:space="0" w:color="007DB6" w:themeColor="accent6"/>
          <w:right w:val="single" w:sz="8" w:space="0" w:color="007DB6" w:themeColor="accent6"/>
        </w:tcBorders>
        <w:shd w:val="clear" w:color="auto" w:fill="ADE5FF" w:themeFill="accent6" w:themeFillTint="3F"/>
      </w:tcPr>
    </w:tblStylePr>
    <w:tblStylePr w:type="band1Horz">
      <w:tblPr/>
      <w:tcPr>
        <w:tcBorders>
          <w:top w:val="single" w:sz="8" w:space="0" w:color="007DB6" w:themeColor="accent6"/>
          <w:left w:val="single" w:sz="8" w:space="0" w:color="007DB6" w:themeColor="accent6"/>
          <w:bottom w:val="single" w:sz="8" w:space="0" w:color="007DB6" w:themeColor="accent6"/>
          <w:right w:val="single" w:sz="8" w:space="0" w:color="007DB6" w:themeColor="accent6"/>
          <w:insideV w:val="single" w:sz="8" w:space="0" w:color="007DB6" w:themeColor="accent6"/>
        </w:tcBorders>
        <w:shd w:val="clear" w:color="auto" w:fill="ADE5FF" w:themeFill="accent6" w:themeFillTint="3F"/>
      </w:tcPr>
    </w:tblStylePr>
    <w:tblStylePr w:type="band2Horz">
      <w:tblPr/>
      <w:tcPr>
        <w:tcBorders>
          <w:top w:val="single" w:sz="8" w:space="0" w:color="007DB6" w:themeColor="accent6"/>
          <w:left w:val="single" w:sz="8" w:space="0" w:color="007DB6" w:themeColor="accent6"/>
          <w:bottom w:val="single" w:sz="8" w:space="0" w:color="007DB6" w:themeColor="accent6"/>
          <w:right w:val="single" w:sz="8" w:space="0" w:color="007DB6" w:themeColor="accent6"/>
          <w:insideV w:val="single" w:sz="8" w:space="0" w:color="007DB6" w:themeColor="accent6"/>
        </w:tcBorders>
      </w:tcPr>
    </w:tblStylePr>
  </w:style>
  <w:style w:type="table" w:styleId="LightList">
    <w:name w:val="Light List"/>
    <w:basedOn w:val="TableNormal"/>
    <w:uiPriority w:val="61"/>
    <w:unhideWhenUsed/>
    <w:rsid w:val="00B241C2"/>
    <w:pPr>
      <w:spacing w:after="0" w:line="240" w:lineRule="auto"/>
    </w:pPr>
    <w:rPr>
      <w:rFonts w:eastAsia="Times New Roman" w:cs="Times New Roman"/>
      <w:sz w:val="20"/>
      <w:szCs w:val="20"/>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B241C2"/>
    <w:pPr>
      <w:spacing w:after="0" w:line="240" w:lineRule="auto"/>
    </w:pPr>
    <w:rPr>
      <w:rFonts w:eastAsia="Times New Roman" w:cs="Times New Roman"/>
      <w:sz w:val="20"/>
      <w:szCs w:val="20"/>
      <w:lang w:eastAsia="en-AU"/>
    </w:rPr>
    <w:tblPr>
      <w:tblStyleRowBandSize w:val="1"/>
      <w:tblStyleColBandSize w:val="1"/>
      <w:tblBorders>
        <w:top w:val="single" w:sz="8" w:space="0" w:color="D7D8D6" w:themeColor="accent1"/>
        <w:left w:val="single" w:sz="8" w:space="0" w:color="D7D8D6" w:themeColor="accent1"/>
        <w:bottom w:val="single" w:sz="8" w:space="0" w:color="D7D8D6" w:themeColor="accent1"/>
        <w:right w:val="single" w:sz="8" w:space="0" w:color="D7D8D6" w:themeColor="accent1"/>
      </w:tblBorders>
    </w:tblPr>
    <w:tblStylePr w:type="firstRow">
      <w:pPr>
        <w:spacing w:before="0" w:after="0" w:line="240" w:lineRule="auto"/>
      </w:pPr>
      <w:rPr>
        <w:b/>
        <w:bCs/>
        <w:color w:val="FFFFFF" w:themeColor="background1"/>
      </w:rPr>
      <w:tblPr/>
      <w:tcPr>
        <w:shd w:val="clear" w:color="auto" w:fill="D7D8D6" w:themeFill="accent1"/>
      </w:tcPr>
    </w:tblStylePr>
    <w:tblStylePr w:type="lastRow">
      <w:pPr>
        <w:spacing w:before="0" w:after="0" w:line="240" w:lineRule="auto"/>
      </w:pPr>
      <w:rPr>
        <w:b/>
        <w:bCs/>
      </w:rPr>
      <w:tblPr/>
      <w:tcPr>
        <w:tcBorders>
          <w:top w:val="double" w:sz="6" w:space="0" w:color="D7D8D6" w:themeColor="accent1"/>
          <w:left w:val="single" w:sz="8" w:space="0" w:color="D7D8D6" w:themeColor="accent1"/>
          <w:bottom w:val="single" w:sz="8" w:space="0" w:color="D7D8D6" w:themeColor="accent1"/>
          <w:right w:val="single" w:sz="8" w:space="0" w:color="D7D8D6" w:themeColor="accent1"/>
        </w:tcBorders>
      </w:tcPr>
    </w:tblStylePr>
    <w:tblStylePr w:type="firstCol">
      <w:rPr>
        <w:b/>
        <w:bCs/>
      </w:rPr>
    </w:tblStylePr>
    <w:tblStylePr w:type="lastCol">
      <w:rPr>
        <w:b/>
        <w:bCs/>
      </w:rPr>
    </w:tblStylePr>
    <w:tblStylePr w:type="band1Vert">
      <w:tblPr/>
      <w:tcPr>
        <w:tcBorders>
          <w:top w:val="single" w:sz="8" w:space="0" w:color="D7D8D6" w:themeColor="accent1"/>
          <w:left w:val="single" w:sz="8" w:space="0" w:color="D7D8D6" w:themeColor="accent1"/>
          <w:bottom w:val="single" w:sz="8" w:space="0" w:color="D7D8D6" w:themeColor="accent1"/>
          <w:right w:val="single" w:sz="8" w:space="0" w:color="D7D8D6" w:themeColor="accent1"/>
        </w:tcBorders>
      </w:tcPr>
    </w:tblStylePr>
    <w:tblStylePr w:type="band1Horz">
      <w:tblPr/>
      <w:tcPr>
        <w:tcBorders>
          <w:top w:val="single" w:sz="8" w:space="0" w:color="D7D8D6" w:themeColor="accent1"/>
          <w:left w:val="single" w:sz="8" w:space="0" w:color="D7D8D6" w:themeColor="accent1"/>
          <w:bottom w:val="single" w:sz="8" w:space="0" w:color="D7D8D6" w:themeColor="accent1"/>
          <w:right w:val="single" w:sz="8" w:space="0" w:color="D7D8D6" w:themeColor="accent1"/>
        </w:tcBorders>
      </w:tcPr>
    </w:tblStylePr>
  </w:style>
  <w:style w:type="table" w:styleId="LightList-Accent2">
    <w:name w:val="Light List Accent 2"/>
    <w:basedOn w:val="TableNormal"/>
    <w:uiPriority w:val="61"/>
    <w:semiHidden/>
    <w:unhideWhenUsed/>
    <w:rsid w:val="00B241C2"/>
    <w:pPr>
      <w:spacing w:after="0" w:line="240" w:lineRule="auto"/>
    </w:pPr>
    <w:rPr>
      <w:rFonts w:eastAsia="Times New Roman" w:cs="Times New Roman"/>
      <w:sz w:val="20"/>
      <w:szCs w:val="20"/>
      <w:lang w:eastAsia="en-AU"/>
    </w:rPr>
    <w:tblPr>
      <w:tblStyleRowBandSize w:val="1"/>
      <w:tblStyleColBandSize w:val="1"/>
      <w:tblBorders>
        <w:top w:val="single" w:sz="8" w:space="0" w:color="FFC709" w:themeColor="accent2"/>
        <w:left w:val="single" w:sz="8" w:space="0" w:color="FFC709" w:themeColor="accent2"/>
        <w:bottom w:val="single" w:sz="8" w:space="0" w:color="FFC709" w:themeColor="accent2"/>
        <w:right w:val="single" w:sz="8" w:space="0" w:color="FFC709" w:themeColor="accent2"/>
      </w:tblBorders>
    </w:tblPr>
    <w:tblStylePr w:type="firstRow">
      <w:pPr>
        <w:spacing w:before="0" w:after="0" w:line="240" w:lineRule="auto"/>
      </w:pPr>
      <w:rPr>
        <w:b/>
        <w:bCs/>
        <w:color w:val="FFFFFF" w:themeColor="background1"/>
      </w:rPr>
      <w:tblPr/>
      <w:tcPr>
        <w:shd w:val="clear" w:color="auto" w:fill="FFC709" w:themeFill="accent2"/>
      </w:tcPr>
    </w:tblStylePr>
    <w:tblStylePr w:type="lastRow">
      <w:pPr>
        <w:spacing w:before="0" w:after="0" w:line="240" w:lineRule="auto"/>
      </w:pPr>
      <w:rPr>
        <w:b/>
        <w:bCs/>
      </w:rPr>
      <w:tblPr/>
      <w:tcPr>
        <w:tcBorders>
          <w:top w:val="double" w:sz="6" w:space="0" w:color="FFC709" w:themeColor="accent2"/>
          <w:left w:val="single" w:sz="8" w:space="0" w:color="FFC709" w:themeColor="accent2"/>
          <w:bottom w:val="single" w:sz="8" w:space="0" w:color="FFC709" w:themeColor="accent2"/>
          <w:right w:val="single" w:sz="8" w:space="0" w:color="FFC709" w:themeColor="accent2"/>
        </w:tcBorders>
      </w:tcPr>
    </w:tblStylePr>
    <w:tblStylePr w:type="firstCol">
      <w:rPr>
        <w:b/>
        <w:bCs/>
      </w:rPr>
    </w:tblStylePr>
    <w:tblStylePr w:type="lastCol">
      <w:rPr>
        <w:b/>
        <w:bCs/>
      </w:rPr>
    </w:tblStylePr>
    <w:tblStylePr w:type="band1Vert">
      <w:tblPr/>
      <w:tcPr>
        <w:tcBorders>
          <w:top w:val="single" w:sz="8" w:space="0" w:color="FFC709" w:themeColor="accent2"/>
          <w:left w:val="single" w:sz="8" w:space="0" w:color="FFC709" w:themeColor="accent2"/>
          <w:bottom w:val="single" w:sz="8" w:space="0" w:color="FFC709" w:themeColor="accent2"/>
          <w:right w:val="single" w:sz="8" w:space="0" w:color="FFC709" w:themeColor="accent2"/>
        </w:tcBorders>
      </w:tcPr>
    </w:tblStylePr>
    <w:tblStylePr w:type="band1Horz">
      <w:tblPr/>
      <w:tcPr>
        <w:tcBorders>
          <w:top w:val="single" w:sz="8" w:space="0" w:color="FFC709" w:themeColor="accent2"/>
          <w:left w:val="single" w:sz="8" w:space="0" w:color="FFC709" w:themeColor="accent2"/>
          <w:bottom w:val="single" w:sz="8" w:space="0" w:color="FFC709" w:themeColor="accent2"/>
          <w:right w:val="single" w:sz="8" w:space="0" w:color="FFC709" w:themeColor="accent2"/>
        </w:tcBorders>
      </w:tcPr>
    </w:tblStylePr>
  </w:style>
  <w:style w:type="table" w:styleId="LightList-Accent3">
    <w:name w:val="Light List Accent 3"/>
    <w:basedOn w:val="TableNormal"/>
    <w:uiPriority w:val="61"/>
    <w:semiHidden/>
    <w:unhideWhenUsed/>
    <w:rsid w:val="00B241C2"/>
    <w:pPr>
      <w:spacing w:after="0" w:line="240" w:lineRule="auto"/>
    </w:pPr>
    <w:rPr>
      <w:rFonts w:eastAsia="Times New Roman" w:cs="Times New Roman"/>
      <w:sz w:val="20"/>
      <w:szCs w:val="20"/>
      <w:lang w:eastAsia="en-AU"/>
    </w:rPr>
    <w:tblPr>
      <w:tblStyleRowBandSize w:val="1"/>
      <w:tblStyleColBandSize w:val="1"/>
      <w:tblBorders>
        <w:top w:val="single" w:sz="8" w:space="0" w:color="CD163F" w:themeColor="accent3"/>
        <w:left w:val="single" w:sz="8" w:space="0" w:color="CD163F" w:themeColor="accent3"/>
        <w:bottom w:val="single" w:sz="8" w:space="0" w:color="CD163F" w:themeColor="accent3"/>
        <w:right w:val="single" w:sz="8" w:space="0" w:color="CD163F" w:themeColor="accent3"/>
      </w:tblBorders>
    </w:tblPr>
    <w:tblStylePr w:type="firstRow">
      <w:pPr>
        <w:spacing w:before="0" w:after="0" w:line="240" w:lineRule="auto"/>
      </w:pPr>
      <w:rPr>
        <w:b/>
        <w:bCs/>
        <w:color w:val="FFFFFF" w:themeColor="background1"/>
      </w:rPr>
      <w:tblPr/>
      <w:tcPr>
        <w:shd w:val="clear" w:color="auto" w:fill="CD163F" w:themeFill="accent3"/>
      </w:tcPr>
    </w:tblStylePr>
    <w:tblStylePr w:type="lastRow">
      <w:pPr>
        <w:spacing w:before="0" w:after="0" w:line="240" w:lineRule="auto"/>
      </w:pPr>
      <w:rPr>
        <w:b/>
        <w:bCs/>
      </w:rPr>
      <w:tblPr/>
      <w:tcPr>
        <w:tcBorders>
          <w:top w:val="double" w:sz="6" w:space="0" w:color="CD163F" w:themeColor="accent3"/>
          <w:left w:val="single" w:sz="8" w:space="0" w:color="CD163F" w:themeColor="accent3"/>
          <w:bottom w:val="single" w:sz="8" w:space="0" w:color="CD163F" w:themeColor="accent3"/>
          <w:right w:val="single" w:sz="8" w:space="0" w:color="CD163F" w:themeColor="accent3"/>
        </w:tcBorders>
      </w:tcPr>
    </w:tblStylePr>
    <w:tblStylePr w:type="firstCol">
      <w:rPr>
        <w:b/>
        <w:bCs/>
      </w:rPr>
    </w:tblStylePr>
    <w:tblStylePr w:type="lastCol">
      <w:rPr>
        <w:b/>
        <w:bCs/>
      </w:rPr>
    </w:tblStylePr>
    <w:tblStylePr w:type="band1Vert">
      <w:tblPr/>
      <w:tcPr>
        <w:tcBorders>
          <w:top w:val="single" w:sz="8" w:space="0" w:color="CD163F" w:themeColor="accent3"/>
          <w:left w:val="single" w:sz="8" w:space="0" w:color="CD163F" w:themeColor="accent3"/>
          <w:bottom w:val="single" w:sz="8" w:space="0" w:color="CD163F" w:themeColor="accent3"/>
          <w:right w:val="single" w:sz="8" w:space="0" w:color="CD163F" w:themeColor="accent3"/>
        </w:tcBorders>
      </w:tcPr>
    </w:tblStylePr>
    <w:tblStylePr w:type="band1Horz">
      <w:tblPr/>
      <w:tcPr>
        <w:tcBorders>
          <w:top w:val="single" w:sz="8" w:space="0" w:color="CD163F" w:themeColor="accent3"/>
          <w:left w:val="single" w:sz="8" w:space="0" w:color="CD163F" w:themeColor="accent3"/>
          <w:bottom w:val="single" w:sz="8" w:space="0" w:color="CD163F" w:themeColor="accent3"/>
          <w:right w:val="single" w:sz="8" w:space="0" w:color="CD163F" w:themeColor="accent3"/>
        </w:tcBorders>
      </w:tcPr>
    </w:tblStylePr>
  </w:style>
  <w:style w:type="table" w:styleId="LightList-Accent4">
    <w:name w:val="Light List Accent 4"/>
    <w:basedOn w:val="TableNormal"/>
    <w:uiPriority w:val="61"/>
    <w:semiHidden/>
    <w:unhideWhenUsed/>
    <w:rsid w:val="00B241C2"/>
    <w:pPr>
      <w:spacing w:after="0" w:line="240" w:lineRule="auto"/>
    </w:pPr>
    <w:rPr>
      <w:rFonts w:eastAsia="Times New Roman" w:cs="Times New Roman"/>
      <w:sz w:val="20"/>
      <w:szCs w:val="20"/>
      <w:lang w:eastAsia="en-AU"/>
    </w:rPr>
    <w:tblPr>
      <w:tblStyleRowBandSize w:val="1"/>
      <w:tblStyleColBandSize w:val="1"/>
      <w:tblBorders>
        <w:top w:val="single" w:sz="8" w:space="0" w:color="692686" w:themeColor="accent4"/>
        <w:left w:val="single" w:sz="8" w:space="0" w:color="692686" w:themeColor="accent4"/>
        <w:bottom w:val="single" w:sz="8" w:space="0" w:color="692686" w:themeColor="accent4"/>
        <w:right w:val="single" w:sz="8" w:space="0" w:color="692686" w:themeColor="accent4"/>
      </w:tblBorders>
    </w:tblPr>
    <w:tblStylePr w:type="firstRow">
      <w:pPr>
        <w:spacing w:before="0" w:after="0" w:line="240" w:lineRule="auto"/>
      </w:pPr>
      <w:rPr>
        <w:b/>
        <w:bCs/>
        <w:color w:val="FFFFFF" w:themeColor="background1"/>
      </w:rPr>
      <w:tblPr/>
      <w:tcPr>
        <w:shd w:val="clear" w:color="auto" w:fill="692686" w:themeFill="accent4"/>
      </w:tcPr>
    </w:tblStylePr>
    <w:tblStylePr w:type="lastRow">
      <w:pPr>
        <w:spacing w:before="0" w:after="0" w:line="240" w:lineRule="auto"/>
      </w:pPr>
      <w:rPr>
        <w:b/>
        <w:bCs/>
      </w:rPr>
      <w:tblPr/>
      <w:tcPr>
        <w:tcBorders>
          <w:top w:val="double" w:sz="6" w:space="0" w:color="692686" w:themeColor="accent4"/>
          <w:left w:val="single" w:sz="8" w:space="0" w:color="692686" w:themeColor="accent4"/>
          <w:bottom w:val="single" w:sz="8" w:space="0" w:color="692686" w:themeColor="accent4"/>
          <w:right w:val="single" w:sz="8" w:space="0" w:color="692686" w:themeColor="accent4"/>
        </w:tcBorders>
      </w:tcPr>
    </w:tblStylePr>
    <w:tblStylePr w:type="firstCol">
      <w:rPr>
        <w:b/>
        <w:bCs/>
      </w:rPr>
    </w:tblStylePr>
    <w:tblStylePr w:type="lastCol">
      <w:rPr>
        <w:b/>
        <w:bCs/>
      </w:rPr>
    </w:tblStylePr>
    <w:tblStylePr w:type="band1Vert">
      <w:tblPr/>
      <w:tcPr>
        <w:tcBorders>
          <w:top w:val="single" w:sz="8" w:space="0" w:color="692686" w:themeColor="accent4"/>
          <w:left w:val="single" w:sz="8" w:space="0" w:color="692686" w:themeColor="accent4"/>
          <w:bottom w:val="single" w:sz="8" w:space="0" w:color="692686" w:themeColor="accent4"/>
          <w:right w:val="single" w:sz="8" w:space="0" w:color="692686" w:themeColor="accent4"/>
        </w:tcBorders>
      </w:tcPr>
    </w:tblStylePr>
    <w:tblStylePr w:type="band1Horz">
      <w:tblPr/>
      <w:tcPr>
        <w:tcBorders>
          <w:top w:val="single" w:sz="8" w:space="0" w:color="692686" w:themeColor="accent4"/>
          <w:left w:val="single" w:sz="8" w:space="0" w:color="692686" w:themeColor="accent4"/>
          <w:bottom w:val="single" w:sz="8" w:space="0" w:color="692686" w:themeColor="accent4"/>
          <w:right w:val="single" w:sz="8" w:space="0" w:color="692686" w:themeColor="accent4"/>
        </w:tcBorders>
      </w:tcPr>
    </w:tblStylePr>
  </w:style>
  <w:style w:type="table" w:styleId="LightList-Accent5">
    <w:name w:val="Light List Accent 5"/>
    <w:basedOn w:val="TableNormal"/>
    <w:uiPriority w:val="61"/>
    <w:semiHidden/>
    <w:unhideWhenUsed/>
    <w:rsid w:val="00B241C2"/>
    <w:pPr>
      <w:spacing w:after="0" w:line="240" w:lineRule="auto"/>
    </w:pPr>
    <w:rPr>
      <w:rFonts w:eastAsia="Times New Roman" w:cs="Times New Roman"/>
      <w:sz w:val="20"/>
      <w:szCs w:val="20"/>
      <w:lang w:eastAsia="en-AU"/>
    </w:rPr>
    <w:tblPr>
      <w:tblStyleRowBandSize w:val="1"/>
      <w:tblStyleColBandSize w:val="1"/>
      <w:tblBorders>
        <w:top w:val="single" w:sz="8" w:space="0" w:color="20AA4D" w:themeColor="accent5"/>
        <w:left w:val="single" w:sz="8" w:space="0" w:color="20AA4D" w:themeColor="accent5"/>
        <w:bottom w:val="single" w:sz="8" w:space="0" w:color="20AA4D" w:themeColor="accent5"/>
        <w:right w:val="single" w:sz="8" w:space="0" w:color="20AA4D" w:themeColor="accent5"/>
      </w:tblBorders>
    </w:tblPr>
    <w:tblStylePr w:type="firstRow">
      <w:pPr>
        <w:spacing w:before="0" w:after="0" w:line="240" w:lineRule="auto"/>
      </w:pPr>
      <w:rPr>
        <w:b/>
        <w:bCs/>
        <w:color w:val="FFFFFF" w:themeColor="background1"/>
      </w:rPr>
      <w:tblPr/>
      <w:tcPr>
        <w:shd w:val="clear" w:color="auto" w:fill="20AA4D" w:themeFill="accent5"/>
      </w:tcPr>
    </w:tblStylePr>
    <w:tblStylePr w:type="lastRow">
      <w:pPr>
        <w:spacing w:before="0" w:after="0" w:line="240" w:lineRule="auto"/>
      </w:pPr>
      <w:rPr>
        <w:b/>
        <w:bCs/>
      </w:rPr>
      <w:tblPr/>
      <w:tcPr>
        <w:tcBorders>
          <w:top w:val="double" w:sz="6" w:space="0" w:color="20AA4D" w:themeColor="accent5"/>
          <w:left w:val="single" w:sz="8" w:space="0" w:color="20AA4D" w:themeColor="accent5"/>
          <w:bottom w:val="single" w:sz="8" w:space="0" w:color="20AA4D" w:themeColor="accent5"/>
          <w:right w:val="single" w:sz="8" w:space="0" w:color="20AA4D" w:themeColor="accent5"/>
        </w:tcBorders>
      </w:tcPr>
    </w:tblStylePr>
    <w:tblStylePr w:type="firstCol">
      <w:rPr>
        <w:b/>
        <w:bCs/>
      </w:rPr>
    </w:tblStylePr>
    <w:tblStylePr w:type="lastCol">
      <w:rPr>
        <w:b/>
        <w:bCs/>
      </w:rPr>
    </w:tblStylePr>
    <w:tblStylePr w:type="band1Vert">
      <w:tblPr/>
      <w:tcPr>
        <w:tcBorders>
          <w:top w:val="single" w:sz="8" w:space="0" w:color="20AA4D" w:themeColor="accent5"/>
          <w:left w:val="single" w:sz="8" w:space="0" w:color="20AA4D" w:themeColor="accent5"/>
          <w:bottom w:val="single" w:sz="8" w:space="0" w:color="20AA4D" w:themeColor="accent5"/>
          <w:right w:val="single" w:sz="8" w:space="0" w:color="20AA4D" w:themeColor="accent5"/>
        </w:tcBorders>
      </w:tcPr>
    </w:tblStylePr>
    <w:tblStylePr w:type="band1Horz">
      <w:tblPr/>
      <w:tcPr>
        <w:tcBorders>
          <w:top w:val="single" w:sz="8" w:space="0" w:color="20AA4D" w:themeColor="accent5"/>
          <w:left w:val="single" w:sz="8" w:space="0" w:color="20AA4D" w:themeColor="accent5"/>
          <w:bottom w:val="single" w:sz="8" w:space="0" w:color="20AA4D" w:themeColor="accent5"/>
          <w:right w:val="single" w:sz="8" w:space="0" w:color="20AA4D" w:themeColor="accent5"/>
        </w:tcBorders>
      </w:tcPr>
    </w:tblStylePr>
  </w:style>
  <w:style w:type="table" w:styleId="LightList-Accent6">
    <w:name w:val="Light List Accent 6"/>
    <w:basedOn w:val="TableNormal"/>
    <w:uiPriority w:val="61"/>
    <w:semiHidden/>
    <w:unhideWhenUsed/>
    <w:rsid w:val="00B241C2"/>
    <w:pPr>
      <w:spacing w:after="0" w:line="240" w:lineRule="auto"/>
    </w:pPr>
    <w:rPr>
      <w:rFonts w:eastAsia="Times New Roman" w:cs="Times New Roman"/>
      <w:sz w:val="20"/>
      <w:szCs w:val="20"/>
      <w:lang w:eastAsia="en-AU"/>
    </w:rPr>
    <w:tblPr>
      <w:tblStyleRowBandSize w:val="1"/>
      <w:tblStyleColBandSize w:val="1"/>
      <w:tblBorders>
        <w:top w:val="single" w:sz="8" w:space="0" w:color="007DB6" w:themeColor="accent6"/>
        <w:left w:val="single" w:sz="8" w:space="0" w:color="007DB6" w:themeColor="accent6"/>
        <w:bottom w:val="single" w:sz="8" w:space="0" w:color="007DB6" w:themeColor="accent6"/>
        <w:right w:val="single" w:sz="8" w:space="0" w:color="007DB6" w:themeColor="accent6"/>
      </w:tblBorders>
    </w:tblPr>
    <w:tblStylePr w:type="firstRow">
      <w:pPr>
        <w:spacing w:before="0" w:after="0" w:line="240" w:lineRule="auto"/>
      </w:pPr>
      <w:rPr>
        <w:b/>
        <w:bCs/>
        <w:color w:val="FFFFFF" w:themeColor="background1"/>
      </w:rPr>
      <w:tblPr/>
      <w:tcPr>
        <w:shd w:val="clear" w:color="auto" w:fill="007DB6" w:themeFill="accent6"/>
      </w:tcPr>
    </w:tblStylePr>
    <w:tblStylePr w:type="lastRow">
      <w:pPr>
        <w:spacing w:before="0" w:after="0" w:line="240" w:lineRule="auto"/>
      </w:pPr>
      <w:rPr>
        <w:b/>
        <w:bCs/>
      </w:rPr>
      <w:tblPr/>
      <w:tcPr>
        <w:tcBorders>
          <w:top w:val="double" w:sz="6" w:space="0" w:color="007DB6" w:themeColor="accent6"/>
          <w:left w:val="single" w:sz="8" w:space="0" w:color="007DB6" w:themeColor="accent6"/>
          <w:bottom w:val="single" w:sz="8" w:space="0" w:color="007DB6" w:themeColor="accent6"/>
          <w:right w:val="single" w:sz="8" w:space="0" w:color="007DB6" w:themeColor="accent6"/>
        </w:tcBorders>
      </w:tcPr>
    </w:tblStylePr>
    <w:tblStylePr w:type="firstCol">
      <w:rPr>
        <w:b/>
        <w:bCs/>
      </w:rPr>
    </w:tblStylePr>
    <w:tblStylePr w:type="lastCol">
      <w:rPr>
        <w:b/>
        <w:bCs/>
      </w:rPr>
    </w:tblStylePr>
    <w:tblStylePr w:type="band1Vert">
      <w:tblPr/>
      <w:tcPr>
        <w:tcBorders>
          <w:top w:val="single" w:sz="8" w:space="0" w:color="007DB6" w:themeColor="accent6"/>
          <w:left w:val="single" w:sz="8" w:space="0" w:color="007DB6" w:themeColor="accent6"/>
          <w:bottom w:val="single" w:sz="8" w:space="0" w:color="007DB6" w:themeColor="accent6"/>
          <w:right w:val="single" w:sz="8" w:space="0" w:color="007DB6" w:themeColor="accent6"/>
        </w:tcBorders>
      </w:tcPr>
    </w:tblStylePr>
    <w:tblStylePr w:type="band1Horz">
      <w:tblPr/>
      <w:tcPr>
        <w:tcBorders>
          <w:top w:val="single" w:sz="8" w:space="0" w:color="007DB6" w:themeColor="accent6"/>
          <w:left w:val="single" w:sz="8" w:space="0" w:color="007DB6" w:themeColor="accent6"/>
          <w:bottom w:val="single" w:sz="8" w:space="0" w:color="007DB6" w:themeColor="accent6"/>
          <w:right w:val="single" w:sz="8" w:space="0" w:color="007DB6" w:themeColor="accent6"/>
        </w:tcBorders>
      </w:tcPr>
    </w:tblStylePr>
  </w:style>
  <w:style w:type="table" w:styleId="LightShading">
    <w:name w:val="Light Shading"/>
    <w:basedOn w:val="TableNormal"/>
    <w:uiPriority w:val="60"/>
    <w:unhideWhenUsed/>
    <w:rsid w:val="00B241C2"/>
    <w:pPr>
      <w:spacing w:after="0" w:line="240" w:lineRule="auto"/>
    </w:pPr>
    <w:rPr>
      <w:rFonts w:eastAsia="Times New Roman" w:cs="Times New Roman"/>
      <w:color w:val="000000" w:themeColor="text1" w:themeShade="BF"/>
      <w:sz w:val="20"/>
      <w:szCs w:val="20"/>
      <w:lang w:eastAsia="en-A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semiHidden/>
    <w:unhideWhenUsed/>
    <w:rsid w:val="00B241C2"/>
    <w:pPr>
      <w:spacing w:after="0" w:line="240" w:lineRule="auto"/>
    </w:pPr>
    <w:rPr>
      <w:rFonts w:eastAsia="Times New Roman" w:cs="Times New Roman"/>
      <w:color w:val="C59700" w:themeColor="accent2" w:themeShade="BF"/>
      <w:sz w:val="20"/>
      <w:szCs w:val="20"/>
      <w:lang w:eastAsia="en-AU"/>
    </w:rPr>
    <w:tblPr>
      <w:tblStyleRowBandSize w:val="1"/>
      <w:tblStyleColBandSize w:val="1"/>
      <w:tblBorders>
        <w:top w:val="single" w:sz="8" w:space="0" w:color="FFC709" w:themeColor="accent2"/>
        <w:bottom w:val="single" w:sz="8" w:space="0" w:color="FFC709" w:themeColor="accent2"/>
      </w:tblBorders>
    </w:tblPr>
    <w:tblStylePr w:type="firstRow">
      <w:pPr>
        <w:spacing w:before="0" w:after="0" w:line="240" w:lineRule="auto"/>
      </w:pPr>
      <w:rPr>
        <w:b/>
        <w:bCs/>
      </w:rPr>
      <w:tblPr/>
      <w:tcPr>
        <w:tcBorders>
          <w:top w:val="single" w:sz="8" w:space="0" w:color="FFC709" w:themeColor="accent2"/>
          <w:left w:val="nil"/>
          <w:bottom w:val="single" w:sz="8" w:space="0" w:color="FFC709" w:themeColor="accent2"/>
          <w:right w:val="nil"/>
          <w:insideH w:val="nil"/>
          <w:insideV w:val="nil"/>
        </w:tcBorders>
      </w:tcPr>
    </w:tblStylePr>
    <w:tblStylePr w:type="lastRow">
      <w:pPr>
        <w:spacing w:before="0" w:after="0" w:line="240" w:lineRule="auto"/>
      </w:pPr>
      <w:rPr>
        <w:b/>
        <w:bCs/>
      </w:rPr>
      <w:tblPr/>
      <w:tcPr>
        <w:tcBorders>
          <w:top w:val="single" w:sz="8" w:space="0" w:color="FFC709" w:themeColor="accent2"/>
          <w:left w:val="nil"/>
          <w:bottom w:val="single" w:sz="8" w:space="0" w:color="FFC70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0C2" w:themeFill="accent2" w:themeFillTint="3F"/>
      </w:tcPr>
    </w:tblStylePr>
    <w:tblStylePr w:type="band1Horz">
      <w:tblPr/>
      <w:tcPr>
        <w:tcBorders>
          <w:left w:val="nil"/>
          <w:right w:val="nil"/>
          <w:insideH w:val="nil"/>
          <w:insideV w:val="nil"/>
        </w:tcBorders>
        <w:shd w:val="clear" w:color="auto" w:fill="FFF0C2" w:themeFill="accent2" w:themeFillTint="3F"/>
      </w:tcPr>
    </w:tblStylePr>
  </w:style>
  <w:style w:type="table" w:styleId="LightShading-Accent3">
    <w:name w:val="Light Shading Accent 3"/>
    <w:basedOn w:val="TableNormal"/>
    <w:uiPriority w:val="60"/>
    <w:semiHidden/>
    <w:unhideWhenUsed/>
    <w:rsid w:val="00B241C2"/>
    <w:pPr>
      <w:spacing w:after="0" w:line="240" w:lineRule="auto"/>
    </w:pPr>
    <w:rPr>
      <w:rFonts w:eastAsia="Times New Roman" w:cs="Times New Roman"/>
      <w:color w:val="99102F" w:themeColor="accent3" w:themeShade="BF"/>
      <w:sz w:val="20"/>
      <w:szCs w:val="20"/>
      <w:lang w:eastAsia="en-AU"/>
    </w:rPr>
    <w:tblPr>
      <w:tblStyleRowBandSize w:val="1"/>
      <w:tblStyleColBandSize w:val="1"/>
      <w:tblBorders>
        <w:top w:val="single" w:sz="8" w:space="0" w:color="CD163F" w:themeColor="accent3"/>
        <w:bottom w:val="single" w:sz="8" w:space="0" w:color="CD163F" w:themeColor="accent3"/>
      </w:tblBorders>
    </w:tblPr>
    <w:tblStylePr w:type="firstRow">
      <w:pPr>
        <w:spacing w:before="0" w:after="0" w:line="240" w:lineRule="auto"/>
      </w:pPr>
      <w:rPr>
        <w:b/>
        <w:bCs/>
      </w:rPr>
      <w:tblPr/>
      <w:tcPr>
        <w:tcBorders>
          <w:top w:val="single" w:sz="8" w:space="0" w:color="CD163F" w:themeColor="accent3"/>
          <w:left w:val="nil"/>
          <w:bottom w:val="single" w:sz="8" w:space="0" w:color="CD163F" w:themeColor="accent3"/>
          <w:right w:val="nil"/>
          <w:insideH w:val="nil"/>
          <w:insideV w:val="nil"/>
        </w:tcBorders>
      </w:tcPr>
    </w:tblStylePr>
    <w:tblStylePr w:type="lastRow">
      <w:pPr>
        <w:spacing w:before="0" w:after="0" w:line="240" w:lineRule="auto"/>
      </w:pPr>
      <w:rPr>
        <w:b/>
        <w:bCs/>
      </w:rPr>
      <w:tblPr/>
      <w:tcPr>
        <w:tcBorders>
          <w:top w:val="single" w:sz="8" w:space="0" w:color="CD163F" w:themeColor="accent3"/>
          <w:left w:val="nil"/>
          <w:bottom w:val="single" w:sz="8" w:space="0" w:color="CD163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BFCC" w:themeFill="accent3" w:themeFillTint="3F"/>
      </w:tcPr>
    </w:tblStylePr>
    <w:tblStylePr w:type="band1Horz">
      <w:tblPr/>
      <w:tcPr>
        <w:tcBorders>
          <w:left w:val="nil"/>
          <w:right w:val="nil"/>
          <w:insideH w:val="nil"/>
          <w:insideV w:val="nil"/>
        </w:tcBorders>
        <w:shd w:val="clear" w:color="auto" w:fill="F8BFCC" w:themeFill="accent3" w:themeFillTint="3F"/>
      </w:tcPr>
    </w:tblStylePr>
  </w:style>
  <w:style w:type="table" w:styleId="LightShading-Accent4">
    <w:name w:val="Light Shading Accent 4"/>
    <w:basedOn w:val="TableNormal"/>
    <w:uiPriority w:val="60"/>
    <w:semiHidden/>
    <w:unhideWhenUsed/>
    <w:rsid w:val="00B241C2"/>
    <w:pPr>
      <w:spacing w:after="0" w:line="240" w:lineRule="auto"/>
    </w:pPr>
    <w:rPr>
      <w:rFonts w:eastAsia="Times New Roman" w:cs="Times New Roman"/>
      <w:color w:val="4E1C64" w:themeColor="accent4" w:themeShade="BF"/>
      <w:sz w:val="20"/>
      <w:szCs w:val="20"/>
      <w:lang w:eastAsia="en-AU"/>
    </w:rPr>
    <w:tblPr>
      <w:tblStyleRowBandSize w:val="1"/>
      <w:tblStyleColBandSize w:val="1"/>
      <w:tblBorders>
        <w:top w:val="single" w:sz="8" w:space="0" w:color="692686" w:themeColor="accent4"/>
        <w:bottom w:val="single" w:sz="8" w:space="0" w:color="692686" w:themeColor="accent4"/>
      </w:tblBorders>
    </w:tblPr>
    <w:tblStylePr w:type="firstRow">
      <w:pPr>
        <w:spacing w:before="0" w:after="0" w:line="240" w:lineRule="auto"/>
      </w:pPr>
      <w:rPr>
        <w:b/>
        <w:bCs/>
      </w:rPr>
      <w:tblPr/>
      <w:tcPr>
        <w:tcBorders>
          <w:top w:val="single" w:sz="8" w:space="0" w:color="692686" w:themeColor="accent4"/>
          <w:left w:val="nil"/>
          <w:bottom w:val="single" w:sz="8" w:space="0" w:color="692686" w:themeColor="accent4"/>
          <w:right w:val="nil"/>
          <w:insideH w:val="nil"/>
          <w:insideV w:val="nil"/>
        </w:tcBorders>
      </w:tcPr>
    </w:tblStylePr>
    <w:tblStylePr w:type="lastRow">
      <w:pPr>
        <w:spacing w:before="0" w:after="0" w:line="240" w:lineRule="auto"/>
      </w:pPr>
      <w:rPr>
        <w:b/>
        <w:bCs/>
      </w:rPr>
      <w:tblPr/>
      <w:tcPr>
        <w:tcBorders>
          <w:top w:val="single" w:sz="8" w:space="0" w:color="692686" w:themeColor="accent4"/>
          <w:left w:val="nil"/>
          <w:bottom w:val="single" w:sz="8" w:space="0" w:color="69268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BDEC" w:themeFill="accent4" w:themeFillTint="3F"/>
      </w:tcPr>
    </w:tblStylePr>
    <w:tblStylePr w:type="band1Horz">
      <w:tblPr/>
      <w:tcPr>
        <w:tcBorders>
          <w:left w:val="nil"/>
          <w:right w:val="nil"/>
          <w:insideH w:val="nil"/>
          <w:insideV w:val="nil"/>
        </w:tcBorders>
        <w:shd w:val="clear" w:color="auto" w:fill="DEBDEC" w:themeFill="accent4" w:themeFillTint="3F"/>
      </w:tcPr>
    </w:tblStylePr>
  </w:style>
  <w:style w:type="table" w:styleId="LightShading-Accent5">
    <w:name w:val="Light Shading Accent 5"/>
    <w:basedOn w:val="TableNormal"/>
    <w:uiPriority w:val="60"/>
    <w:semiHidden/>
    <w:unhideWhenUsed/>
    <w:rsid w:val="00B241C2"/>
    <w:pPr>
      <w:spacing w:after="0" w:line="240" w:lineRule="auto"/>
    </w:pPr>
    <w:rPr>
      <w:rFonts w:eastAsia="Times New Roman" w:cs="Times New Roman"/>
      <w:color w:val="187F39" w:themeColor="accent5" w:themeShade="BF"/>
      <w:sz w:val="20"/>
      <w:szCs w:val="20"/>
      <w:lang w:eastAsia="en-AU"/>
    </w:rPr>
    <w:tblPr>
      <w:tblStyleRowBandSize w:val="1"/>
      <w:tblStyleColBandSize w:val="1"/>
      <w:tblBorders>
        <w:top w:val="single" w:sz="8" w:space="0" w:color="20AA4D" w:themeColor="accent5"/>
        <w:bottom w:val="single" w:sz="8" w:space="0" w:color="20AA4D" w:themeColor="accent5"/>
      </w:tblBorders>
    </w:tblPr>
    <w:tblStylePr w:type="firstRow">
      <w:pPr>
        <w:spacing w:before="0" w:after="0" w:line="240" w:lineRule="auto"/>
      </w:pPr>
      <w:rPr>
        <w:b/>
        <w:bCs/>
      </w:rPr>
      <w:tblPr/>
      <w:tcPr>
        <w:tcBorders>
          <w:top w:val="single" w:sz="8" w:space="0" w:color="20AA4D" w:themeColor="accent5"/>
          <w:left w:val="nil"/>
          <w:bottom w:val="single" w:sz="8" w:space="0" w:color="20AA4D" w:themeColor="accent5"/>
          <w:right w:val="nil"/>
          <w:insideH w:val="nil"/>
          <w:insideV w:val="nil"/>
        </w:tcBorders>
      </w:tcPr>
    </w:tblStylePr>
    <w:tblStylePr w:type="lastRow">
      <w:pPr>
        <w:spacing w:before="0" w:after="0" w:line="240" w:lineRule="auto"/>
      </w:pPr>
      <w:rPr>
        <w:b/>
        <w:bCs/>
      </w:rPr>
      <w:tblPr/>
      <w:tcPr>
        <w:tcBorders>
          <w:top w:val="single" w:sz="8" w:space="0" w:color="20AA4D" w:themeColor="accent5"/>
          <w:left w:val="nil"/>
          <w:bottom w:val="single" w:sz="8" w:space="0" w:color="20AA4D"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EF3CF" w:themeFill="accent5" w:themeFillTint="3F"/>
      </w:tcPr>
    </w:tblStylePr>
    <w:tblStylePr w:type="band1Horz">
      <w:tblPr/>
      <w:tcPr>
        <w:tcBorders>
          <w:left w:val="nil"/>
          <w:right w:val="nil"/>
          <w:insideH w:val="nil"/>
          <w:insideV w:val="nil"/>
        </w:tcBorders>
        <w:shd w:val="clear" w:color="auto" w:fill="BEF3CF" w:themeFill="accent5" w:themeFillTint="3F"/>
      </w:tcPr>
    </w:tblStylePr>
  </w:style>
  <w:style w:type="table" w:styleId="LightShading-Accent6">
    <w:name w:val="Light Shading Accent 6"/>
    <w:basedOn w:val="TableNormal"/>
    <w:uiPriority w:val="60"/>
    <w:semiHidden/>
    <w:unhideWhenUsed/>
    <w:rsid w:val="00B241C2"/>
    <w:pPr>
      <w:spacing w:after="0" w:line="240" w:lineRule="auto"/>
    </w:pPr>
    <w:rPr>
      <w:rFonts w:eastAsia="Times New Roman" w:cs="Times New Roman"/>
      <w:color w:val="005D88" w:themeColor="accent6" w:themeShade="BF"/>
      <w:sz w:val="20"/>
      <w:szCs w:val="20"/>
      <w:lang w:eastAsia="en-AU"/>
    </w:rPr>
    <w:tblPr>
      <w:tblStyleRowBandSize w:val="1"/>
      <w:tblStyleColBandSize w:val="1"/>
      <w:tblBorders>
        <w:top w:val="single" w:sz="8" w:space="0" w:color="007DB6" w:themeColor="accent6"/>
        <w:bottom w:val="single" w:sz="8" w:space="0" w:color="007DB6" w:themeColor="accent6"/>
      </w:tblBorders>
    </w:tblPr>
    <w:tblStylePr w:type="firstRow">
      <w:pPr>
        <w:spacing w:before="0" w:after="0" w:line="240" w:lineRule="auto"/>
      </w:pPr>
      <w:rPr>
        <w:b/>
        <w:bCs/>
      </w:rPr>
      <w:tblPr/>
      <w:tcPr>
        <w:tcBorders>
          <w:top w:val="single" w:sz="8" w:space="0" w:color="007DB6" w:themeColor="accent6"/>
          <w:left w:val="nil"/>
          <w:bottom w:val="single" w:sz="8" w:space="0" w:color="007DB6" w:themeColor="accent6"/>
          <w:right w:val="nil"/>
          <w:insideH w:val="nil"/>
          <w:insideV w:val="nil"/>
        </w:tcBorders>
      </w:tcPr>
    </w:tblStylePr>
    <w:tblStylePr w:type="lastRow">
      <w:pPr>
        <w:spacing w:before="0" w:after="0" w:line="240" w:lineRule="auto"/>
      </w:pPr>
      <w:rPr>
        <w:b/>
        <w:bCs/>
      </w:rPr>
      <w:tblPr/>
      <w:tcPr>
        <w:tcBorders>
          <w:top w:val="single" w:sz="8" w:space="0" w:color="007DB6" w:themeColor="accent6"/>
          <w:left w:val="nil"/>
          <w:bottom w:val="single" w:sz="8" w:space="0" w:color="007DB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DE5FF" w:themeFill="accent6" w:themeFillTint="3F"/>
      </w:tcPr>
    </w:tblStylePr>
    <w:tblStylePr w:type="band1Horz">
      <w:tblPr/>
      <w:tcPr>
        <w:tcBorders>
          <w:left w:val="nil"/>
          <w:right w:val="nil"/>
          <w:insideH w:val="nil"/>
          <w:insideV w:val="nil"/>
        </w:tcBorders>
        <w:shd w:val="clear" w:color="auto" w:fill="ADE5FF" w:themeFill="accent6" w:themeFillTint="3F"/>
      </w:tcPr>
    </w:tblStylePr>
  </w:style>
  <w:style w:type="character" w:styleId="LineNumber">
    <w:name w:val="line number"/>
    <w:basedOn w:val="DefaultParagraphFont"/>
    <w:semiHidden/>
    <w:unhideWhenUsed/>
    <w:rsid w:val="00B241C2"/>
  </w:style>
  <w:style w:type="table" w:styleId="ListTable1Light">
    <w:name w:val="List Table 1 Light"/>
    <w:basedOn w:val="TableNormal"/>
    <w:uiPriority w:val="46"/>
    <w:rsid w:val="00B241C2"/>
    <w:pPr>
      <w:spacing w:after="0" w:line="240" w:lineRule="auto"/>
    </w:pPr>
    <w:rPr>
      <w:rFonts w:eastAsia="Times New Roman" w:cs="Times New Roman"/>
      <w:sz w:val="20"/>
      <w:szCs w:val="20"/>
      <w:lang w:eastAsia="en-AU"/>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B241C2"/>
    <w:pPr>
      <w:spacing w:after="0" w:line="240" w:lineRule="auto"/>
    </w:pPr>
    <w:rPr>
      <w:rFonts w:eastAsia="Times New Roman" w:cs="Times New Roman"/>
      <w:sz w:val="20"/>
      <w:szCs w:val="20"/>
      <w:lang w:eastAsia="en-AU"/>
    </w:rPr>
    <w:tblPr>
      <w:tblStyleRowBandSize w:val="1"/>
      <w:tblStyleColBandSize w:val="1"/>
    </w:tblPr>
    <w:tblStylePr w:type="firstRow">
      <w:rPr>
        <w:b/>
        <w:bCs/>
      </w:rPr>
      <w:tblPr/>
      <w:tcPr>
        <w:tcBorders>
          <w:bottom w:val="single" w:sz="4" w:space="0" w:color="E6E7E6" w:themeColor="accent1" w:themeTint="99"/>
        </w:tcBorders>
      </w:tcPr>
    </w:tblStylePr>
    <w:tblStylePr w:type="lastRow">
      <w:rPr>
        <w:b/>
        <w:bCs/>
      </w:rPr>
      <w:tblPr/>
      <w:tcPr>
        <w:tcBorders>
          <w:top w:val="single" w:sz="4" w:space="0" w:color="E6E7E6" w:themeColor="accent1" w:themeTint="99"/>
        </w:tcBorders>
      </w:tcPr>
    </w:tblStylePr>
    <w:tblStylePr w:type="firstCol">
      <w:rPr>
        <w:b/>
        <w:bCs/>
      </w:rPr>
    </w:tblStylePr>
    <w:tblStylePr w:type="lastCol">
      <w:rPr>
        <w:b/>
        <w:bCs/>
      </w:rPr>
    </w:tblStylePr>
    <w:tblStylePr w:type="band1Vert">
      <w:tblPr/>
      <w:tcPr>
        <w:shd w:val="clear" w:color="auto" w:fill="F6F7F6" w:themeFill="accent1" w:themeFillTint="33"/>
      </w:tcPr>
    </w:tblStylePr>
    <w:tblStylePr w:type="band1Horz">
      <w:tblPr/>
      <w:tcPr>
        <w:shd w:val="clear" w:color="auto" w:fill="F6F7F6" w:themeFill="accent1" w:themeFillTint="33"/>
      </w:tcPr>
    </w:tblStylePr>
  </w:style>
  <w:style w:type="table" w:styleId="ListTable1Light-Accent2">
    <w:name w:val="List Table 1 Light Accent 2"/>
    <w:basedOn w:val="TableNormal"/>
    <w:uiPriority w:val="46"/>
    <w:rsid w:val="00B241C2"/>
    <w:pPr>
      <w:spacing w:after="0" w:line="240" w:lineRule="auto"/>
    </w:pPr>
    <w:rPr>
      <w:rFonts w:eastAsia="Times New Roman" w:cs="Times New Roman"/>
      <w:sz w:val="20"/>
      <w:szCs w:val="20"/>
      <w:lang w:eastAsia="en-AU"/>
    </w:rPr>
    <w:tblPr>
      <w:tblStyleRowBandSize w:val="1"/>
      <w:tblStyleColBandSize w:val="1"/>
    </w:tblPr>
    <w:tblStylePr w:type="firstRow">
      <w:rPr>
        <w:b/>
        <w:bCs/>
      </w:rPr>
      <w:tblPr/>
      <w:tcPr>
        <w:tcBorders>
          <w:bottom w:val="single" w:sz="4" w:space="0" w:color="FFDC6B" w:themeColor="accent2" w:themeTint="99"/>
        </w:tcBorders>
      </w:tcPr>
    </w:tblStylePr>
    <w:tblStylePr w:type="lastRow">
      <w:rPr>
        <w:b/>
        <w:bCs/>
      </w:rPr>
      <w:tblPr/>
      <w:tcPr>
        <w:tcBorders>
          <w:top w:val="single" w:sz="4" w:space="0" w:color="FFDC6B" w:themeColor="accent2" w:themeTint="99"/>
        </w:tcBorders>
      </w:tcPr>
    </w:tblStylePr>
    <w:tblStylePr w:type="firstCol">
      <w:rPr>
        <w:b/>
        <w:bCs/>
      </w:rPr>
    </w:tblStylePr>
    <w:tblStylePr w:type="lastCol">
      <w:rPr>
        <w:b/>
        <w:bCs/>
      </w:rPr>
    </w:tblStylePr>
    <w:tblStylePr w:type="band1Vert">
      <w:tblPr/>
      <w:tcPr>
        <w:shd w:val="clear" w:color="auto" w:fill="FFF3CD" w:themeFill="accent2" w:themeFillTint="33"/>
      </w:tcPr>
    </w:tblStylePr>
    <w:tblStylePr w:type="band1Horz">
      <w:tblPr/>
      <w:tcPr>
        <w:shd w:val="clear" w:color="auto" w:fill="FFF3CD" w:themeFill="accent2" w:themeFillTint="33"/>
      </w:tcPr>
    </w:tblStylePr>
  </w:style>
  <w:style w:type="table" w:styleId="ListTable1Light-Accent3">
    <w:name w:val="List Table 1 Light Accent 3"/>
    <w:basedOn w:val="TableNormal"/>
    <w:uiPriority w:val="46"/>
    <w:rsid w:val="00B241C2"/>
    <w:pPr>
      <w:spacing w:after="0" w:line="240" w:lineRule="auto"/>
    </w:pPr>
    <w:rPr>
      <w:rFonts w:eastAsia="Times New Roman" w:cs="Times New Roman"/>
      <w:sz w:val="20"/>
      <w:szCs w:val="20"/>
      <w:lang w:eastAsia="en-AU"/>
    </w:rPr>
    <w:tblPr>
      <w:tblStyleRowBandSize w:val="1"/>
      <w:tblStyleColBandSize w:val="1"/>
    </w:tblPr>
    <w:tblStylePr w:type="firstRow">
      <w:rPr>
        <w:b/>
        <w:bCs/>
      </w:rPr>
      <w:tblPr/>
      <w:tcPr>
        <w:tcBorders>
          <w:bottom w:val="single" w:sz="4" w:space="0" w:color="EE6584" w:themeColor="accent3" w:themeTint="99"/>
        </w:tcBorders>
      </w:tcPr>
    </w:tblStylePr>
    <w:tblStylePr w:type="lastRow">
      <w:rPr>
        <w:b/>
        <w:bCs/>
      </w:rPr>
      <w:tblPr/>
      <w:tcPr>
        <w:tcBorders>
          <w:top w:val="single" w:sz="4" w:space="0" w:color="EE6584" w:themeColor="accent3" w:themeTint="99"/>
        </w:tcBorders>
      </w:tcPr>
    </w:tblStylePr>
    <w:tblStylePr w:type="firstCol">
      <w:rPr>
        <w:b/>
        <w:bCs/>
      </w:rPr>
    </w:tblStylePr>
    <w:tblStylePr w:type="lastCol">
      <w:rPr>
        <w:b/>
        <w:bCs/>
      </w:rPr>
    </w:tblStylePr>
    <w:tblStylePr w:type="band1Vert">
      <w:tblPr/>
      <w:tcPr>
        <w:shd w:val="clear" w:color="auto" w:fill="F9CBD6" w:themeFill="accent3" w:themeFillTint="33"/>
      </w:tcPr>
    </w:tblStylePr>
    <w:tblStylePr w:type="band1Horz">
      <w:tblPr/>
      <w:tcPr>
        <w:shd w:val="clear" w:color="auto" w:fill="F9CBD6" w:themeFill="accent3" w:themeFillTint="33"/>
      </w:tcPr>
    </w:tblStylePr>
  </w:style>
  <w:style w:type="table" w:styleId="ListTable1Light-Accent4">
    <w:name w:val="List Table 1 Light Accent 4"/>
    <w:basedOn w:val="TableNormal"/>
    <w:uiPriority w:val="46"/>
    <w:rsid w:val="00B241C2"/>
    <w:pPr>
      <w:spacing w:after="0" w:line="240" w:lineRule="auto"/>
    </w:pPr>
    <w:rPr>
      <w:rFonts w:eastAsia="Times New Roman" w:cs="Times New Roman"/>
      <w:sz w:val="20"/>
      <w:szCs w:val="20"/>
      <w:lang w:eastAsia="en-AU"/>
    </w:rPr>
    <w:tblPr>
      <w:tblStyleRowBandSize w:val="1"/>
      <w:tblStyleColBandSize w:val="1"/>
    </w:tblPr>
    <w:tblStylePr w:type="firstRow">
      <w:rPr>
        <w:b/>
        <w:bCs/>
      </w:rPr>
      <w:tblPr/>
      <w:tcPr>
        <w:tcBorders>
          <w:bottom w:val="single" w:sz="4" w:space="0" w:color="AF60D2" w:themeColor="accent4" w:themeTint="99"/>
        </w:tcBorders>
      </w:tcPr>
    </w:tblStylePr>
    <w:tblStylePr w:type="lastRow">
      <w:rPr>
        <w:b/>
        <w:bCs/>
      </w:rPr>
      <w:tblPr/>
      <w:tcPr>
        <w:tcBorders>
          <w:top w:val="single" w:sz="4" w:space="0" w:color="AF60D2" w:themeColor="accent4" w:themeTint="99"/>
        </w:tcBorders>
      </w:tcPr>
    </w:tblStylePr>
    <w:tblStylePr w:type="firstCol">
      <w:rPr>
        <w:b/>
        <w:bCs/>
      </w:rPr>
    </w:tblStylePr>
    <w:tblStylePr w:type="lastCol">
      <w:rPr>
        <w:b/>
        <w:bCs/>
      </w:rPr>
    </w:tblStylePr>
    <w:tblStylePr w:type="band1Vert">
      <w:tblPr/>
      <w:tcPr>
        <w:shd w:val="clear" w:color="auto" w:fill="E4CAF0" w:themeFill="accent4" w:themeFillTint="33"/>
      </w:tcPr>
    </w:tblStylePr>
    <w:tblStylePr w:type="band1Horz">
      <w:tblPr/>
      <w:tcPr>
        <w:shd w:val="clear" w:color="auto" w:fill="E4CAF0" w:themeFill="accent4" w:themeFillTint="33"/>
      </w:tcPr>
    </w:tblStylePr>
  </w:style>
  <w:style w:type="table" w:styleId="ListTable1Light-Accent5">
    <w:name w:val="List Table 1 Light Accent 5"/>
    <w:basedOn w:val="TableNormal"/>
    <w:uiPriority w:val="46"/>
    <w:rsid w:val="00B241C2"/>
    <w:pPr>
      <w:spacing w:after="0" w:line="240" w:lineRule="auto"/>
    </w:pPr>
    <w:rPr>
      <w:rFonts w:eastAsia="Times New Roman" w:cs="Times New Roman"/>
      <w:sz w:val="20"/>
      <w:szCs w:val="20"/>
      <w:lang w:eastAsia="en-AU"/>
    </w:rPr>
    <w:tblPr>
      <w:tblStyleRowBandSize w:val="1"/>
      <w:tblStyleColBandSize w:val="1"/>
    </w:tblPr>
    <w:tblStylePr w:type="firstRow">
      <w:rPr>
        <w:b/>
        <w:bCs/>
      </w:rPr>
      <w:tblPr/>
      <w:tcPr>
        <w:tcBorders>
          <w:bottom w:val="single" w:sz="4" w:space="0" w:color="63E18C" w:themeColor="accent5" w:themeTint="99"/>
        </w:tcBorders>
      </w:tcPr>
    </w:tblStylePr>
    <w:tblStylePr w:type="lastRow">
      <w:rPr>
        <w:b/>
        <w:bCs/>
      </w:rPr>
      <w:tblPr/>
      <w:tcPr>
        <w:tcBorders>
          <w:top w:val="single" w:sz="4" w:space="0" w:color="63E18C" w:themeColor="accent5" w:themeTint="99"/>
        </w:tcBorders>
      </w:tcPr>
    </w:tblStylePr>
    <w:tblStylePr w:type="firstCol">
      <w:rPr>
        <w:b/>
        <w:bCs/>
      </w:rPr>
    </w:tblStylePr>
    <w:tblStylePr w:type="lastCol">
      <w:rPr>
        <w:b/>
        <w:bCs/>
      </w:rPr>
    </w:tblStylePr>
    <w:tblStylePr w:type="band1Vert">
      <w:tblPr/>
      <w:tcPr>
        <w:shd w:val="clear" w:color="auto" w:fill="CBF5D8" w:themeFill="accent5" w:themeFillTint="33"/>
      </w:tcPr>
    </w:tblStylePr>
    <w:tblStylePr w:type="band1Horz">
      <w:tblPr/>
      <w:tcPr>
        <w:shd w:val="clear" w:color="auto" w:fill="CBF5D8" w:themeFill="accent5" w:themeFillTint="33"/>
      </w:tcPr>
    </w:tblStylePr>
  </w:style>
  <w:style w:type="table" w:styleId="ListTable1Light-Accent6">
    <w:name w:val="List Table 1 Light Accent 6"/>
    <w:basedOn w:val="TableNormal"/>
    <w:uiPriority w:val="46"/>
    <w:rsid w:val="00B241C2"/>
    <w:pPr>
      <w:spacing w:after="0" w:line="240" w:lineRule="auto"/>
    </w:pPr>
    <w:rPr>
      <w:rFonts w:eastAsia="Times New Roman" w:cs="Times New Roman"/>
      <w:sz w:val="20"/>
      <w:szCs w:val="20"/>
      <w:lang w:eastAsia="en-AU"/>
    </w:rPr>
    <w:tblPr>
      <w:tblStyleRowBandSize w:val="1"/>
      <w:tblStyleColBandSize w:val="1"/>
    </w:tblPr>
    <w:tblStylePr w:type="firstRow">
      <w:rPr>
        <w:b/>
        <w:bCs/>
      </w:rPr>
      <w:tblPr/>
      <w:tcPr>
        <w:tcBorders>
          <w:bottom w:val="single" w:sz="4" w:space="0" w:color="3AC1FF" w:themeColor="accent6" w:themeTint="99"/>
        </w:tcBorders>
      </w:tcPr>
    </w:tblStylePr>
    <w:tblStylePr w:type="lastRow">
      <w:rPr>
        <w:b/>
        <w:bCs/>
      </w:rPr>
      <w:tblPr/>
      <w:tcPr>
        <w:tcBorders>
          <w:top w:val="single" w:sz="4" w:space="0" w:color="3AC1FF" w:themeColor="accent6" w:themeTint="99"/>
        </w:tcBorders>
      </w:tcPr>
    </w:tblStylePr>
    <w:tblStylePr w:type="firstCol">
      <w:rPr>
        <w:b/>
        <w:bCs/>
      </w:rPr>
    </w:tblStylePr>
    <w:tblStylePr w:type="lastCol">
      <w:rPr>
        <w:b/>
        <w:bCs/>
      </w:rPr>
    </w:tblStylePr>
    <w:tblStylePr w:type="band1Vert">
      <w:tblPr/>
      <w:tcPr>
        <w:shd w:val="clear" w:color="auto" w:fill="BDEAFF" w:themeFill="accent6" w:themeFillTint="33"/>
      </w:tcPr>
    </w:tblStylePr>
    <w:tblStylePr w:type="band1Horz">
      <w:tblPr/>
      <w:tcPr>
        <w:shd w:val="clear" w:color="auto" w:fill="BDEAFF" w:themeFill="accent6" w:themeFillTint="33"/>
      </w:tcPr>
    </w:tblStylePr>
  </w:style>
  <w:style w:type="table" w:styleId="ListTable2">
    <w:name w:val="List Table 2"/>
    <w:basedOn w:val="TableNormal"/>
    <w:uiPriority w:val="47"/>
    <w:rsid w:val="00B241C2"/>
    <w:pPr>
      <w:spacing w:after="0" w:line="240" w:lineRule="auto"/>
    </w:pPr>
    <w:rPr>
      <w:rFonts w:eastAsia="Times New Roman" w:cs="Times New Roman"/>
      <w:sz w:val="20"/>
      <w:szCs w:val="20"/>
      <w:lang w:eastAsia="en-AU"/>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B241C2"/>
    <w:pPr>
      <w:spacing w:after="0" w:line="240" w:lineRule="auto"/>
    </w:pPr>
    <w:rPr>
      <w:rFonts w:eastAsia="Times New Roman" w:cs="Times New Roman"/>
      <w:sz w:val="20"/>
      <w:szCs w:val="20"/>
      <w:lang w:eastAsia="en-AU"/>
    </w:rPr>
    <w:tblPr>
      <w:tblStyleRowBandSize w:val="1"/>
      <w:tblStyleColBandSize w:val="1"/>
      <w:tblBorders>
        <w:top w:val="single" w:sz="4" w:space="0" w:color="E6E7E6" w:themeColor="accent1" w:themeTint="99"/>
        <w:bottom w:val="single" w:sz="4" w:space="0" w:color="E6E7E6" w:themeColor="accent1" w:themeTint="99"/>
        <w:insideH w:val="single" w:sz="4" w:space="0" w:color="E6E7E6"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6F7F6" w:themeFill="accent1" w:themeFillTint="33"/>
      </w:tcPr>
    </w:tblStylePr>
    <w:tblStylePr w:type="band1Horz">
      <w:tblPr/>
      <w:tcPr>
        <w:shd w:val="clear" w:color="auto" w:fill="F6F7F6" w:themeFill="accent1" w:themeFillTint="33"/>
      </w:tcPr>
    </w:tblStylePr>
  </w:style>
  <w:style w:type="table" w:styleId="ListTable2-Accent2">
    <w:name w:val="List Table 2 Accent 2"/>
    <w:basedOn w:val="TableNormal"/>
    <w:uiPriority w:val="47"/>
    <w:rsid w:val="00B241C2"/>
    <w:pPr>
      <w:spacing w:after="0" w:line="240" w:lineRule="auto"/>
    </w:pPr>
    <w:rPr>
      <w:rFonts w:eastAsia="Times New Roman" w:cs="Times New Roman"/>
      <w:sz w:val="20"/>
      <w:szCs w:val="20"/>
      <w:lang w:eastAsia="en-AU"/>
    </w:rPr>
    <w:tblPr>
      <w:tblStyleRowBandSize w:val="1"/>
      <w:tblStyleColBandSize w:val="1"/>
      <w:tblBorders>
        <w:top w:val="single" w:sz="4" w:space="0" w:color="FFDC6B" w:themeColor="accent2" w:themeTint="99"/>
        <w:bottom w:val="single" w:sz="4" w:space="0" w:color="FFDC6B" w:themeColor="accent2" w:themeTint="99"/>
        <w:insideH w:val="single" w:sz="4" w:space="0" w:color="FFDC6B"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3CD" w:themeFill="accent2" w:themeFillTint="33"/>
      </w:tcPr>
    </w:tblStylePr>
    <w:tblStylePr w:type="band1Horz">
      <w:tblPr/>
      <w:tcPr>
        <w:shd w:val="clear" w:color="auto" w:fill="FFF3CD" w:themeFill="accent2" w:themeFillTint="33"/>
      </w:tcPr>
    </w:tblStylePr>
  </w:style>
  <w:style w:type="table" w:styleId="ListTable2-Accent3">
    <w:name w:val="List Table 2 Accent 3"/>
    <w:basedOn w:val="TableNormal"/>
    <w:uiPriority w:val="47"/>
    <w:rsid w:val="00B241C2"/>
    <w:pPr>
      <w:spacing w:after="0" w:line="240" w:lineRule="auto"/>
    </w:pPr>
    <w:rPr>
      <w:rFonts w:eastAsia="Times New Roman" w:cs="Times New Roman"/>
      <w:sz w:val="20"/>
      <w:szCs w:val="20"/>
      <w:lang w:eastAsia="en-AU"/>
    </w:rPr>
    <w:tblPr>
      <w:tblStyleRowBandSize w:val="1"/>
      <w:tblStyleColBandSize w:val="1"/>
      <w:tblBorders>
        <w:top w:val="single" w:sz="4" w:space="0" w:color="EE6584" w:themeColor="accent3" w:themeTint="99"/>
        <w:bottom w:val="single" w:sz="4" w:space="0" w:color="EE6584" w:themeColor="accent3" w:themeTint="99"/>
        <w:insideH w:val="single" w:sz="4" w:space="0" w:color="EE658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CBD6" w:themeFill="accent3" w:themeFillTint="33"/>
      </w:tcPr>
    </w:tblStylePr>
    <w:tblStylePr w:type="band1Horz">
      <w:tblPr/>
      <w:tcPr>
        <w:shd w:val="clear" w:color="auto" w:fill="F9CBD6" w:themeFill="accent3" w:themeFillTint="33"/>
      </w:tcPr>
    </w:tblStylePr>
  </w:style>
  <w:style w:type="table" w:styleId="ListTable2-Accent4">
    <w:name w:val="List Table 2 Accent 4"/>
    <w:basedOn w:val="TableNormal"/>
    <w:uiPriority w:val="47"/>
    <w:rsid w:val="00B241C2"/>
    <w:pPr>
      <w:spacing w:after="0" w:line="240" w:lineRule="auto"/>
    </w:pPr>
    <w:rPr>
      <w:rFonts w:eastAsia="Times New Roman" w:cs="Times New Roman"/>
      <w:sz w:val="20"/>
      <w:szCs w:val="20"/>
      <w:lang w:eastAsia="en-AU"/>
    </w:rPr>
    <w:tblPr>
      <w:tblStyleRowBandSize w:val="1"/>
      <w:tblStyleColBandSize w:val="1"/>
      <w:tblBorders>
        <w:top w:val="single" w:sz="4" w:space="0" w:color="AF60D2" w:themeColor="accent4" w:themeTint="99"/>
        <w:bottom w:val="single" w:sz="4" w:space="0" w:color="AF60D2" w:themeColor="accent4" w:themeTint="99"/>
        <w:insideH w:val="single" w:sz="4" w:space="0" w:color="AF60D2"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CAF0" w:themeFill="accent4" w:themeFillTint="33"/>
      </w:tcPr>
    </w:tblStylePr>
    <w:tblStylePr w:type="band1Horz">
      <w:tblPr/>
      <w:tcPr>
        <w:shd w:val="clear" w:color="auto" w:fill="E4CAF0" w:themeFill="accent4" w:themeFillTint="33"/>
      </w:tcPr>
    </w:tblStylePr>
  </w:style>
  <w:style w:type="table" w:styleId="ListTable2-Accent5">
    <w:name w:val="List Table 2 Accent 5"/>
    <w:basedOn w:val="TableNormal"/>
    <w:uiPriority w:val="47"/>
    <w:rsid w:val="00B241C2"/>
    <w:pPr>
      <w:spacing w:after="0" w:line="240" w:lineRule="auto"/>
    </w:pPr>
    <w:rPr>
      <w:rFonts w:eastAsia="Times New Roman" w:cs="Times New Roman"/>
      <w:sz w:val="20"/>
      <w:szCs w:val="20"/>
      <w:lang w:eastAsia="en-AU"/>
    </w:rPr>
    <w:tblPr>
      <w:tblStyleRowBandSize w:val="1"/>
      <w:tblStyleColBandSize w:val="1"/>
      <w:tblBorders>
        <w:top w:val="single" w:sz="4" w:space="0" w:color="63E18C" w:themeColor="accent5" w:themeTint="99"/>
        <w:bottom w:val="single" w:sz="4" w:space="0" w:color="63E18C" w:themeColor="accent5" w:themeTint="99"/>
        <w:insideH w:val="single" w:sz="4" w:space="0" w:color="63E18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BF5D8" w:themeFill="accent5" w:themeFillTint="33"/>
      </w:tcPr>
    </w:tblStylePr>
    <w:tblStylePr w:type="band1Horz">
      <w:tblPr/>
      <w:tcPr>
        <w:shd w:val="clear" w:color="auto" w:fill="CBF5D8" w:themeFill="accent5" w:themeFillTint="33"/>
      </w:tcPr>
    </w:tblStylePr>
  </w:style>
  <w:style w:type="table" w:styleId="ListTable2-Accent6">
    <w:name w:val="List Table 2 Accent 6"/>
    <w:basedOn w:val="TableNormal"/>
    <w:uiPriority w:val="47"/>
    <w:rsid w:val="00B241C2"/>
    <w:pPr>
      <w:spacing w:after="0" w:line="240" w:lineRule="auto"/>
    </w:pPr>
    <w:rPr>
      <w:rFonts w:eastAsia="Times New Roman" w:cs="Times New Roman"/>
      <w:sz w:val="20"/>
      <w:szCs w:val="20"/>
      <w:lang w:eastAsia="en-AU"/>
    </w:rPr>
    <w:tblPr>
      <w:tblStyleRowBandSize w:val="1"/>
      <w:tblStyleColBandSize w:val="1"/>
      <w:tblBorders>
        <w:top w:val="single" w:sz="4" w:space="0" w:color="3AC1FF" w:themeColor="accent6" w:themeTint="99"/>
        <w:bottom w:val="single" w:sz="4" w:space="0" w:color="3AC1FF" w:themeColor="accent6" w:themeTint="99"/>
        <w:insideH w:val="single" w:sz="4" w:space="0" w:color="3AC1F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DEAFF" w:themeFill="accent6" w:themeFillTint="33"/>
      </w:tcPr>
    </w:tblStylePr>
    <w:tblStylePr w:type="band1Horz">
      <w:tblPr/>
      <w:tcPr>
        <w:shd w:val="clear" w:color="auto" w:fill="BDEAFF" w:themeFill="accent6" w:themeFillTint="33"/>
      </w:tcPr>
    </w:tblStylePr>
  </w:style>
  <w:style w:type="table" w:styleId="ListTable3">
    <w:name w:val="List Table 3"/>
    <w:basedOn w:val="TableNormal"/>
    <w:uiPriority w:val="48"/>
    <w:rsid w:val="00B241C2"/>
    <w:pPr>
      <w:spacing w:after="0" w:line="240" w:lineRule="auto"/>
    </w:pPr>
    <w:rPr>
      <w:rFonts w:eastAsia="Times New Roman" w:cs="Times New Roman"/>
      <w:sz w:val="20"/>
      <w:szCs w:val="20"/>
      <w:lang w:eastAsia="en-AU"/>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B241C2"/>
    <w:pPr>
      <w:spacing w:after="0" w:line="240" w:lineRule="auto"/>
    </w:pPr>
    <w:rPr>
      <w:rFonts w:eastAsia="Times New Roman" w:cs="Times New Roman"/>
      <w:sz w:val="20"/>
      <w:szCs w:val="20"/>
      <w:lang w:eastAsia="en-AU"/>
    </w:rPr>
    <w:tblPr>
      <w:tblStyleRowBandSize w:val="1"/>
      <w:tblStyleColBandSize w:val="1"/>
      <w:tblBorders>
        <w:top w:val="single" w:sz="4" w:space="0" w:color="D7D8D6" w:themeColor="accent1"/>
        <w:left w:val="single" w:sz="4" w:space="0" w:color="D7D8D6" w:themeColor="accent1"/>
        <w:bottom w:val="single" w:sz="4" w:space="0" w:color="D7D8D6" w:themeColor="accent1"/>
        <w:right w:val="single" w:sz="4" w:space="0" w:color="D7D8D6" w:themeColor="accent1"/>
      </w:tblBorders>
    </w:tblPr>
    <w:tblStylePr w:type="firstRow">
      <w:rPr>
        <w:b/>
        <w:bCs/>
        <w:color w:val="FFFFFF" w:themeColor="background1"/>
      </w:rPr>
      <w:tblPr/>
      <w:tcPr>
        <w:shd w:val="clear" w:color="auto" w:fill="D7D8D6" w:themeFill="accent1"/>
      </w:tcPr>
    </w:tblStylePr>
    <w:tblStylePr w:type="lastRow">
      <w:rPr>
        <w:b/>
        <w:bCs/>
      </w:rPr>
      <w:tblPr/>
      <w:tcPr>
        <w:tcBorders>
          <w:top w:val="double" w:sz="4" w:space="0" w:color="D7D8D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7D8D6" w:themeColor="accent1"/>
          <w:right w:val="single" w:sz="4" w:space="0" w:color="D7D8D6" w:themeColor="accent1"/>
        </w:tcBorders>
      </w:tcPr>
    </w:tblStylePr>
    <w:tblStylePr w:type="band1Horz">
      <w:tblPr/>
      <w:tcPr>
        <w:tcBorders>
          <w:top w:val="single" w:sz="4" w:space="0" w:color="D7D8D6" w:themeColor="accent1"/>
          <w:bottom w:val="single" w:sz="4" w:space="0" w:color="D7D8D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7D8D6" w:themeColor="accent1"/>
          <w:left w:val="nil"/>
        </w:tcBorders>
      </w:tcPr>
    </w:tblStylePr>
    <w:tblStylePr w:type="swCell">
      <w:tblPr/>
      <w:tcPr>
        <w:tcBorders>
          <w:top w:val="double" w:sz="4" w:space="0" w:color="D7D8D6" w:themeColor="accent1"/>
          <w:right w:val="nil"/>
        </w:tcBorders>
      </w:tcPr>
    </w:tblStylePr>
  </w:style>
  <w:style w:type="table" w:styleId="ListTable3-Accent2">
    <w:name w:val="List Table 3 Accent 2"/>
    <w:basedOn w:val="TableNormal"/>
    <w:uiPriority w:val="48"/>
    <w:rsid w:val="00B241C2"/>
    <w:pPr>
      <w:spacing w:after="0" w:line="240" w:lineRule="auto"/>
    </w:pPr>
    <w:rPr>
      <w:rFonts w:eastAsia="Times New Roman" w:cs="Times New Roman"/>
      <w:sz w:val="20"/>
      <w:szCs w:val="20"/>
      <w:lang w:eastAsia="en-AU"/>
    </w:rPr>
    <w:tblPr>
      <w:tblStyleRowBandSize w:val="1"/>
      <w:tblStyleColBandSize w:val="1"/>
      <w:tblBorders>
        <w:top w:val="single" w:sz="4" w:space="0" w:color="FFC709" w:themeColor="accent2"/>
        <w:left w:val="single" w:sz="4" w:space="0" w:color="FFC709" w:themeColor="accent2"/>
        <w:bottom w:val="single" w:sz="4" w:space="0" w:color="FFC709" w:themeColor="accent2"/>
        <w:right w:val="single" w:sz="4" w:space="0" w:color="FFC709" w:themeColor="accent2"/>
      </w:tblBorders>
    </w:tblPr>
    <w:tblStylePr w:type="firstRow">
      <w:rPr>
        <w:b/>
        <w:bCs/>
        <w:color w:val="FFFFFF" w:themeColor="background1"/>
      </w:rPr>
      <w:tblPr/>
      <w:tcPr>
        <w:shd w:val="clear" w:color="auto" w:fill="FFC709" w:themeFill="accent2"/>
      </w:tcPr>
    </w:tblStylePr>
    <w:tblStylePr w:type="lastRow">
      <w:rPr>
        <w:b/>
        <w:bCs/>
      </w:rPr>
      <w:tblPr/>
      <w:tcPr>
        <w:tcBorders>
          <w:top w:val="double" w:sz="4" w:space="0" w:color="FFC70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709" w:themeColor="accent2"/>
          <w:right w:val="single" w:sz="4" w:space="0" w:color="FFC709" w:themeColor="accent2"/>
        </w:tcBorders>
      </w:tcPr>
    </w:tblStylePr>
    <w:tblStylePr w:type="band1Horz">
      <w:tblPr/>
      <w:tcPr>
        <w:tcBorders>
          <w:top w:val="single" w:sz="4" w:space="0" w:color="FFC709" w:themeColor="accent2"/>
          <w:bottom w:val="single" w:sz="4" w:space="0" w:color="FFC70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709" w:themeColor="accent2"/>
          <w:left w:val="nil"/>
        </w:tcBorders>
      </w:tcPr>
    </w:tblStylePr>
    <w:tblStylePr w:type="swCell">
      <w:tblPr/>
      <w:tcPr>
        <w:tcBorders>
          <w:top w:val="double" w:sz="4" w:space="0" w:color="FFC709" w:themeColor="accent2"/>
          <w:right w:val="nil"/>
        </w:tcBorders>
      </w:tcPr>
    </w:tblStylePr>
  </w:style>
  <w:style w:type="table" w:styleId="ListTable3-Accent3">
    <w:name w:val="List Table 3 Accent 3"/>
    <w:basedOn w:val="TableNormal"/>
    <w:uiPriority w:val="48"/>
    <w:rsid w:val="00B241C2"/>
    <w:pPr>
      <w:spacing w:after="0" w:line="240" w:lineRule="auto"/>
    </w:pPr>
    <w:rPr>
      <w:rFonts w:eastAsia="Times New Roman" w:cs="Times New Roman"/>
      <w:sz w:val="20"/>
      <w:szCs w:val="20"/>
      <w:lang w:eastAsia="en-AU"/>
    </w:rPr>
    <w:tblPr>
      <w:tblStyleRowBandSize w:val="1"/>
      <w:tblStyleColBandSize w:val="1"/>
      <w:tblBorders>
        <w:top w:val="single" w:sz="4" w:space="0" w:color="CD163F" w:themeColor="accent3"/>
        <w:left w:val="single" w:sz="4" w:space="0" w:color="CD163F" w:themeColor="accent3"/>
        <w:bottom w:val="single" w:sz="4" w:space="0" w:color="CD163F" w:themeColor="accent3"/>
        <w:right w:val="single" w:sz="4" w:space="0" w:color="CD163F" w:themeColor="accent3"/>
      </w:tblBorders>
    </w:tblPr>
    <w:tblStylePr w:type="firstRow">
      <w:rPr>
        <w:b/>
        <w:bCs/>
        <w:color w:val="FFFFFF" w:themeColor="background1"/>
      </w:rPr>
      <w:tblPr/>
      <w:tcPr>
        <w:shd w:val="clear" w:color="auto" w:fill="CD163F" w:themeFill="accent3"/>
      </w:tcPr>
    </w:tblStylePr>
    <w:tblStylePr w:type="lastRow">
      <w:rPr>
        <w:b/>
        <w:bCs/>
      </w:rPr>
      <w:tblPr/>
      <w:tcPr>
        <w:tcBorders>
          <w:top w:val="double" w:sz="4" w:space="0" w:color="CD163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D163F" w:themeColor="accent3"/>
          <w:right w:val="single" w:sz="4" w:space="0" w:color="CD163F" w:themeColor="accent3"/>
        </w:tcBorders>
      </w:tcPr>
    </w:tblStylePr>
    <w:tblStylePr w:type="band1Horz">
      <w:tblPr/>
      <w:tcPr>
        <w:tcBorders>
          <w:top w:val="single" w:sz="4" w:space="0" w:color="CD163F" w:themeColor="accent3"/>
          <w:bottom w:val="single" w:sz="4" w:space="0" w:color="CD163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D163F" w:themeColor="accent3"/>
          <w:left w:val="nil"/>
        </w:tcBorders>
      </w:tcPr>
    </w:tblStylePr>
    <w:tblStylePr w:type="swCell">
      <w:tblPr/>
      <w:tcPr>
        <w:tcBorders>
          <w:top w:val="double" w:sz="4" w:space="0" w:color="CD163F" w:themeColor="accent3"/>
          <w:right w:val="nil"/>
        </w:tcBorders>
      </w:tcPr>
    </w:tblStylePr>
  </w:style>
  <w:style w:type="table" w:styleId="ListTable3-Accent4">
    <w:name w:val="List Table 3 Accent 4"/>
    <w:basedOn w:val="TableNormal"/>
    <w:uiPriority w:val="48"/>
    <w:rsid w:val="00B241C2"/>
    <w:pPr>
      <w:spacing w:after="0" w:line="240" w:lineRule="auto"/>
    </w:pPr>
    <w:rPr>
      <w:rFonts w:eastAsia="Times New Roman" w:cs="Times New Roman"/>
      <w:sz w:val="20"/>
      <w:szCs w:val="20"/>
      <w:lang w:eastAsia="en-AU"/>
    </w:rPr>
    <w:tblPr>
      <w:tblStyleRowBandSize w:val="1"/>
      <w:tblStyleColBandSize w:val="1"/>
      <w:tblBorders>
        <w:top w:val="single" w:sz="4" w:space="0" w:color="692686" w:themeColor="accent4"/>
        <w:left w:val="single" w:sz="4" w:space="0" w:color="692686" w:themeColor="accent4"/>
        <w:bottom w:val="single" w:sz="4" w:space="0" w:color="692686" w:themeColor="accent4"/>
        <w:right w:val="single" w:sz="4" w:space="0" w:color="692686" w:themeColor="accent4"/>
      </w:tblBorders>
    </w:tblPr>
    <w:tblStylePr w:type="firstRow">
      <w:rPr>
        <w:b/>
        <w:bCs/>
        <w:color w:val="FFFFFF" w:themeColor="background1"/>
      </w:rPr>
      <w:tblPr/>
      <w:tcPr>
        <w:shd w:val="clear" w:color="auto" w:fill="692686" w:themeFill="accent4"/>
      </w:tcPr>
    </w:tblStylePr>
    <w:tblStylePr w:type="lastRow">
      <w:rPr>
        <w:b/>
        <w:bCs/>
      </w:rPr>
      <w:tblPr/>
      <w:tcPr>
        <w:tcBorders>
          <w:top w:val="double" w:sz="4" w:space="0" w:color="69268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92686" w:themeColor="accent4"/>
          <w:right w:val="single" w:sz="4" w:space="0" w:color="692686" w:themeColor="accent4"/>
        </w:tcBorders>
      </w:tcPr>
    </w:tblStylePr>
    <w:tblStylePr w:type="band1Horz">
      <w:tblPr/>
      <w:tcPr>
        <w:tcBorders>
          <w:top w:val="single" w:sz="4" w:space="0" w:color="692686" w:themeColor="accent4"/>
          <w:bottom w:val="single" w:sz="4" w:space="0" w:color="69268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92686" w:themeColor="accent4"/>
          <w:left w:val="nil"/>
        </w:tcBorders>
      </w:tcPr>
    </w:tblStylePr>
    <w:tblStylePr w:type="swCell">
      <w:tblPr/>
      <w:tcPr>
        <w:tcBorders>
          <w:top w:val="double" w:sz="4" w:space="0" w:color="692686" w:themeColor="accent4"/>
          <w:right w:val="nil"/>
        </w:tcBorders>
      </w:tcPr>
    </w:tblStylePr>
  </w:style>
  <w:style w:type="table" w:styleId="ListTable3-Accent5">
    <w:name w:val="List Table 3 Accent 5"/>
    <w:basedOn w:val="TableNormal"/>
    <w:uiPriority w:val="48"/>
    <w:rsid w:val="00B241C2"/>
    <w:pPr>
      <w:spacing w:after="0" w:line="240" w:lineRule="auto"/>
    </w:pPr>
    <w:rPr>
      <w:rFonts w:eastAsia="Times New Roman" w:cs="Times New Roman"/>
      <w:sz w:val="20"/>
      <w:szCs w:val="20"/>
      <w:lang w:eastAsia="en-AU"/>
    </w:rPr>
    <w:tblPr>
      <w:tblStyleRowBandSize w:val="1"/>
      <w:tblStyleColBandSize w:val="1"/>
      <w:tblBorders>
        <w:top w:val="single" w:sz="4" w:space="0" w:color="20AA4D" w:themeColor="accent5"/>
        <w:left w:val="single" w:sz="4" w:space="0" w:color="20AA4D" w:themeColor="accent5"/>
        <w:bottom w:val="single" w:sz="4" w:space="0" w:color="20AA4D" w:themeColor="accent5"/>
        <w:right w:val="single" w:sz="4" w:space="0" w:color="20AA4D" w:themeColor="accent5"/>
      </w:tblBorders>
    </w:tblPr>
    <w:tblStylePr w:type="firstRow">
      <w:rPr>
        <w:b/>
        <w:bCs/>
        <w:color w:val="FFFFFF" w:themeColor="background1"/>
      </w:rPr>
      <w:tblPr/>
      <w:tcPr>
        <w:shd w:val="clear" w:color="auto" w:fill="20AA4D" w:themeFill="accent5"/>
      </w:tcPr>
    </w:tblStylePr>
    <w:tblStylePr w:type="lastRow">
      <w:rPr>
        <w:b/>
        <w:bCs/>
      </w:rPr>
      <w:tblPr/>
      <w:tcPr>
        <w:tcBorders>
          <w:top w:val="double" w:sz="4" w:space="0" w:color="20AA4D"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AA4D" w:themeColor="accent5"/>
          <w:right w:val="single" w:sz="4" w:space="0" w:color="20AA4D" w:themeColor="accent5"/>
        </w:tcBorders>
      </w:tcPr>
    </w:tblStylePr>
    <w:tblStylePr w:type="band1Horz">
      <w:tblPr/>
      <w:tcPr>
        <w:tcBorders>
          <w:top w:val="single" w:sz="4" w:space="0" w:color="20AA4D" w:themeColor="accent5"/>
          <w:bottom w:val="single" w:sz="4" w:space="0" w:color="20AA4D"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AA4D" w:themeColor="accent5"/>
          <w:left w:val="nil"/>
        </w:tcBorders>
      </w:tcPr>
    </w:tblStylePr>
    <w:tblStylePr w:type="swCell">
      <w:tblPr/>
      <w:tcPr>
        <w:tcBorders>
          <w:top w:val="double" w:sz="4" w:space="0" w:color="20AA4D" w:themeColor="accent5"/>
          <w:right w:val="nil"/>
        </w:tcBorders>
      </w:tcPr>
    </w:tblStylePr>
  </w:style>
  <w:style w:type="table" w:styleId="ListTable3-Accent6">
    <w:name w:val="List Table 3 Accent 6"/>
    <w:basedOn w:val="TableNormal"/>
    <w:uiPriority w:val="48"/>
    <w:rsid w:val="00B241C2"/>
    <w:pPr>
      <w:spacing w:after="0" w:line="240" w:lineRule="auto"/>
    </w:pPr>
    <w:rPr>
      <w:rFonts w:eastAsia="Times New Roman" w:cs="Times New Roman"/>
      <w:sz w:val="20"/>
      <w:szCs w:val="20"/>
      <w:lang w:eastAsia="en-AU"/>
    </w:rPr>
    <w:tblPr>
      <w:tblStyleRowBandSize w:val="1"/>
      <w:tblStyleColBandSize w:val="1"/>
      <w:tblBorders>
        <w:top w:val="single" w:sz="4" w:space="0" w:color="007DB6" w:themeColor="accent6"/>
        <w:left w:val="single" w:sz="4" w:space="0" w:color="007DB6" w:themeColor="accent6"/>
        <w:bottom w:val="single" w:sz="4" w:space="0" w:color="007DB6" w:themeColor="accent6"/>
        <w:right w:val="single" w:sz="4" w:space="0" w:color="007DB6" w:themeColor="accent6"/>
      </w:tblBorders>
    </w:tblPr>
    <w:tblStylePr w:type="firstRow">
      <w:rPr>
        <w:b/>
        <w:bCs/>
        <w:color w:val="FFFFFF" w:themeColor="background1"/>
      </w:rPr>
      <w:tblPr/>
      <w:tcPr>
        <w:shd w:val="clear" w:color="auto" w:fill="007DB6" w:themeFill="accent6"/>
      </w:tcPr>
    </w:tblStylePr>
    <w:tblStylePr w:type="lastRow">
      <w:rPr>
        <w:b/>
        <w:bCs/>
      </w:rPr>
      <w:tblPr/>
      <w:tcPr>
        <w:tcBorders>
          <w:top w:val="double" w:sz="4" w:space="0" w:color="007DB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DB6" w:themeColor="accent6"/>
          <w:right w:val="single" w:sz="4" w:space="0" w:color="007DB6" w:themeColor="accent6"/>
        </w:tcBorders>
      </w:tcPr>
    </w:tblStylePr>
    <w:tblStylePr w:type="band1Horz">
      <w:tblPr/>
      <w:tcPr>
        <w:tcBorders>
          <w:top w:val="single" w:sz="4" w:space="0" w:color="007DB6" w:themeColor="accent6"/>
          <w:bottom w:val="single" w:sz="4" w:space="0" w:color="007DB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DB6" w:themeColor="accent6"/>
          <w:left w:val="nil"/>
        </w:tcBorders>
      </w:tcPr>
    </w:tblStylePr>
    <w:tblStylePr w:type="swCell">
      <w:tblPr/>
      <w:tcPr>
        <w:tcBorders>
          <w:top w:val="double" w:sz="4" w:space="0" w:color="007DB6" w:themeColor="accent6"/>
          <w:right w:val="nil"/>
        </w:tcBorders>
      </w:tcPr>
    </w:tblStylePr>
  </w:style>
  <w:style w:type="table" w:styleId="ListTable4">
    <w:name w:val="List Table 4"/>
    <w:basedOn w:val="TableNormal"/>
    <w:uiPriority w:val="49"/>
    <w:rsid w:val="00B241C2"/>
    <w:pPr>
      <w:spacing w:after="0" w:line="240" w:lineRule="auto"/>
    </w:pPr>
    <w:rPr>
      <w:rFonts w:eastAsia="Times New Roman" w:cs="Times New Roman"/>
      <w:sz w:val="20"/>
      <w:szCs w:val="20"/>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B241C2"/>
    <w:pPr>
      <w:spacing w:after="0" w:line="240" w:lineRule="auto"/>
    </w:pPr>
    <w:rPr>
      <w:rFonts w:eastAsia="Times New Roman" w:cs="Times New Roman"/>
      <w:sz w:val="20"/>
      <w:szCs w:val="20"/>
      <w:lang w:eastAsia="en-AU"/>
    </w:rPr>
    <w:tblPr>
      <w:tblStyleRowBandSize w:val="1"/>
      <w:tblStyleColBandSize w:val="1"/>
      <w:tblBorders>
        <w:top w:val="single" w:sz="4" w:space="0" w:color="E6E7E6" w:themeColor="accent1" w:themeTint="99"/>
        <w:left w:val="single" w:sz="4" w:space="0" w:color="E6E7E6" w:themeColor="accent1" w:themeTint="99"/>
        <w:bottom w:val="single" w:sz="4" w:space="0" w:color="E6E7E6" w:themeColor="accent1" w:themeTint="99"/>
        <w:right w:val="single" w:sz="4" w:space="0" w:color="E6E7E6" w:themeColor="accent1" w:themeTint="99"/>
        <w:insideH w:val="single" w:sz="4" w:space="0" w:color="E6E7E6" w:themeColor="accent1" w:themeTint="99"/>
      </w:tblBorders>
    </w:tblPr>
    <w:tblStylePr w:type="firstRow">
      <w:rPr>
        <w:b/>
        <w:bCs/>
        <w:color w:val="FFFFFF" w:themeColor="background1"/>
      </w:rPr>
      <w:tblPr/>
      <w:tcPr>
        <w:tcBorders>
          <w:top w:val="single" w:sz="4" w:space="0" w:color="D7D8D6" w:themeColor="accent1"/>
          <w:left w:val="single" w:sz="4" w:space="0" w:color="D7D8D6" w:themeColor="accent1"/>
          <w:bottom w:val="single" w:sz="4" w:space="0" w:color="D7D8D6" w:themeColor="accent1"/>
          <w:right w:val="single" w:sz="4" w:space="0" w:color="D7D8D6" w:themeColor="accent1"/>
          <w:insideH w:val="nil"/>
        </w:tcBorders>
        <w:shd w:val="clear" w:color="auto" w:fill="D7D8D6" w:themeFill="accent1"/>
      </w:tcPr>
    </w:tblStylePr>
    <w:tblStylePr w:type="lastRow">
      <w:rPr>
        <w:b/>
        <w:bCs/>
      </w:rPr>
      <w:tblPr/>
      <w:tcPr>
        <w:tcBorders>
          <w:top w:val="double" w:sz="4" w:space="0" w:color="E6E7E6" w:themeColor="accent1" w:themeTint="99"/>
        </w:tcBorders>
      </w:tcPr>
    </w:tblStylePr>
    <w:tblStylePr w:type="firstCol">
      <w:rPr>
        <w:b/>
        <w:bCs/>
      </w:rPr>
    </w:tblStylePr>
    <w:tblStylePr w:type="lastCol">
      <w:rPr>
        <w:b/>
        <w:bCs/>
      </w:rPr>
    </w:tblStylePr>
    <w:tblStylePr w:type="band1Vert">
      <w:tblPr/>
      <w:tcPr>
        <w:shd w:val="clear" w:color="auto" w:fill="F6F7F6" w:themeFill="accent1" w:themeFillTint="33"/>
      </w:tcPr>
    </w:tblStylePr>
    <w:tblStylePr w:type="band1Horz">
      <w:tblPr/>
      <w:tcPr>
        <w:shd w:val="clear" w:color="auto" w:fill="F6F7F6" w:themeFill="accent1" w:themeFillTint="33"/>
      </w:tcPr>
    </w:tblStylePr>
  </w:style>
  <w:style w:type="table" w:styleId="ListTable4-Accent2">
    <w:name w:val="List Table 4 Accent 2"/>
    <w:basedOn w:val="TableNormal"/>
    <w:uiPriority w:val="49"/>
    <w:rsid w:val="00B241C2"/>
    <w:pPr>
      <w:spacing w:after="0" w:line="240" w:lineRule="auto"/>
    </w:pPr>
    <w:rPr>
      <w:rFonts w:eastAsia="Times New Roman" w:cs="Times New Roman"/>
      <w:sz w:val="20"/>
      <w:szCs w:val="20"/>
      <w:lang w:eastAsia="en-AU"/>
    </w:rPr>
    <w:tblPr>
      <w:tblStyleRowBandSize w:val="1"/>
      <w:tblStyleColBandSize w:val="1"/>
      <w:tblBorders>
        <w:top w:val="single" w:sz="4" w:space="0" w:color="FFDC6B" w:themeColor="accent2" w:themeTint="99"/>
        <w:left w:val="single" w:sz="4" w:space="0" w:color="FFDC6B" w:themeColor="accent2" w:themeTint="99"/>
        <w:bottom w:val="single" w:sz="4" w:space="0" w:color="FFDC6B" w:themeColor="accent2" w:themeTint="99"/>
        <w:right w:val="single" w:sz="4" w:space="0" w:color="FFDC6B" w:themeColor="accent2" w:themeTint="99"/>
        <w:insideH w:val="single" w:sz="4" w:space="0" w:color="FFDC6B" w:themeColor="accent2" w:themeTint="99"/>
      </w:tblBorders>
    </w:tblPr>
    <w:tblStylePr w:type="firstRow">
      <w:rPr>
        <w:b/>
        <w:bCs/>
        <w:color w:val="FFFFFF" w:themeColor="background1"/>
      </w:rPr>
      <w:tblPr/>
      <w:tcPr>
        <w:tcBorders>
          <w:top w:val="single" w:sz="4" w:space="0" w:color="FFC709" w:themeColor="accent2"/>
          <w:left w:val="single" w:sz="4" w:space="0" w:color="FFC709" w:themeColor="accent2"/>
          <w:bottom w:val="single" w:sz="4" w:space="0" w:color="FFC709" w:themeColor="accent2"/>
          <w:right w:val="single" w:sz="4" w:space="0" w:color="FFC709" w:themeColor="accent2"/>
          <w:insideH w:val="nil"/>
        </w:tcBorders>
        <w:shd w:val="clear" w:color="auto" w:fill="FFC709" w:themeFill="accent2"/>
      </w:tcPr>
    </w:tblStylePr>
    <w:tblStylePr w:type="lastRow">
      <w:rPr>
        <w:b/>
        <w:bCs/>
      </w:rPr>
      <w:tblPr/>
      <w:tcPr>
        <w:tcBorders>
          <w:top w:val="double" w:sz="4" w:space="0" w:color="FFDC6B" w:themeColor="accent2" w:themeTint="99"/>
        </w:tcBorders>
      </w:tcPr>
    </w:tblStylePr>
    <w:tblStylePr w:type="firstCol">
      <w:rPr>
        <w:b/>
        <w:bCs/>
      </w:rPr>
    </w:tblStylePr>
    <w:tblStylePr w:type="lastCol">
      <w:rPr>
        <w:b/>
        <w:bCs/>
      </w:rPr>
    </w:tblStylePr>
    <w:tblStylePr w:type="band1Vert">
      <w:tblPr/>
      <w:tcPr>
        <w:shd w:val="clear" w:color="auto" w:fill="FFF3CD" w:themeFill="accent2" w:themeFillTint="33"/>
      </w:tcPr>
    </w:tblStylePr>
    <w:tblStylePr w:type="band1Horz">
      <w:tblPr/>
      <w:tcPr>
        <w:shd w:val="clear" w:color="auto" w:fill="FFF3CD" w:themeFill="accent2" w:themeFillTint="33"/>
      </w:tcPr>
    </w:tblStylePr>
  </w:style>
  <w:style w:type="table" w:styleId="ListTable4-Accent3">
    <w:name w:val="List Table 4 Accent 3"/>
    <w:basedOn w:val="TableNormal"/>
    <w:uiPriority w:val="49"/>
    <w:rsid w:val="00B241C2"/>
    <w:pPr>
      <w:spacing w:after="0" w:line="240" w:lineRule="auto"/>
    </w:pPr>
    <w:rPr>
      <w:rFonts w:eastAsia="Times New Roman" w:cs="Times New Roman"/>
      <w:sz w:val="20"/>
      <w:szCs w:val="20"/>
      <w:lang w:eastAsia="en-AU"/>
    </w:rPr>
    <w:tblPr>
      <w:tblStyleRowBandSize w:val="1"/>
      <w:tblStyleColBandSize w:val="1"/>
      <w:tblBorders>
        <w:top w:val="single" w:sz="4" w:space="0" w:color="EE6584" w:themeColor="accent3" w:themeTint="99"/>
        <w:left w:val="single" w:sz="4" w:space="0" w:color="EE6584" w:themeColor="accent3" w:themeTint="99"/>
        <w:bottom w:val="single" w:sz="4" w:space="0" w:color="EE6584" w:themeColor="accent3" w:themeTint="99"/>
        <w:right w:val="single" w:sz="4" w:space="0" w:color="EE6584" w:themeColor="accent3" w:themeTint="99"/>
        <w:insideH w:val="single" w:sz="4" w:space="0" w:color="EE6584" w:themeColor="accent3" w:themeTint="99"/>
      </w:tblBorders>
    </w:tblPr>
    <w:tblStylePr w:type="firstRow">
      <w:rPr>
        <w:b/>
        <w:bCs/>
        <w:color w:val="FFFFFF" w:themeColor="background1"/>
      </w:rPr>
      <w:tblPr/>
      <w:tcPr>
        <w:tcBorders>
          <w:top w:val="single" w:sz="4" w:space="0" w:color="CD163F" w:themeColor="accent3"/>
          <w:left w:val="single" w:sz="4" w:space="0" w:color="CD163F" w:themeColor="accent3"/>
          <w:bottom w:val="single" w:sz="4" w:space="0" w:color="CD163F" w:themeColor="accent3"/>
          <w:right w:val="single" w:sz="4" w:space="0" w:color="CD163F" w:themeColor="accent3"/>
          <w:insideH w:val="nil"/>
        </w:tcBorders>
        <w:shd w:val="clear" w:color="auto" w:fill="CD163F" w:themeFill="accent3"/>
      </w:tcPr>
    </w:tblStylePr>
    <w:tblStylePr w:type="lastRow">
      <w:rPr>
        <w:b/>
        <w:bCs/>
      </w:rPr>
      <w:tblPr/>
      <w:tcPr>
        <w:tcBorders>
          <w:top w:val="double" w:sz="4" w:space="0" w:color="EE6584" w:themeColor="accent3" w:themeTint="99"/>
        </w:tcBorders>
      </w:tcPr>
    </w:tblStylePr>
    <w:tblStylePr w:type="firstCol">
      <w:rPr>
        <w:b/>
        <w:bCs/>
      </w:rPr>
    </w:tblStylePr>
    <w:tblStylePr w:type="lastCol">
      <w:rPr>
        <w:b/>
        <w:bCs/>
      </w:rPr>
    </w:tblStylePr>
    <w:tblStylePr w:type="band1Vert">
      <w:tblPr/>
      <w:tcPr>
        <w:shd w:val="clear" w:color="auto" w:fill="F9CBD6" w:themeFill="accent3" w:themeFillTint="33"/>
      </w:tcPr>
    </w:tblStylePr>
    <w:tblStylePr w:type="band1Horz">
      <w:tblPr/>
      <w:tcPr>
        <w:shd w:val="clear" w:color="auto" w:fill="F9CBD6" w:themeFill="accent3" w:themeFillTint="33"/>
      </w:tcPr>
    </w:tblStylePr>
  </w:style>
  <w:style w:type="table" w:styleId="ListTable4-Accent4">
    <w:name w:val="List Table 4 Accent 4"/>
    <w:basedOn w:val="TableNormal"/>
    <w:uiPriority w:val="49"/>
    <w:rsid w:val="00B241C2"/>
    <w:pPr>
      <w:spacing w:after="0" w:line="240" w:lineRule="auto"/>
    </w:pPr>
    <w:rPr>
      <w:rFonts w:eastAsia="Times New Roman" w:cs="Times New Roman"/>
      <w:sz w:val="20"/>
      <w:szCs w:val="20"/>
      <w:lang w:eastAsia="en-AU"/>
    </w:rPr>
    <w:tblPr>
      <w:tblStyleRowBandSize w:val="1"/>
      <w:tblStyleColBandSize w:val="1"/>
      <w:tblBorders>
        <w:top w:val="single" w:sz="4" w:space="0" w:color="AF60D2" w:themeColor="accent4" w:themeTint="99"/>
        <w:left w:val="single" w:sz="4" w:space="0" w:color="AF60D2" w:themeColor="accent4" w:themeTint="99"/>
        <w:bottom w:val="single" w:sz="4" w:space="0" w:color="AF60D2" w:themeColor="accent4" w:themeTint="99"/>
        <w:right w:val="single" w:sz="4" w:space="0" w:color="AF60D2" w:themeColor="accent4" w:themeTint="99"/>
        <w:insideH w:val="single" w:sz="4" w:space="0" w:color="AF60D2" w:themeColor="accent4" w:themeTint="99"/>
      </w:tblBorders>
    </w:tblPr>
    <w:tblStylePr w:type="firstRow">
      <w:rPr>
        <w:b/>
        <w:bCs/>
        <w:color w:val="FFFFFF" w:themeColor="background1"/>
      </w:rPr>
      <w:tblPr/>
      <w:tcPr>
        <w:tcBorders>
          <w:top w:val="single" w:sz="4" w:space="0" w:color="692686" w:themeColor="accent4"/>
          <w:left w:val="single" w:sz="4" w:space="0" w:color="692686" w:themeColor="accent4"/>
          <w:bottom w:val="single" w:sz="4" w:space="0" w:color="692686" w:themeColor="accent4"/>
          <w:right w:val="single" w:sz="4" w:space="0" w:color="692686" w:themeColor="accent4"/>
          <w:insideH w:val="nil"/>
        </w:tcBorders>
        <w:shd w:val="clear" w:color="auto" w:fill="692686" w:themeFill="accent4"/>
      </w:tcPr>
    </w:tblStylePr>
    <w:tblStylePr w:type="lastRow">
      <w:rPr>
        <w:b/>
        <w:bCs/>
      </w:rPr>
      <w:tblPr/>
      <w:tcPr>
        <w:tcBorders>
          <w:top w:val="double" w:sz="4" w:space="0" w:color="AF60D2" w:themeColor="accent4" w:themeTint="99"/>
        </w:tcBorders>
      </w:tcPr>
    </w:tblStylePr>
    <w:tblStylePr w:type="firstCol">
      <w:rPr>
        <w:b/>
        <w:bCs/>
      </w:rPr>
    </w:tblStylePr>
    <w:tblStylePr w:type="lastCol">
      <w:rPr>
        <w:b/>
        <w:bCs/>
      </w:rPr>
    </w:tblStylePr>
    <w:tblStylePr w:type="band1Vert">
      <w:tblPr/>
      <w:tcPr>
        <w:shd w:val="clear" w:color="auto" w:fill="E4CAF0" w:themeFill="accent4" w:themeFillTint="33"/>
      </w:tcPr>
    </w:tblStylePr>
    <w:tblStylePr w:type="band1Horz">
      <w:tblPr/>
      <w:tcPr>
        <w:shd w:val="clear" w:color="auto" w:fill="E4CAF0" w:themeFill="accent4" w:themeFillTint="33"/>
      </w:tcPr>
    </w:tblStylePr>
  </w:style>
  <w:style w:type="table" w:styleId="ListTable4-Accent5">
    <w:name w:val="List Table 4 Accent 5"/>
    <w:basedOn w:val="TableNormal"/>
    <w:uiPriority w:val="49"/>
    <w:rsid w:val="00B241C2"/>
    <w:pPr>
      <w:spacing w:after="0" w:line="240" w:lineRule="auto"/>
    </w:pPr>
    <w:rPr>
      <w:rFonts w:eastAsia="Times New Roman" w:cs="Times New Roman"/>
      <w:sz w:val="20"/>
      <w:szCs w:val="20"/>
      <w:lang w:eastAsia="en-AU"/>
    </w:rPr>
    <w:tblPr>
      <w:tblStyleRowBandSize w:val="1"/>
      <w:tblStyleColBandSize w:val="1"/>
      <w:tblBorders>
        <w:top w:val="single" w:sz="4" w:space="0" w:color="63E18C" w:themeColor="accent5" w:themeTint="99"/>
        <w:left w:val="single" w:sz="4" w:space="0" w:color="63E18C" w:themeColor="accent5" w:themeTint="99"/>
        <w:bottom w:val="single" w:sz="4" w:space="0" w:color="63E18C" w:themeColor="accent5" w:themeTint="99"/>
        <w:right w:val="single" w:sz="4" w:space="0" w:color="63E18C" w:themeColor="accent5" w:themeTint="99"/>
        <w:insideH w:val="single" w:sz="4" w:space="0" w:color="63E18C" w:themeColor="accent5" w:themeTint="99"/>
      </w:tblBorders>
    </w:tblPr>
    <w:tblStylePr w:type="firstRow">
      <w:rPr>
        <w:b/>
        <w:bCs/>
        <w:color w:val="FFFFFF" w:themeColor="background1"/>
      </w:rPr>
      <w:tblPr/>
      <w:tcPr>
        <w:tcBorders>
          <w:top w:val="single" w:sz="4" w:space="0" w:color="20AA4D" w:themeColor="accent5"/>
          <w:left w:val="single" w:sz="4" w:space="0" w:color="20AA4D" w:themeColor="accent5"/>
          <w:bottom w:val="single" w:sz="4" w:space="0" w:color="20AA4D" w:themeColor="accent5"/>
          <w:right w:val="single" w:sz="4" w:space="0" w:color="20AA4D" w:themeColor="accent5"/>
          <w:insideH w:val="nil"/>
        </w:tcBorders>
        <w:shd w:val="clear" w:color="auto" w:fill="20AA4D" w:themeFill="accent5"/>
      </w:tcPr>
    </w:tblStylePr>
    <w:tblStylePr w:type="lastRow">
      <w:rPr>
        <w:b/>
        <w:bCs/>
      </w:rPr>
      <w:tblPr/>
      <w:tcPr>
        <w:tcBorders>
          <w:top w:val="double" w:sz="4" w:space="0" w:color="63E18C" w:themeColor="accent5" w:themeTint="99"/>
        </w:tcBorders>
      </w:tcPr>
    </w:tblStylePr>
    <w:tblStylePr w:type="firstCol">
      <w:rPr>
        <w:b/>
        <w:bCs/>
      </w:rPr>
    </w:tblStylePr>
    <w:tblStylePr w:type="lastCol">
      <w:rPr>
        <w:b/>
        <w:bCs/>
      </w:rPr>
    </w:tblStylePr>
    <w:tblStylePr w:type="band1Vert">
      <w:tblPr/>
      <w:tcPr>
        <w:shd w:val="clear" w:color="auto" w:fill="CBF5D8" w:themeFill="accent5" w:themeFillTint="33"/>
      </w:tcPr>
    </w:tblStylePr>
    <w:tblStylePr w:type="band1Horz">
      <w:tblPr/>
      <w:tcPr>
        <w:shd w:val="clear" w:color="auto" w:fill="CBF5D8" w:themeFill="accent5" w:themeFillTint="33"/>
      </w:tcPr>
    </w:tblStylePr>
  </w:style>
  <w:style w:type="table" w:styleId="ListTable4-Accent6">
    <w:name w:val="List Table 4 Accent 6"/>
    <w:basedOn w:val="TableNormal"/>
    <w:uiPriority w:val="49"/>
    <w:rsid w:val="00B241C2"/>
    <w:pPr>
      <w:spacing w:after="0" w:line="240" w:lineRule="auto"/>
    </w:pPr>
    <w:rPr>
      <w:rFonts w:eastAsia="Times New Roman" w:cs="Times New Roman"/>
      <w:sz w:val="20"/>
      <w:szCs w:val="20"/>
      <w:lang w:eastAsia="en-AU"/>
    </w:rPr>
    <w:tblPr>
      <w:tblStyleRowBandSize w:val="1"/>
      <w:tblStyleColBandSize w:val="1"/>
      <w:tblBorders>
        <w:top w:val="single" w:sz="4" w:space="0" w:color="3AC1FF" w:themeColor="accent6" w:themeTint="99"/>
        <w:left w:val="single" w:sz="4" w:space="0" w:color="3AC1FF" w:themeColor="accent6" w:themeTint="99"/>
        <w:bottom w:val="single" w:sz="4" w:space="0" w:color="3AC1FF" w:themeColor="accent6" w:themeTint="99"/>
        <w:right w:val="single" w:sz="4" w:space="0" w:color="3AC1FF" w:themeColor="accent6" w:themeTint="99"/>
        <w:insideH w:val="single" w:sz="4" w:space="0" w:color="3AC1FF" w:themeColor="accent6" w:themeTint="99"/>
      </w:tblBorders>
    </w:tblPr>
    <w:tblStylePr w:type="firstRow">
      <w:rPr>
        <w:b/>
        <w:bCs/>
        <w:color w:val="FFFFFF" w:themeColor="background1"/>
      </w:rPr>
      <w:tblPr/>
      <w:tcPr>
        <w:tcBorders>
          <w:top w:val="single" w:sz="4" w:space="0" w:color="007DB6" w:themeColor="accent6"/>
          <w:left w:val="single" w:sz="4" w:space="0" w:color="007DB6" w:themeColor="accent6"/>
          <w:bottom w:val="single" w:sz="4" w:space="0" w:color="007DB6" w:themeColor="accent6"/>
          <w:right w:val="single" w:sz="4" w:space="0" w:color="007DB6" w:themeColor="accent6"/>
          <w:insideH w:val="nil"/>
        </w:tcBorders>
        <w:shd w:val="clear" w:color="auto" w:fill="007DB6" w:themeFill="accent6"/>
      </w:tcPr>
    </w:tblStylePr>
    <w:tblStylePr w:type="lastRow">
      <w:rPr>
        <w:b/>
        <w:bCs/>
      </w:rPr>
      <w:tblPr/>
      <w:tcPr>
        <w:tcBorders>
          <w:top w:val="double" w:sz="4" w:space="0" w:color="3AC1FF" w:themeColor="accent6" w:themeTint="99"/>
        </w:tcBorders>
      </w:tcPr>
    </w:tblStylePr>
    <w:tblStylePr w:type="firstCol">
      <w:rPr>
        <w:b/>
        <w:bCs/>
      </w:rPr>
    </w:tblStylePr>
    <w:tblStylePr w:type="lastCol">
      <w:rPr>
        <w:b/>
        <w:bCs/>
      </w:rPr>
    </w:tblStylePr>
    <w:tblStylePr w:type="band1Vert">
      <w:tblPr/>
      <w:tcPr>
        <w:shd w:val="clear" w:color="auto" w:fill="BDEAFF" w:themeFill="accent6" w:themeFillTint="33"/>
      </w:tcPr>
    </w:tblStylePr>
    <w:tblStylePr w:type="band1Horz">
      <w:tblPr/>
      <w:tcPr>
        <w:shd w:val="clear" w:color="auto" w:fill="BDEAFF" w:themeFill="accent6" w:themeFillTint="33"/>
      </w:tcPr>
    </w:tblStylePr>
  </w:style>
  <w:style w:type="table" w:styleId="ListTable5Dark">
    <w:name w:val="List Table 5 Dark"/>
    <w:basedOn w:val="TableNormal"/>
    <w:uiPriority w:val="50"/>
    <w:rsid w:val="00B241C2"/>
    <w:pPr>
      <w:spacing w:after="0" w:line="240" w:lineRule="auto"/>
    </w:pPr>
    <w:rPr>
      <w:rFonts w:eastAsia="Times New Roman" w:cs="Times New Roman"/>
      <w:color w:val="FFFFFF" w:themeColor="background1"/>
      <w:sz w:val="20"/>
      <w:szCs w:val="20"/>
      <w:lang w:eastAsia="en-AU"/>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B241C2"/>
    <w:pPr>
      <w:spacing w:after="0" w:line="240" w:lineRule="auto"/>
    </w:pPr>
    <w:rPr>
      <w:rFonts w:eastAsia="Times New Roman" w:cs="Times New Roman"/>
      <w:color w:val="FFFFFF" w:themeColor="background1"/>
      <w:sz w:val="20"/>
      <w:szCs w:val="20"/>
      <w:lang w:eastAsia="en-AU"/>
    </w:rPr>
    <w:tblPr>
      <w:tblStyleRowBandSize w:val="1"/>
      <w:tblStyleColBandSize w:val="1"/>
      <w:tblBorders>
        <w:top w:val="single" w:sz="24" w:space="0" w:color="D7D8D6" w:themeColor="accent1"/>
        <w:left w:val="single" w:sz="24" w:space="0" w:color="D7D8D6" w:themeColor="accent1"/>
        <w:bottom w:val="single" w:sz="24" w:space="0" w:color="D7D8D6" w:themeColor="accent1"/>
        <w:right w:val="single" w:sz="24" w:space="0" w:color="D7D8D6" w:themeColor="accent1"/>
      </w:tblBorders>
    </w:tblPr>
    <w:tcPr>
      <w:shd w:val="clear" w:color="auto" w:fill="D7D8D6"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B241C2"/>
    <w:pPr>
      <w:spacing w:after="0" w:line="240" w:lineRule="auto"/>
    </w:pPr>
    <w:rPr>
      <w:rFonts w:eastAsia="Times New Roman" w:cs="Times New Roman"/>
      <w:color w:val="FFFFFF" w:themeColor="background1"/>
      <w:sz w:val="20"/>
      <w:szCs w:val="20"/>
      <w:lang w:eastAsia="en-AU"/>
    </w:rPr>
    <w:tblPr>
      <w:tblStyleRowBandSize w:val="1"/>
      <w:tblStyleColBandSize w:val="1"/>
      <w:tblBorders>
        <w:top w:val="single" w:sz="24" w:space="0" w:color="FFC709" w:themeColor="accent2"/>
        <w:left w:val="single" w:sz="24" w:space="0" w:color="FFC709" w:themeColor="accent2"/>
        <w:bottom w:val="single" w:sz="24" w:space="0" w:color="FFC709" w:themeColor="accent2"/>
        <w:right w:val="single" w:sz="24" w:space="0" w:color="FFC709" w:themeColor="accent2"/>
      </w:tblBorders>
    </w:tblPr>
    <w:tcPr>
      <w:shd w:val="clear" w:color="auto" w:fill="FFC709"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B241C2"/>
    <w:pPr>
      <w:spacing w:after="0" w:line="240" w:lineRule="auto"/>
    </w:pPr>
    <w:rPr>
      <w:rFonts w:eastAsia="Times New Roman" w:cs="Times New Roman"/>
      <w:color w:val="FFFFFF" w:themeColor="background1"/>
      <w:sz w:val="20"/>
      <w:szCs w:val="20"/>
      <w:lang w:eastAsia="en-AU"/>
    </w:rPr>
    <w:tblPr>
      <w:tblStyleRowBandSize w:val="1"/>
      <w:tblStyleColBandSize w:val="1"/>
      <w:tblBorders>
        <w:top w:val="single" w:sz="24" w:space="0" w:color="CD163F" w:themeColor="accent3"/>
        <w:left w:val="single" w:sz="24" w:space="0" w:color="CD163F" w:themeColor="accent3"/>
        <w:bottom w:val="single" w:sz="24" w:space="0" w:color="CD163F" w:themeColor="accent3"/>
        <w:right w:val="single" w:sz="24" w:space="0" w:color="CD163F" w:themeColor="accent3"/>
      </w:tblBorders>
    </w:tblPr>
    <w:tcPr>
      <w:shd w:val="clear" w:color="auto" w:fill="CD163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B241C2"/>
    <w:pPr>
      <w:spacing w:after="0" w:line="240" w:lineRule="auto"/>
    </w:pPr>
    <w:rPr>
      <w:rFonts w:eastAsia="Times New Roman" w:cs="Times New Roman"/>
      <w:color w:val="FFFFFF" w:themeColor="background1"/>
      <w:sz w:val="20"/>
      <w:szCs w:val="20"/>
      <w:lang w:eastAsia="en-AU"/>
    </w:rPr>
    <w:tblPr>
      <w:tblStyleRowBandSize w:val="1"/>
      <w:tblStyleColBandSize w:val="1"/>
      <w:tblBorders>
        <w:top w:val="single" w:sz="24" w:space="0" w:color="692686" w:themeColor="accent4"/>
        <w:left w:val="single" w:sz="24" w:space="0" w:color="692686" w:themeColor="accent4"/>
        <w:bottom w:val="single" w:sz="24" w:space="0" w:color="692686" w:themeColor="accent4"/>
        <w:right w:val="single" w:sz="24" w:space="0" w:color="692686" w:themeColor="accent4"/>
      </w:tblBorders>
    </w:tblPr>
    <w:tcPr>
      <w:shd w:val="clear" w:color="auto" w:fill="69268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B241C2"/>
    <w:pPr>
      <w:spacing w:after="0" w:line="240" w:lineRule="auto"/>
    </w:pPr>
    <w:rPr>
      <w:rFonts w:eastAsia="Times New Roman" w:cs="Times New Roman"/>
      <w:color w:val="FFFFFF" w:themeColor="background1"/>
      <w:sz w:val="20"/>
      <w:szCs w:val="20"/>
      <w:lang w:eastAsia="en-AU"/>
    </w:rPr>
    <w:tblPr>
      <w:tblStyleRowBandSize w:val="1"/>
      <w:tblStyleColBandSize w:val="1"/>
      <w:tblBorders>
        <w:top w:val="single" w:sz="24" w:space="0" w:color="20AA4D" w:themeColor="accent5"/>
        <w:left w:val="single" w:sz="24" w:space="0" w:color="20AA4D" w:themeColor="accent5"/>
        <w:bottom w:val="single" w:sz="24" w:space="0" w:color="20AA4D" w:themeColor="accent5"/>
        <w:right w:val="single" w:sz="24" w:space="0" w:color="20AA4D" w:themeColor="accent5"/>
      </w:tblBorders>
    </w:tblPr>
    <w:tcPr>
      <w:shd w:val="clear" w:color="auto" w:fill="20AA4D"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B241C2"/>
    <w:pPr>
      <w:spacing w:after="0" w:line="240" w:lineRule="auto"/>
    </w:pPr>
    <w:rPr>
      <w:rFonts w:eastAsia="Times New Roman" w:cs="Times New Roman"/>
      <w:color w:val="FFFFFF" w:themeColor="background1"/>
      <w:sz w:val="20"/>
      <w:szCs w:val="20"/>
      <w:lang w:eastAsia="en-AU"/>
    </w:rPr>
    <w:tblPr>
      <w:tblStyleRowBandSize w:val="1"/>
      <w:tblStyleColBandSize w:val="1"/>
      <w:tblBorders>
        <w:top w:val="single" w:sz="24" w:space="0" w:color="007DB6" w:themeColor="accent6"/>
        <w:left w:val="single" w:sz="24" w:space="0" w:color="007DB6" w:themeColor="accent6"/>
        <w:bottom w:val="single" w:sz="24" w:space="0" w:color="007DB6" w:themeColor="accent6"/>
        <w:right w:val="single" w:sz="24" w:space="0" w:color="007DB6" w:themeColor="accent6"/>
      </w:tblBorders>
    </w:tblPr>
    <w:tcPr>
      <w:shd w:val="clear" w:color="auto" w:fill="007DB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B241C2"/>
    <w:pPr>
      <w:spacing w:after="0" w:line="240" w:lineRule="auto"/>
    </w:pPr>
    <w:rPr>
      <w:rFonts w:eastAsia="Times New Roman" w:cs="Times New Roman"/>
      <w:color w:val="000000" w:themeColor="text1"/>
      <w:sz w:val="20"/>
      <w:szCs w:val="20"/>
      <w:lang w:eastAsia="en-AU"/>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B241C2"/>
    <w:pPr>
      <w:spacing w:after="0" w:line="240" w:lineRule="auto"/>
    </w:pPr>
    <w:rPr>
      <w:rFonts w:eastAsia="Times New Roman" w:cs="Times New Roman"/>
      <w:color w:val="A0A39E" w:themeColor="accent1" w:themeShade="BF"/>
      <w:sz w:val="20"/>
      <w:szCs w:val="20"/>
      <w:lang w:eastAsia="en-AU"/>
    </w:rPr>
    <w:tblPr>
      <w:tblStyleRowBandSize w:val="1"/>
      <w:tblStyleColBandSize w:val="1"/>
      <w:tblBorders>
        <w:top w:val="single" w:sz="4" w:space="0" w:color="D7D8D6" w:themeColor="accent1"/>
        <w:bottom w:val="single" w:sz="4" w:space="0" w:color="D7D8D6" w:themeColor="accent1"/>
      </w:tblBorders>
    </w:tblPr>
    <w:tblStylePr w:type="firstRow">
      <w:rPr>
        <w:b/>
        <w:bCs/>
      </w:rPr>
      <w:tblPr/>
      <w:tcPr>
        <w:tcBorders>
          <w:bottom w:val="single" w:sz="4" w:space="0" w:color="D7D8D6" w:themeColor="accent1"/>
        </w:tcBorders>
      </w:tcPr>
    </w:tblStylePr>
    <w:tblStylePr w:type="lastRow">
      <w:rPr>
        <w:b/>
        <w:bCs/>
      </w:rPr>
      <w:tblPr/>
      <w:tcPr>
        <w:tcBorders>
          <w:top w:val="double" w:sz="4" w:space="0" w:color="D7D8D6" w:themeColor="accent1"/>
        </w:tcBorders>
      </w:tcPr>
    </w:tblStylePr>
    <w:tblStylePr w:type="firstCol">
      <w:rPr>
        <w:b/>
        <w:bCs/>
      </w:rPr>
    </w:tblStylePr>
    <w:tblStylePr w:type="lastCol">
      <w:rPr>
        <w:b/>
        <w:bCs/>
      </w:rPr>
    </w:tblStylePr>
    <w:tblStylePr w:type="band1Vert">
      <w:tblPr/>
      <w:tcPr>
        <w:shd w:val="clear" w:color="auto" w:fill="F6F7F6" w:themeFill="accent1" w:themeFillTint="33"/>
      </w:tcPr>
    </w:tblStylePr>
    <w:tblStylePr w:type="band1Horz">
      <w:tblPr/>
      <w:tcPr>
        <w:shd w:val="clear" w:color="auto" w:fill="F6F7F6" w:themeFill="accent1" w:themeFillTint="33"/>
      </w:tcPr>
    </w:tblStylePr>
  </w:style>
  <w:style w:type="table" w:styleId="ListTable6Colorful-Accent2">
    <w:name w:val="List Table 6 Colorful Accent 2"/>
    <w:basedOn w:val="TableNormal"/>
    <w:uiPriority w:val="51"/>
    <w:rsid w:val="00B241C2"/>
    <w:pPr>
      <w:spacing w:after="0" w:line="240" w:lineRule="auto"/>
    </w:pPr>
    <w:rPr>
      <w:rFonts w:eastAsia="Times New Roman" w:cs="Times New Roman"/>
      <w:color w:val="C59700" w:themeColor="accent2" w:themeShade="BF"/>
      <w:sz w:val="20"/>
      <w:szCs w:val="20"/>
      <w:lang w:eastAsia="en-AU"/>
    </w:rPr>
    <w:tblPr>
      <w:tblStyleRowBandSize w:val="1"/>
      <w:tblStyleColBandSize w:val="1"/>
      <w:tblBorders>
        <w:top w:val="single" w:sz="4" w:space="0" w:color="FFC709" w:themeColor="accent2"/>
        <w:bottom w:val="single" w:sz="4" w:space="0" w:color="FFC709" w:themeColor="accent2"/>
      </w:tblBorders>
    </w:tblPr>
    <w:tblStylePr w:type="firstRow">
      <w:rPr>
        <w:b/>
        <w:bCs/>
      </w:rPr>
      <w:tblPr/>
      <w:tcPr>
        <w:tcBorders>
          <w:bottom w:val="single" w:sz="4" w:space="0" w:color="FFC709" w:themeColor="accent2"/>
        </w:tcBorders>
      </w:tcPr>
    </w:tblStylePr>
    <w:tblStylePr w:type="lastRow">
      <w:rPr>
        <w:b/>
        <w:bCs/>
      </w:rPr>
      <w:tblPr/>
      <w:tcPr>
        <w:tcBorders>
          <w:top w:val="double" w:sz="4" w:space="0" w:color="FFC709" w:themeColor="accent2"/>
        </w:tcBorders>
      </w:tcPr>
    </w:tblStylePr>
    <w:tblStylePr w:type="firstCol">
      <w:rPr>
        <w:b/>
        <w:bCs/>
      </w:rPr>
    </w:tblStylePr>
    <w:tblStylePr w:type="lastCol">
      <w:rPr>
        <w:b/>
        <w:bCs/>
      </w:rPr>
    </w:tblStylePr>
    <w:tblStylePr w:type="band1Vert">
      <w:tblPr/>
      <w:tcPr>
        <w:shd w:val="clear" w:color="auto" w:fill="FFF3CD" w:themeFill="accent2" w:themeFillTint="33"/>
      </w:tcPr>
    </w:tblStylePr>
    <w:tblStylePr w:type="band1Horz">
      <w:tblPr/>
      <w:tcPr>
        <w:shd w:val="clear" w:color="auto" w:fill="FFF3CD" w:themeFill="accent2" w:themeFillTint="33"/>
      </w:tcPr>
    </w:tblStylePr>
  </w:style>
  <w:style w:type="table" w:styleId="ListTable6Colorful-Accent3">
    <w:name w:val="List Table 6 Colorful Accent 3"/>
    <w:basedOn w:val="TableNormal"/>
    <w:uiPriority w:val="51"/>
    <w:rsid w:val="00B241C2"/>
    <w:pPr>
      <w:spacing w:after="0" w:line="240" w:lineRule="auto"/>
    </w:pPr>
    <w:rPr>
      <w:rFonts w:eastAsia="Times New Roman" w:cs="Times New Roman"/>
      <w:color w:val="99102F" w:themeColor="accent3" w:themeShade="BF"/>
      <w:sz w:val="20"/>
      <w:szCs w:val="20"/>
      <w:lang w:eastAsia="en-AU"/>
    </w:rPr>
    <w:tblPr>
      <w:tblStyleRowBandSize w:val="1"/>
      <w:tblStyleColBandSize w:val="1"/>
      <w:tblBorders>
        <w:top w:val="single" w:sz="4" w:space="0" w:color="CD163F" w:themeColor="accent3"/>
        <w:bottom w:val="single" w:sz="4" w:space="0" w:color="CD163F" w:themeColor="accent3"/>
      </w:tblBorders>
    </w:tblPr>
    <w:tblStylePr w:type="firstRow">
      <w:rPr>
        <w:b/>
        <w:bCs/>
      </w:rPr>
      <w:tblPr/>
      <w:tcPr>
        <w:tcBorders>
          <w:bottom w:val="single" w:sz="4" w:space="0" w:color="CD163F" w:themeColor="accent3"/>
        </w:tcBorders>
      </w:tcPr>
    </w:tblStylePr>
    <w:tblStylePr w:type="lastRow">
      <w:rPr>
        <w:b/>
        <w:bCs/>
      </w:rPr>
      <w:tblPr/>
      <w:tcPr>
        <w:tcBorders>
          <w:top w:val="double" w:sz="4" w:space="0" w:color="CD163F" w:themeColor="accent3"/>
        </w:tcBorders>
      </w:tcPr>
    </w:tblStylePr>
    <w:tblStylePr w:type="firstCol">
      <w:rPr>
        <w:b/>
        <w:bCs/>
      </w:rPr>
    </w:tblStylePr>
    <w:tblStylePr w:type="lastCol">
      <w:rPr>
        <w:b/>
        <w:bCs/>
      </w:rPr>
    </w:tblStylePr>
    <w:tblStylePr w:type="band1Vert">
      <w:tblPr/>
      <w:tcPr>
        <w:shd w:val="clear" w:color="auto" w:fill="F9CBD6" w:themeFill="accent3" w:themeFillTint="33"/>
      </w:tcPr>
    </w:tblStylePr>
    <w:tblStylePr w:type="band1Horz">
      <w:tblPr/>
      <w:tcPr>
        <w:shd w:val="clear" w:color="auto" w:fill="F9CBD6" w:themeFill="accent3" w:themeFillTint="33"/>
      </w:tcPr>
    </w:tblStylePr>
  </w:style>
  <w:style w:type="table" w:styleId="ListTable6Colorful-Accent4">
    <w:name w:val="List Table 6 Colorful Accent 4"/>
    <w:basedOn w:val="TableNormal"/>
    <w:uiPriority w:val="51"/>
    <w:rsid w:val="00B241C2"/>
    <w:pPr>
      <w:spacing w:after="0" w:line="240" w:lineRule="auto"/>
    </w:pPr>
    <w:rPr>
      <w:rFonts w:eastAsia="Times New Roman" w:cs="Times New Roman"/>
      <w:color w:val="4E1C64" w:themeColor="accent4" w:themeShade="BF"/>
      <w:sz w:val="20"/>
      <w:szCs w:val="20"/>
      <w:lang w:eastAsia="en-AU"/>
    </w:rPr>
    <w:tblPr>
      <w:tblStyleRowBandSize w:val="1"/>
      <w:tblStyleColBandSize w:val="1"/>
      <w:tblBorders>
        <w:top w:val="single" w:sz="4" w:space="0" w:color="692686" w:themeColor="accent4"/>
        <w:bottom w:val="single" w:sz="4" w:space="0" w:color="692686" w:themeColor="accent4"/>
      </w:tblBorders>
    </w:tblPr>
    <w:tblStylePr w:type="firstRow">
      <w:rPr>
        <w:b/>
        <w:bCs/>
      </w:rPr>
      <w:tblPr/>
      <w:tcPr>
        <w:tcBorders>
          <w:bottom w:val="single" w:sz="4" w:space="0" w:color="692686" w:themeColor="accent4"/>
        </w:tcBorders>
      </w:tcPr>
    </w:tblStylePr>
    <w:tblStylePr w:type="lastRow">
      <w:rPr>
        <w:b/>
        <w:bCs/>
      </w:rPr>
      <w:tblPr/>
      <w:tcPr>
        <w:tcBorders>
          <w:top w:val="double" w:sz="4" w:space="0" w:color="692686" w:themeColor="accent4"/>
        </w:tcBorders>
      </w:tcPr>
    </w:tblStylePr>
    <w:tblStylePr w:type="firstCol">
      <w:rPr>
        <w:b/>
        <w:bCs/>
      </w:rPr>
    </w:tblStylePr>
    <w:tblStylePr w:type="lastCol">
      <w:rPr>
        <w:b/>
        <w:bCs/>
      </w:rPr>
    </w:tblStylePr>
    <w:tblStylePr w:type="band1Vert">
      <w:tblPr/>
      <w:tcPr>
        <w:shd w:val="clear" w:color="auto" w:fill="E4CAF0" w:themeFill="accent4" w:themeFillTint="33"/>
      </w:tcPr>
    </w:tblStylePr>
    <w:tblStylePr w:type="band1Horz">
      <w:tblPr/>
      <w:tcPr>
        <w:shd w:val="clear" w:color="auto" w:fill="E4CAF0" w:themeFill="accent4" w:themeFillTint="33"/>
      </w:tcPr>
    </w:tblStylePr>
  </w:style>
  <w:style w:type="table" w:styleId="ListTable6Colorful-Accent5">
    <w:name w:val="List Table 6 Colorful Accent 5"/>
    <w:basedOn w:val="TableNormal"/>
    <w:uiPriority w:val="51"/>
    <w:rsid w:val="00B241C2"/>
    <w:pPr>
      <w:spacing w:after="0" w:line="240" w:lineRule="auto"/>
    </w:pPr>
    <w:rPr>
      <w:rFonts w:eastAsia="Times New Roman" w:cs="Times New Roman"/>
      <w:color w:val="187F39" w:themeColor="accent5" w:themeShade="BF"/>
      <w:sz w:val="20"/>
      <w:szCs w:val="20"/>
      <w:lang w:eastAsia="en-AU"/>
    </w:rPr>
    <w:tblPr>
      <w:tblStyleRowBandSize w:val="1"/>
      <w:tblStyleColBandSize w:val="1"/>
      <w:tblBorders>
        <w:top w:val="single" w:sz="4" w:space="0" w:color="20AA4D" w:themeColor="accent5"/>
        <w:bottom w:val="single" w:sz="4" w:space="0" w:color="20AA4D" w:themeColor="accent5"/>
      </w:tblBorders>
    </w:tblPr>
    <w:tblStylePr w:type="firstRow">
      <w:rPr>
        <w:b/>
        <w:bCs/>
      </w:rPr>
      <w:tblPr/>
      <w:tcPr>
        <w:tcBorders>
          <w:bottom w:val="single" w:sz="4" w:space="0" w:color="20AA4D" w:themeColor="accent5"/>
        </w:tcBorders>
      </w:tcPr>
    </w:tblStylePr>
    <w:tblStylePr w:type="lastRow">
      <w:rPr>
        <w:b/>
        <w:bCs/>
      </w:rPr>
      <w:tblPr/>
      <w:tcPr>
        <w:tcBorders>
          <w:top w:val="double" w:sz="4" w:space="0" w:color="20AA4D" w:themeColor="accent5"/>
        </w:tcBorders>
      </w:tcPr>
    </w:tblStylePr>
    <w:tblStylePr w:type="firstCol">
      <w:rPr>
        <w:b/>
        <w:bCs/>
      </w:rPr>
    </w:tblStylePr>
    <w:tblStylePr w:type="lastCol">
      <w:rPr>
        <w:b/>
        <w:bCs/>
      </w:rPr>
    </w:tblStylePr>
    <w:tblStylePr w:type="band1Vert">
      <w:tblPr/>
      <w:tcPr>
        <w:shd w:val="clear" w:color="auto" w:fill="CBF5D8" w:themeFill="accent5" w:themeFillTint="33"/>
      </w:tcPr>
    </w:tblStylePr>
    <w:tblStylePr w:type="band1Horz">
      <w:tblPr/>
      <w:tcPr>
        <w:shd w:val="clear" w:color="auto" w:fill="CBF5D8" w:themeFill="accent5" w:themeFillTint="33"/>
      </w:tcPr>
    </w:tblStylePr>
  </w:style>
  <w:style w:type="table" w:styleId="ListTable6Colorful-Accent6">
    <w:name w:val="List Table 6 Colorful Accent 6"/>
    <w:basedOn w:val="TableNormal"/>
    <w:uiPriority w:val="51"/>
    <w:rsid w:val="00B241C2"/>
    <w:pPr>
      <w:spacing w:after="0" w:line="240" w:lineRule="auto"/>
    </w:pPr>
    <w:rPr>
      <w:rFonts w:eastAsia="Times New Roman" w:cs="Times New Roman"/>
      <w:color w:val="005D88" w:themeColor="accent6" w:themeShade="BF"/>
      <w:sz w:val="20"/>
      <w:szCs w:val="20"/>
      <w:lang w:eastAsia="en-AU"/>
    </w:rPr>
    <w:tblPr>
      <w:tblStyleRowBandSize w:val="1"/>
      <w:tblStyleColBandSize w:val="1"/>
      <w:tblBorders>
        <w:top w:val="single" w:sz="4" w:space="0" w:color="007DB6" w:themeColor="accent6"/>
        <w:bottom w:val="single" w:sz="4" w:space="0" w:color="007DB6" w:themeColor="accent6"/>
      </w:tblBorders>
    </w:tblPr>
    <w:tblStylePr w:type="firstRow">
      <w:rPr>
        <w:b/>
        <w:bCs/>
      </w:rPr>
      <w:tblPr/>
      <w:tcPr>
        <w:tcBorders>
          <w:bottom w:val="single" w:sz="4" w:space="0" w:color="007DB6" w:themeColor="accent6"/>
        </w:tcBorders>
      </w:tcPr>
    </w:tblStylePr>
    <w:tblStylePr w:type="lastRow">
      <w:rPr>
        <w:b/>
        <w:bCs/>
      </w:rPr>
      <w:tblPr/>
      <w:tcPr>
        <w:tcBorders>
          <w:top w:val="double" w:sz="4" w:space="0" w:color="007DB6" w:themeColor="accent6"/>
        </w:tcBorders>
      </w:tcPr>
    </w:tblStylePr>
    <w:tblStylePr w:type="firstCol">
      <w:rPr>
        <w:b/>
        <w:bCs/>
      </w:rPr>
    </w:tblStylePr>
    <w:tblStylePr w:type="lastCol">
      <w:rPr>
        <w:b/>
        <w:bCs/>
      </w:rPr>
    </w:tblStylePr>
    <w:tblStylePr w:type="band1Vert">
      <w:tblPr/>
      <w:tcPr>
        <w:shd w:val="clear" w:color="auto" w:fill="BDEAFF" w:themeFill="accent6" w:themeFillTint="33"/>
      </w:tcPr>
    </w:tblStylePr>
    <w:tblStylePr w:type="band1Horz">
      <w:tblPr/>
      <w:tcPr>
        <w:shd w:val="clear" w:color="auto" w:fill="BDEAFF" w:themeFill="accent6" w:themeFillTint="33"/>
      </w:tcPr>
    </w:tblStylePr>
  </w:style>
  <w:style w:type="table" w:styleId="ListTable7Colorful">
    <w:name w:val="List Table 7 Colorful"/>
    <w:basedOn w:val="TableNormal"/>
    <w:uiPriority w:val="52"/>
    <w:rsid w:val="00B241C2"/>
    <w:pPr>
      <w:spacing w:after="0" w:line="240" w:lineRule="auto"/>
    </w:pPr>
    <w:rPr>
      <w:rFonts w:eastAsia="Times New Roman" w:cs="Times New Roman"/>
      <w:color w:val="000000" w:themeColor="text1"/>
      <w:sz w:val="20"/>
      <w:szCs w:val="20"/>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B241C2"/>
    <w:pPr>
      <w:spacing w:after="0" w:line="240" w:lineRule="auto"/>
    </w:pPr>
    <w:rPr>
      <w:rFonts w:eastAsia="Times New Roman" w:cs="Times New Roman"/>
      <w:color w:val="A0A39E" w:themeColor="accent1" w:themeShade="BF"/>
      <w:sz w:val="20"/>
      <w:szCs w:val="20"/>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7D8D6"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7D8D6"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7D8D6"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7D8D6" w:themeColor="accent1"/>
        </w:tcBorders>
        <w:shd w:val="clear" w:color="auto" w:fill="FFFFFF" w:themeFill="background1"/>
      </w:tcPr>
    </w:tblStylePr>
    <w:tblStylePr w:type="band1Vert">
      <w:tblPr/>
      <w:tcPr>
        <w:shd w:val="clear" w:color="auto" w:fill="F6F7F6" w:themeFill="accent1" w:themeFillTint="33"/>
      </w:tcPr>
    </w:tblStylePr>
    <w:tblStylePr w:type="band1Horz">
      <w:tblPr/>
      <w:tcPr>
        <w:shd w:val="clear" w:color="auto" w:fill="F6F7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B241C2"/>
    <w:pPr>
      <w:spacing w:after="0" w:line="240" w:lineRule="auto"/>
    </w:pPr>
    <w:rPr>
      <w:rFonts w:eastAsia="Times New Roman" w:cs="Times New Roman"/>
      <w:color w:val="C59700" w:themeColor="accent2" w:themeShade="BF"/>
      <w:sz w:val="20"/>
      <w:szCs w:val="20"/>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709"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709"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709"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709" w:themeColor="accent2"/>
        </w:tcBorders>
        <w:shd w:val="clear" w:color="auto" w:fill="FFFFFF" w:themeFill="background1"/>
      </w:tcPr>
    </w:tblStylePr>
    <w:tblStylePr w:type="band1Vert">
      <w:tblPr/>
      <w:tcPr>
        <w:shd w:val="clear" w:color="auto" w:fill="FFF3CD" w:themeFill="accent2" w:themeFillTint="33"/>
      </w:tcPr>
    </w:tblStylePr>
    <w:tblStylePr w:type="band1Horz">
      <w:tblPr/>
      <w:tcPr>
        <w:shd w:val="clear" w:color="auto" w:fill="FFF3CD"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B241C2"/>
    <w:pPr>
      <w:spacing w:after="0" w:line="240" w:lineRule="auto"/>
    </w:pPr>
    <w:rPr>
      <w:rFonts w:eastAsia="Times New Roman" w:cs="Times New Roman"/>
      <w:color w:val="99102F" w:themeColor="accent3" w:themeShade="BF"/>
      <w:sz w:val="20"/>
      <w:szCs w:val="20"/>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D163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D163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D163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D163F" w:themeColor="accent3"/>
        </w:tcBorders>
        <w:shd w:val="clear" w:color="auto" w:fill="FFFFFF" w:themeFill="background1"/>
      </w:tcPr>
    </w:tblStylePr>
    <w:tblStylePr w:type="band1Vert">
      <w:tblPr/>
      <w:tcPr>
        <w:shd w:val="clear" w:color="auto" w:fill="F9CBD6" w:themeFill="accent3" w:themeFillTint="33"/>
      </w:tcPr>
    </w:tblStylePr>
    <w:tblStylePr w:type="band1Horz">
      <w:tblPr/>
      <w:tcPr>
        <w:shd w:val="clear" w:color="auto" w:fill="F9CBD6"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B241C2"/>
    <w:pPr>
      <w:spacing w:after="0" w:line="240" w:lineRule="auto"/>
    </w:pPr>
    <w:rPr>
      <w:rFonts w:eastAsia="Times New Roman" w:cs="Times New Roman"/>
      <w:color w:val="4E1C64" w:themeColor="accent4" w:themeShade="BF"/>
      <w:sz w:val="20"/>
      <w:szCs w:val="20"/>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9268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9268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9268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92686" w:themeColor="accent4"/>
        </w:tcBorders>
        <w:shd w:val="clear" w:color="auto" w:fill="FFFFFF" w:themeFill="background1"/>
      </w:tcPr>
    </w:tblStylePr>
    <w:tblStylePr w:type="band1Vert">
      <w:tblPr/>
      <w:tcPr>
        <w:shd w:val="clear" w:color="auto" w:fill="E4CAF0" w:themeFill="accent4" w:themeFillTint="33"/>
      </w:tcPr>
    </w:tblStylePr>
    <w:tblStylePr w:type="band1Horz">
      <w:tblPr/>
      <w:tcPr>
        <w:shd w:val="clear" w:color="auto" w:fill="E4CAF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B241C2"/>
    <w:pPr>
      <w:spacing w:after="0" w:line="240" w:lineRule="auto"/>
    </w:pPr>
    <w:rPr>
      <w:rFonts w:eastAsia="Times New Roman" w:cs="Times New Roman"/>
      <w:color w:val="187F39" w:themeColor="accent5" w:themeShade="BF"/>
      <w:sz w:val="20"/>
      <w:szCs w:val="20"/>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AA4D"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AA4D"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AA4D"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AA4D" w:themeColor="accent5"/>
        </w:tcBorders>
        <w:shd w:val="clear" w:color="auto" w:fill="FFFFFF" w:themeFill="background1"/>
      </w:tcPr>
    </w:tblStylePr>
    <w:tblStylePr w:type="band1Vert">
      <w:tblPr/>
      <w:tcPr>
        <w:shd w:val="clear" w:color="auto" w:fill="CBF5D8" w:themeFill="accent5" w:themeFillTint="33"/>
      </w:tcPr>
    </w:tblStylePr>
    <w:tblStylePr w:type="band1Horz">
      <w:tblPr/>
      <w:tcPr>
        <w:shd w:val="clear" w:color="auto" w:fill="CBF5D8"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B241C2"/>
    <w:pPr>
      <w:spacing w:after="0" w:line="240" w:lineRule="auto"/>
    </w:pPr>
    <w:rPr>
      <w:rFonts w:eastAsia="Times New Roman" w:cs="Times New Roman"/>
      <w:color w:val="005D88" w:themeColor="accent6" w:themeShade="BF"/>
      <w:sz w:val="20"/>
      <w:szCs w:val="20"/>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DB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DB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DB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DB6" w:themeColor="accent6"/>
        </w:tcBorders>
        <w:shd w:val="clear" w:color="auto" w:fill="FFFFFF" w:themeFill="background1"/>
      </w:tcPr>
    </w:tblStylePr>
    <w:tblStylePr w:type="band1Vert">
      <w:tblPr/>
      <w:tcPr>
        <w:shd w:val="clear" w:color="auto" w:fill="BDEAFF" w:themeFill="accent6" w:themeFillTint="33"/>
      </w:tcPr>
    </w:tblStylePr>
    <w:tblStylePr w:type="band1Horz">
      <w:tblPr/>
      <w:tcPr>
        <w:shd w:val="clear" w:color="auto" w:fill="BDEAF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unhideWhenUsed/>
    <w:rsid w:val="00B241C2"/>
    <w:pPr>
      <w:spacing w:after="0" w:line="240" w:lineRule="auto"/>
    </w:pPr>
    <w:rPr>
      <w:rFonts w:eastAsia="Times New Roman" w:cs="Times New Roman"/>
      <w:sz w:val="20"/>
      <w:szCs w:val="20"/>
      <w:lang w:eastAsia="en-AU"/>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B241C2"/>
    <w:pPr>
      <w:spacing w:after="0" w:line="240" w:lineRule="auto"/>
    </w:pPr>
    <w:rPr>
      <w:rFonts w:eastAsia="Times New Roman" w:cs="Times New Roman"/>
      <w:sz w:val="20"/>
      <w:szCs w:val="20"/>
      <w:lang w:eastAsia="en-AU"/>
    </w:rPr>
    <w:tblPr>
      <w:tblStyleRowBandSize w:val="1"/>
      <w:tblStyleColBandSize w:val="1"/>
      <w:tblBorders>
        <w:top w:val="single" w:sz="8" w:space="0" w:color="E0E1E0" w:themeColor="accent1" w:themeTint="BF"/>
        <w:left w:val="single" w:sz="8" w:space="0" w:color="E0E1E0" w:themeColor="accent1" w:themeTint="BF"/>
        <w:bottom w:val="single" w:sz="8" w:space="0" w:color="E0E1E0" w:themeColor="accent1" w:themeTint="BF"/>
        <w:right w:val="single" w:sz="8" w:space="0" w:color="E0E1E0" w:themeColor="accent1" w:themeTint="BF"/>
        <w:insideH w:val="single" w:sz="8" w:space="0" w:color="E0E1E0" w:themeColor="accent1" w:themeTint="BF"/>
        <w:insideV w:val="single" w:sz="8" w:space="0" w:color="E0E1E0" w:themeColor="accent1" w:themeTint="BF"/>
      </w:tblBorders>
    </w:tblPr>
    <w:tcPr>
      <w:shd w:val="clear" w:color="auto" w:fill="F4F5F4" w:themeFill="accent1" w:themeFillTint="3F"/>
    </w:tcPr>
    <w:tblStylePr w:type="firstRow">
      <w:rPr>
        <w:b/>
        <w:bCs/>
      </w:rPr>
    </w:tblStylePr>
    <w:tblStylePr w:type="lastRow">
      <w:rPr>
        <w:b/>
        <w:bCs/>
      </w:rPr>
      <w:tblPr/>
      <w:tcPr>
        <w:tcBorders>
          <w:top w:val="single" w:sz="18" w:space="0" w:color="E0E1E0" w:themeColor="accent1" w:themeTint="BF"/>
        </w:tcBorders>
      </w:tcPr>
    </w:tblStylePr>
    <w:tblStylePr w:type="firstCol">
      <w:rPr>
        <w:b/>
        <w:bCs/>
      </w:rPr>
    </w:tblStylePr>
    <w:tblStylePr w:type="lastCol">
      <w:rPr>
        <w:b/>
        <w:bCs/>
      </w:rPr>
    </w:tblStylePr>
    <w:tblStylePr w:type="band1Vert">
      <w:tblPr/>
      <w:tcPr>
        <w:shd w:val="clear" w:color="auto" w:fill="EAEBEA" w:themeFill="accent1" w:themeFillTint="7F"/>
      </w:tcPr>
    </w:tblStylePr>
    <w:tblStylePr w:type="band1Horz">
      <w:tblPr/>
      <w:tcPr>
        <w:shd w:val="clear" w:color="auto" w:fill="EAEBEA" w:themeFill="accent1" w:themeFillTint="7F"/>
      </w:tcPr>
    </w:tblStylePr>
  </w:style>
  <w:style w:type="table" w:styleId="MediumGrid1-Accent2">
    <w:name w:val="Medium Grid 1 Accent 2"/>
    <w:basedOn w:val="TableNormal"/>
    <w:uiPriority w:val="67"/>
    <w:semiHidden/>
    <w:unhideWhenUsed/>
    <w:rsid w:val="00B241C2"/>
    <w:pPr>
      <w:spacing w:after="0" w:line="240" w:lineRule="auto"/>
    </w:pPr>
    <w:rPr>
      <w:rFonts w:eastAsia="Times New Roman" w:cs="Times New Roman"/>
      <w:sz w:val="20"/>
      <w:szCs w:val="20"/>
      <w:lang w:eastAsia="en-AU"/>
    </w:rPr>
    <w:tblPr>
      <w:tblStyleRowBandSize w:val="1"/>
      <w:tblStyleColBandSize w:val="1"/>
      <w:tblBorders>
        <w:top w:val="single" w:sz="8" w:space="0" w:color="FFD446" w:themeColor="accent2" w:themeTint="BF"/>
        <w:left w:val="single" w:sz="8" w:space="0" w:color="FFD446" w:themeColor="accent2" w:themeTint="BF"/>
        <w:bottom w:val="single" w:sz="8" w:space="0" w:color="FFD446" w:themeColor="accent2" w:themeTint="BF"/>
        <w:right w:val="single" w:sz="8" w:space="0" w:color="FFD446" w:themeColor="accent2" w:themeTint="BF"/>
        <w:insideH w:val="single" w:sz="8" w:space="0" w:color="FFD446" w:themeColor="accent2" w:themeTint="BF"/>
        <w:insideV w:val="single" w:sz="8" w:space="0" w:color="FFD446" w:themeColor="accent2" w:themeTint="BF"/>
      </w:tblBorders>
    </w:tblPr>
    <w:tcPr>
      <w:shd w:val="clear" w:color="auto" w:fill="FFF0C2" w:themeFill="accent2" w:themeFillTint="3F"/>
    </w:tcPr>
    <w:tblStylePr w:type="firstRow">
      <w:rPr>
        <w:b/>
        <w:bCs/>
      </w:rPr>
    </w:tblStylePr>
    <w:tblStylePr w:type="lastRow">
      <w:rPr>
        <w:b/>
        <w:bCs/>
      </w:rPr>
      <w:tblPr/>
      <w:tcPr>
        <w:tcBorders>
          <w:top w:val="single" w:sz="18" w:space="0" w:color="FFD446" w:themeColor="accent2" w:themeTint="BF"/>
        </w:tcBorders>
      </w:tcPr>
    </w:tblStylePr>
    <w:tblStylePr w:type="firstCol">
      <w:rPr>
        <w:b/>
        <w:bCs/>
      </w:rPr>
    </w:tblStylePr>
    <w:tblStylePr w:type="lastCol">
      <w:rPr>
        <w:b/>
        <w:bCs/>
      </w:rPr>
    </w:tblStylePr>
    <w:tblStylePr w:type="band1Vert">
      <w:tblPr/>
      <w:tcPr>
        <w:shd w:val="clear" w:color="auto" w:fill="FFE284" w:themeFill="accent2" w:themeFillTint="7F"/>
      </w:tcPr>
    </w:tblStylePr>
    <w:tblStylePr w:type="band1Horz">
      <w:tblPr/>
      <w:tcPr>
        <w:shd w:val="clear" w:color="auto" w:fill="FFE284" w:themeFill="accent2" w:themeFillTint="7F"/>
      </w:tcPr>
    </w:tblStylePr>
  </w:style>
  <w:style w:type="table" w:styleId="MediumGrid1-Accent3">
    <w:name w:val="Medium Grid 1 Accent 3"/>
    <w:basedOn w:val="TableNormal"/>
    <w:uiPriority w:val="67"/>
    <w:semiHidden/>
    <w:unhideWhenUsed/>
    <w:rsid w:val="00B241C2"/>
    <w:pPr>
      <w:spacing w:after="0" w:line="240" w:lineRule="auto"/>
    </w:pPr>
    <w:rPr>
      <w:rFonts w:eastAsia="Times New Roman" w:cs="Times New Roman"/>
      <w:sz w:val="20"/>
      <w:szCs w:val="20"/>
      <w:lang w:eastAsia="en-AU"/>
    </w:rPr>
    <w:tblPr>
      <w:tblStyleRowBandSize w:val="1"/>
      <w:tblStyleColBandSize w:val="1"/>
      <w:tblBorders>
        <w:top w:val="single" w:sz="8" w:space="0" w:color="EA3F65" w:themeColor="accent3" w:themeTint="BF"/>
        <w:left w:val="single" w:sz="8" w:space="0" w:color="EA3F65" w:themeColor="accent3" w:themeTint="BF"/>
        <w:bottom w:val="single" w:sz="8" w:space="0" w:color="EA3F65" w:themeColor="accent3" w:themeTint="BF"/>
        <w:right w:val="single" w:sz="8" w:space="0" w:color="EA3F65" w:themeColor="accent3" w:themeTint="BF"/>
        <w:insideH w:val="single" w:sz="8" w:space="0" w:color="EA3F65" w:themeColor="accent3" w:themeTint="BF"/>
        <w:insideV w:val="single" w:sz="8" w:space="0" w:color="EA3F65" w:themeColor="accent3" w:themeTint="BF"/>
      </w:tblBorders>
    </w:tblPr>
    <w:tcPr>
      <w:shd w:val="clear" w:color="auto" w:fill="F8BFCC" w:themeFill="accent3" w:themeFillTint="3F"/>
    </w:tcPr>
    <w:tblStylePr w:type="firstRow">
      <w:rPr>
        <w:b/>
        <w:bCs/>
      </w:rPr>
    </w:tblStylePr>
    <w:tblStylePr w:type="lastRow">
      <w:rPr>
        <w:b/>
        <w:bCs/>
      </w:rPr>
      <w:tblPr/>
      <w:tcPr>
        <w:tcBorders>
          <w:top w:val="single" w:sz="18" w:space="0" w:color="EA3F65" w:themeColor="accent3" w:themeTint="BF"/>
        </w:tcBorders>
      </w:tcPr>
    </w:tblStylePr>
    <w:tblStylePr w:type="firstCol">
      <w:rPr>
        <w:b/>
        <w:bCs/>
      </w:rPr>
    </w:tblStylePr>
    <w:tblStylePr w:type="lastCol">
      <w:rPr>
        <w:b/>
        <w:bCs/>
      </w:rPr>
    </w:tblStylePr>
    <w:tblStylePr w:type="band1Vert">
      <w:tblPr/>
      <w:tcPr>
        <w:shd w:val="clear" w:color="auto" w:fill="F17F99" w:themeFill="accent3" w:themeFillTint="7F"/>
      </w:tcPr>
    </w:tblStylePr>
    <w:tblStylePr w:type="band1Horz">
      <w:tblPr/>
      <w:tcPr>
        <w:shd w:val="clear" w:color="auto" w:fill="F17F99" w:themeFill="accent3" w:themeFillTint="7F"/>
      </w:tcPr>
    </w:tblStylePr>
  </w:style>
  <w:style w:type="table" w:styleId="MediumGrid1-Accent4">
    <w:name w:val="Medium Grid 1 Accent 4"/>
    <w:basedOn w:val="TableNormal"/>
    <w:uiPriority w:val="67"/>
    <w:semiHidden/>
    <w:unhideWhenUsed/>
    <w:rsid w:val="00B241C2"/>
    <w:pPr>
      <w:spacing w:after="0" w:line="240" w:lineRule="auto"/>
    </w:pPr>
    <w:rPr>
      <w:rFonts w:eastAsia="Times New Roman" w:cs="Times New Roman"/>
      <w:sz w:val="20"/>
      <w:szCs w:val="20"/>
      <w:lang w:eastAsia="en-AU"/>
    </w:rPr>
    <w:tblPr>
      <w:tblStyleRowBandSize w:val="1"/>
      <w:tblStyleColBandSize w:val="1"/>
      <w:tblBorders>
        <w:top w:val="single" w:sz="8" w:space="0" w:color="9B39C7" w:themeColor="accent4" w:themeTint="BF"/>
        <w:left w:val="single" w:sz="8" w:space="0" w:color="9B39C7" w:themeColor="accent4" w:themeTint="BF"/>
        <w:bottom w:val="single" w:sz="8" w:space="0" w:color="9B39C7" w:themeColor="accent4" w:themeTint="BF"/>
        <w:right w:val="single" w:sz="8" w:space="0" w:color="9B39C7" w:themeColor="accent4" w:themeTint="BF"/>
        <w:insideH w:val="single" w:sz="8" w:space="0" w:color="9B39C7" w:themeColor="accent4" w:themeTint="BF"/>
        <w:insideV w:val="single" w:sz="8" w:space="0" w:color="9B39C7" w:themeColor="accent4" w:themeTint="BF"/>
      </w:tblBorders>
    </w:tblPr>
    <w:tcPr>
      <w:shd w:val="clear" w:color="auto" w:fill="DEBDEC" w:themeFill="accent4" w:themeFillTint="3F"/>
    </w:tcPr>
    <w:tblStylePr w:type="firstRow">
      <w:rPr>
        <w:b/>
        <w:bCs/>
      </w:rPr>
    </w:tblStylePr>
    <w:tblStylePr w:type="lastRow">
      <w:rPr>
        <w:b/>
        <w:bCs/>
      </w:rPr>
      <w:tblPr/>
      <w:tcPr>
        <w:tcBorders>
          <w:top w:val="single" w:sz="18" w:space="0" w:color="9B39C7" w:themeColor="accent4" w:themeTint="BF"/>
        </w:tcBorders>
      </w:tcPr>
    </w:tblStylePr>
    <w:tblStylePr w:type="firstCol">
      <w:rPr>
        <w:b/>
        <w:bCs/>
      </w:rPr>
    </w:tblStylePr>
    <w:tblStylePr w:type="lastCol">
      <w:rPr>
        <w:b/>
        <w:bCs/>
      </w:rPr>
    </w:tblStylePr>
    <w:tblStylePr w:type="band1Vert">
      <w:tblPr/>
      <w:tcPr>
        <w:shd w:val="clear" w:color="auto" w:fill="BC7BD9" w:themeFill="accent4" w:themeFillTint="7F"/>
      </w:tcPr>
    </w:tblStylePr>
    <w:tblStylePr w:type="band1Horz">
      <w:tblPr/>
      <w:tcPr>
        <w:shd w:val="clear" w:color="auto" w:fill="BC7BD9" w:themeFill="accent4" w:themeFillTint="7F"/>
      </w:tcPr>
    </w:tblStylePr>
  </w:style>
  <w:style w:type="table" w:styleId="MediumGrid1-Accent5">
    <w:name w:val="Medium Grid 1 Accent 5"/>
    <w:basedOn w:val="TableNormal"/>
    <w:uiPriority w:val="67"/>
    <w:semiHidden/>
    <w:unhideWhenUsed/>
    <w:rsid w:val="00B241C2"/>
    <w:pPr>
      <w:spacing w:after="0" w:line="240" w:lineRule="auto"/>
    </w:pPr>
    <w:rPr>
      <w:rFonts w:eastAsia="Times New Roman" w:cs="Times New Roman"/>
      <w:sz w:val="20"/>
      <w:szCs w:val="20"/>
      <w:lang w:eastAsia="en-AU"/>
    </w:rPr>
    <w:tblPr>
      <w:tblStyleRowBandSize w:val="1"/>
      <w:tblStyleColBandSize w:val="1"/>
      <w:tblBorders>
        <w:top w:val="single" w:sz="8" w:space="0" w:color="3CDA6F" w:themeColor="accent5" w:themeTint="BF"/>
        <w:left w:val="single" w:sz="8" w:space="0" w:color="3CDA6F" w:themeColor="accent5" w:themeTint="BF"/>
        <w:bottom w:val="single" w:sz="8" w:space="0" w:color="3CDA6F" w:themeColor="accent5" w:themeTint="BF"/>
        <w:right w:val="single" w:sz="8" w:space="0" w:color="3CDA6F" w:themeColor="accent5" w:themeTint="BF"/>
        <w:insideH w:val="single" w:sz="8" w:space="0" w:color="3CDA6F" w:themeColor="accent5" w:themeTint="BF"/>
        <w:insideV w:val="single" w:sz="8" w:space="0" w:color="3CDA6F" w:themeColor="accent5" w:themeTint="BF"/>
      </w:tblBorders>
    </w:tblPr>
    <w:tcPr>
      <w:shd w:val="clear" w:color="auto" w:fill="BEF3CF" w:themeFill="accent5" w:themeFillTint="3F"/>
    </w:tcPr>
    <w:tblStylePr w:type="firstRow">
      <w:rPr>
        <w:b/>
        <w:bCs/>
      </w:rPr>
    </w:tblStylePr>
    <w:tblStylePr w:type="lastRow">
      <w:rPr>
        <w:b/>
        <w:bCs/>
      </w:rPr>
      <w:tblPr/>
      <w:tcPr>
        <w:tcBorders>
          <w:top w:val="single" w:sz="18" w:space="0" w:color="3CDA6F" w:themeColor="accent5" w:themeTint="BF"/>
        </w:tcBorders>
      </w:tcPr>
    </w:tblStylePr>
    <w:tblStylePr w:type="firstCol">
      <w:rPr>
        <w:b/>
        <w:bCs/>
      </w:rPr>
    </w:tblStylePr>
    <w:tblStylePr w:type="lastCol">
      <w:rPr>
        <w:b/>
        <w:bCs/>
      </w:rPr>
    </w:tblStylePr>
    <w:tblStylePr w:type="band1Vert">
      <w:tblPr/>
      <w:tcPr>
        <w:shd w:val="clear" w:color="auto" w:fill="7DE69F" w:themeFill="accent5" w:themeFillTint="7F"/>
      </w:tcPr>
    </w:tblStylePr>
    <w:tblStylePr w:type="band1Horz">
      <w:tblPr/>
      <w:tcPr>
        <w:shd w:val="clear" w:color="auto" w:fill="7DE69F" w:themeFill="accent5" w:themeFillTint="7F"/>
      </w:tcPr>
    </w:tblStylePr>
  </w:style>
  <w:style w:type="table" w:styleId="MediumGrid1-Accent6">
    <w:name w:val="Medium Grid 1 Accent 6"/>
    <w:basedOn w:val="TableNormal"/>
    <w:uiPriority w:val="67"/>
    <w:semiHidden/>
    <w:unhideWhenUsed/>
    <w:rsid w:val="00B241C2"/>
    <w:pPr>
      <w:spacing w:after="0" w:line="240" w:lineRule="auto"/>
    </w:pPr>
    <w:rPr>
      <w:rFonts w:eastAsia="Times New Roman" w:cs="Times New Roman"/>
      <w:sz w:val="20"/>
      <w:szCs w:val="20"/>
      <w:lang w:eastAsia="en-AU"/>
    </w:rPr>
    <w:tblPr>
      <w:tblStyleRowBandSize w:val="1"/>
      <w:tblStyleColBandSize w:val="1"/>
      <w:tblBorders>
        <w:top w:val="single" w:sz="8" w:space="0" w:color="09B1FF" w:themeColor="accent6" w:themeTint="BF"/>
        <w:left w:val="single" w:sz="8" w:space="0" w:color="09B1FF" w:themeColor="accent6" w:themeTint="BF"/>
        <w:bottom w:val="single" w:sz="8" w:space="0" w:color="09B1FF" w:themeColor="accent6" w:themeTint="BF"/>
        <w:right w:val="single" w:sz="8" w:space="0" w:color="09B1FF" w:themeColor="accent6" w:themeTint="BF"/>
        <w:insideH w:val="single" w:sz="8" w:space="0" w:color="09B1FF" w:themeColor="accent6" w:themeTint="BF"/>
        <w:insideV w:val="single" w:sz="8" w:space="0" w:color="09B1FF" w:themeColor="accent6" w:themeTint="BF"/>
      </w:tblBorders>
    </w:tblPr>
    <w:tcPr>
      <w:shd w:val="clear" w:color="auto" w:fill="ADE5FF" w:themeFill="accent6" w:themeFillTint="3F"/>
    </w:tcPr>
    <w:tblStylePr w:type="firstRow">
      <w:rPr>
        <w:b/>
        <w:bCs/>
      </w:rPr>
    </w:tblStylePr>
    <w:tblStylePr w:type="lastRow">
      <w:rPr>
        <w:b/>
        <w:bCs/>
      </w:rPr>
      <w:tblPr/>
      <w:tcPr>
        <w:tcBorders>
          <w:top w:val="single" w:sz="18" w:space="0" w:color="09B1FF" w:themeColor="accent6" w:themeTint="BF"/>
        </w:tcBorders>
      </w:tcPr>
    </w:tblStylePr>
    <w:tblStylePr w:type="firstCol">
      <w:rPr>
        <w:b/>
        <w:bCs/>
      </w:rPr>
    </w:tblStylePr>
    <w:tblStylePr w:type="lastCol">
      <w:rPr>
        <w:b/>
        <w:bCs/>
      </w:rPr>
    </w:tblStylePr>
    <w:tblStylePr w:type="band1Vert">
      <w:tblPr/>
      <w:tcPr>
        <w:shd w:val="clear" w:color="auto" w:fill="5BCBFF" w:themeFill="accent6" w:themeFillTint="7F"/>
      </w:tcPr>
    </w:tblStylePr>
    <w:tblStylePr w:type="band1Horz">
      <w:tblPr/>
      <w:tcPr>
        <w:shd w:val="clear" w:color="auto" w:fill="5BCBFF" w:themeFill="accent6" w:themeFillTint="7F"/>
      </w:tcPr>
    </w:tblStylePr>
  </w:style>
  <w:style w:type="table" w:styleId="MediumGrid2">
    <w:name w:val="Medium Grid 2"/>
    <w:basedOn w:val="TableNormal"/>
    <w:uiPriority w:val="68"/>
    <w:semiHidden/>
    <w:unhideWhenUsed/>
    <w:rsid w:val="00B241C2"/>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B241C2"/>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D7D8D6" w:themeColor="accent1"/>
        <w:left w:val="single" w:sz="8" w:space="0" w:color="D7D8D6" w:themeColor="accent1"/>
        <w:bottom w:val="single" w:sz="8" w:space="0" w:color="D7D8D6" w:themeColor="accent1"/>
        <w:right w:val="single" w:sz="8" w:space="0" w:color="D7D8D6" w:themeColor="accent1"/>
        <w:insideH w:val="single" w:sz="8" w:space="0" w:color="D7D8D6" w:themeColor="accent1"/>
        <w:insideV w:val="single" w:sz="8" w:space="0" w:color="D7D8D6" w:themeColor="accent1"/>
      </w:tblBorders>
    </w:tblPr>
    <w:tcPr>
      <w:shd w:val="clear" w:color="auto" w:fill="F4F5F4" w:themeFill="accent1" w:themeFillTint="3F"/>
    </w:tcPr>
    <w:tblStylePr w:type="firstRow">
      <w:rPr>
        <w:b/>
        <w:bCs/>
        <w:color w:val="000000" w:themeColor="text1"/>
      </w:rPr>
      <w:tblPr/>
      <w:tcPr>
        <w:shd w:val="clear" w:color="auto" w:fill="FAFB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7F6" w:themeFill="accent1" w:themeFillTint="33"/>
      </w:tcPr>
    </w:tblStylePr>
    <w:tblStylePr w:type="band1Vert">
      <w:tblPr/>
      <w:tcPr>
        <w:shd w:val="clear" w:color="auto" w:fill="EAEBEA" w:themeFill="accent1" w:themeFillTint="7F"/>
      </w:tcPr>
    </w:tblStylePr>
    <w:tblStylePr w:type="band1Horz">
      <w:tblPr/>
      <w:tcPr>
        <w:tcBorders>
          <w:insideH w:val="single" w:sz="6" w:space="0" w:color="D7D8D6" w:themeColor="accent1"/>
          <w:insideV w:val="single" w:sz="6" w:space="0" w:color="D7D8D6" w:themeColor="accent1"/>
        </w:tcBorders>
        <w:shd w:val="clear" w:color="auto" w:fill="EAEBEA"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B241C2"/>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FFC709" w:themeColor="accent2"/>
        <w:left w:val="single" w:sz="8" w:space="0" w:color="FFC709" w:themeColor="accent2"/>
        <w:bottom w:val="single" w:sz="8" w:space="0" w:color="FFC709" w:themeColor="accent2"/>
        <w:right w:val="single" w:sz="8" w:space="0" w:color="FFC709" w:themeColor="accent2"/>
        <w:insideH w:val="single" w:sz="8" w:space="0" w:color="FFC709" w:themeColor="accent2"/>
        <w:insideV w:val="single" w:sz="8" w:space="0" w:color="FFC709" w:themeColor="accent2"/>
      </w:tblBorders>
    </w:tblPr>
    <w:tcPr>
      <w:shd w:val="clear" w:color="auto" w:fill="FFF0C2" w:themeFill="accent2" w:themeFillTint="3F"/>
    </w:tcPr>
    <w:tblStylePr w:type="firstRow">
      <w:rPr>
        <w:b/>
        <w:bCs/>
        <w:color w:val="000000" w:themeColor="text1"/>
      </w:rPr>
      <w:tblPr/>
      <w:tcPr>
        <w:shd w:val="clear" w:color="auto" w:fill="FFF9E6"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3CD" w:themeFill="accent2" w:themeFillTint="33"/>
      </w:tcPr>
    </w:tblStylePr>
    <w:tblStylePr w:type="band1Vert">
      <w:tblPr/>
      <w:tcPr>
        <w:shd w:val="clear" w:color="auto" w:fill="FFE284" w:themeFill="accent2" w:themeFillTint="7F"/>
      </w:tcPr>
    </w:tblStylePr>
    <w:tblStylePr w:type="band1Horz">
      <w:tblPr/>
      <w:tcPr>
        <w:tcBorders>
          <w:insideH w:val="single" w:sz="6" w:space="0" w:color="FFC709" w:themeColor="accent2"/>
          <w:insideV w:val="single" w:sz="6" w:space="0" w:color="FFC709" w:themeColor="accent2"/>
        </w:tcBorders>
        <w:shd w:val="clear" w:color="auto" w:fill="FFE28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B241C2"/>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CD163F" w:themeColor="accent3"/>
        <w:left w:val="single" w:sz="8" w:space="0" w:color="CD163F" w:themeColor="accent3"/>
        <w:bottom w:val="single" w:sz="8" w:space="0" w:color="CD163F" w:themeColor="accent3"/>
        <w:right w:val="single" w:sz="8" w:space="0" w:color="CD163F" w:themeColor="accent3"/>
        <w:insideH w:val="single" w:sz="8" w:space="0" w:color="CD163F" w:themeColor="accent3"/>
        <w:insideV w:val="single" w:sz="8" w:space="0" w:color="CD163F" w:themeColor="accent3"/>
      </w:tblBorders>
    </w:tblPr>
    <w:tcPr>
      <w:shd w:val="clear" w:color="auto" w:fill="F8BFCC" w:themeFill="accent3" w:themeFillTint="3F"/>
    </w:tcPr>
    <w:tblStylePr w:type="firstRow">
      <w:rPr>
        <w:b/>
        <w:bCs/>
        <w:color w:val="000000" w:themeColor="text1"/>
      </w:rPr>
      <w:tblPr/>
      <w:tcPr>
        <w:shd w:val="clear" w:color="auto" w:fill="FCE5EA"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BD6" w:themeFill="accent3" w:themeFillTint="33"/>
      </w:tcPr>
    </w:tblStylePr>
    <w:tblStylePr w:type="band1Vert">
      <w:tblPr/>
      <w:tcPr>
        <w:shd w:val="clear" w:color="auto" w:fill="F17F99" w:themeFill="accent3" w:themeFillTint="7F"/>
      </w:tcPr>
    </w:tblStylePr>
    <w:tblStylePr w:type="band1Horz">
      <w:tblPr/>
      <w:tcPr>
        <w:tcBorders>
          <w:insideH w:val="single" w:sz="6" w:space="0" w:color="CD163F" w:themeColor="accent3"/>
          <w:insideV w:val="single" w:sz="6" w:space="0" w:color="CD163F" w:themeColor="accent3"/>
        </w:tcBorders>
        <w:shd w:val="clear" w:color="auto" w:fill="F17F99"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B241C2"/>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692686" w:themeColor="accent4"/>
        <w:left w:val="single" w:sz="8" w:space="0" w:color="692686" w:themeColor="accent4"/>
        <w:bottom w:val="single" w:sz="8" w:space="0" w:color="692686" w:themeColor="accent4"/>
        <w:right w:val="single" w:sz="8" w:space="0" w:color="692686" w:themeColor="accent4"/>
        <w:insideH w:val="single" w:sz="8" w:space="0" w:color="692686" w:themeColor="accent4"/>
        <w:insideV w:val="single" w:sz="8" w:space="0" w:color="692686" w:themeColor="accent4"/>
      </w:tblBorders>
    </w:tblPr>
    <w:tcPr>
      <w:shd w:val="clear" w:color="auto" w:fill="DEBDEC" w:themeFill="accent4" w:themeFillTint="3F"/>
    </w:tcPr>
    <w:tblStylePr w:type="firstRow">
      <w:rPr>
        <w:b/>
        <w:bCs/>
        <w:color w:val="000000" w:themeColor="text1"/>
      </w:rPr>
      <w:tblPr/>
      <w:tcPr>
        <w:shd w:val="clear" w:color="auto" w:fill="F1E5F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CAF0" w:themeFill="accent4" w:themeFillTint="33"/>
      </w:tcPr>
    </w:tblStylePr>
    <w:tblStylePr w:type="band1Vert">
      <w:tblPr/>
      <w:tcPr>
        <w:shd w:val="clear" w:color="auto" w:fill="BC7BD9" w:themeFill="accent4" w:themeFillTint="7F"/>
      </w:tcPr>
    </w:tblStylePr>
    <w:tblStylePr w:type="band1Horz">
      <w:tblPr/>
      <w:tcPr>
        <w:tcBorders>
          <w:insideH w:val="single" w:sz="6" w:space="0" w:color="692686" w:themeColor="accent4"/>
          <w:insideV w:val="single" w:sz="6" w:space="0" w:color="692686" w:themeColor="accent4"/>
        </w:tcBorders>
        <w:shd w:val="clear" w:color="auto" w:fill="BC7BD9"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B241C2"/>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20AA4D" w:themeColor="accent5"/>
        <w:left w:val="single" w:sz="8" w:space="0" w:color="20AA4D" w:themeColor="accent5"/>
        <w:bottom w:val="single" w:sz="8" w:space="0" w:color="20AA4D" w:themeColor="accent5"/>
        <w:right w:val="single" w:sz="8" w:space="0" w:color="20AA4D" w:themeColor="accent5"/>
        <w:insideH w:val="single" w:sz="8" w:space="0" w:color="20AA4D" w:themeColor="accent5"/>
        <w:insideV w:val="single" w:sz="8" w:space="0" w:color="20AA4D" w:themeColor="accent5"/>
      </w:tblBorders>
    </w:tblPr>
    <w:tcPr>
      <w:shd w:val="clear" w:color="auto" w:fill="BEF3CF" w:themeFill="accent5" w:themeFillTint="3F"/>
    </w:tcPr>
    <w:tblStylePr w:type="firstRow">
      <w:rPr>
        <w:b/>
        <w:bCs/>
        <w:color w:val="000000" w:themeColor="text1"/>
      </w:rPr>
      <w:tblPr/>
      <w:tcPr>
        <w:shd w:val="clear" w:color="auto" w:fill="E5FAE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BF5D8" w:themeFill="accent5" w:themeFillTint="33"/>
      </w:tcPr>
    </w:tblStylePr>
    <w:tblStylePr w:type="band1Vert">
      <w:tblPr/>
      <w:tcPr>
        <w:shd w:val="clear" w:color="auto" w:fill="7DE69F" w:themeFill="accent5" w:themeFillTint="7F"/>
      </w:tcPr>
    </w:tblStylePr>
    <w:tblStylePr w:type="band1Horz">
      <w:tblPr/>
      <w:tcPr>
        <w:tcBorders>
          <w:insideH w:val="single" w:sz="6" w:space="0" w:color="20AA4D" w:themeColor="accent5"/>
          <w:insideV w:val="single" w:sz="6" w:space="0" w:color="20AA4D" w:themeColor="accent5"/>
        </w:tcBorders>
        <w:shd w:val="clear" w:color="auto" w:fill="7DE69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B241C2"/>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007DB6" w:themeColor="accent6"/>
        <w:left w:val="single" w:sz="8" w:space="0" w:color="007DB6" w:themeColor="accent6"/>
        <w:bottom w:val="single" w:sz="8" w:space="0" w:color="007DB6" w:themeColor="accent6"/>
        <w:right w:val="single" w:sz="8" w:space="0" w:color="007DB6" w:themeColor="accent6"/>
        <w:insideH w:val="single" w:sz="8" w:space="0" w:color="007DB6" w:themeColor="accent6"/>
        <w:insideV w:val="single" w:sz="8" w:space="0" w:color="007DB6" w:themeColor="accent6"/>
      </w:tblBorders>
    </w:tblPr>
    <w:tcPr>
      <w:shd w:val="clear" w:color="auto" w:fill="ADE5FF" w:themeFill="accent6" w:themeFillTint="3F"/>
    </w:tcPr>
    <w:tblStylePr w:type="firstRow">
      <w:rPr>
        <w:b/>
        <w:bCs/>
        <w:color w:val="000000" w:themeColor="text1"/>
      </w:rPr>
      <w:tblPr/>
      <w:tcPr>
        <w:shd w:val="clear" w:color="auto" w:fill="DEF4FF"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DEAFF" w:themeFill="accent6" w:themeFillTint="33"/>
      </w:tcPr>
    </w:tblStylePr>
    <w:tblStylePr w:type="band1Vert">
      <w:tblPr/>
      <w:tcPr>
        <w:shd w:val="clear" w:color="auto" w:fill="5BCBFF" w:themeFill="accent6" w:themeFillTint="7F"/>
      </w:tcPr>
    </w:tblStylePr>
    <w:tblStylePr w:type="band1Horz">
      <w:tblPr/>
      <w:tcPr>
        <w:tcBorders>
          <w:insideH w:val="single" w:sz="6" w:space="0" w:color="007DB6" w:themeColor="accent6"/>
          <w:insideV w:val="single" w:sz="6" w:space="0" w:color="007DB6" w:themeColor="accent6"/>
        </w:tcBorders>
        <w:shd w:val="clear" w:color="auto" w:fill="5BCBF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B241C2"/>
    <w:pPr>
      <w:spacing w:after="0" w:line="240" w:lineRule="auto"/>
    </w:pPr>
    <w:rPr>
      <w:rFonts w:eastAsia="Times New Roman" w:cs="Times New Roman"/>
      <w:sz w:val="20"/>
      <w:szCs w:val="20"/>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B241C2"/>
    <w:pPr>
      <w:spacing w:after="0" w:line="240" w:lineRule="auto"/>
    </w:pPr>
    <w:rPr>
      <w:rFonts w:eastAsia="Times New Roman" w:cs="Times New Roman"/>
      <w:sz w:val="20"/>
      <w:szCs w:val="20"/>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4F5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7D8D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7D8D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7D8D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7D8D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AEB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AEBEA" w:themeFill="accent1" w:themeFillTint="7F"/>
      </w:tcPr>
    </w:tblStylePr>
  </w:style>
  <w:style w:type="table" w:styleId="MediumGrid3-Accent2">
    <w:name w:val="Medium Grid 3 Accent 2"/>
    <w:basedOn w:val="TableNormal"/>
    <w:uiPriority w:val="69"/>
    <w:semiHidden/>
    <w:unhideWhenUsed/>
    <w:rsid w:val="00B241C2"/>
    <w:pPr>
      <w:spacing w:after="0" w:line="240" w:lineRule="auto"/>
    </w:pPr>
    <w:rPr>
      <w:rFonts w:eastAsia="Times New Roman" w:cs="Times New Roman"/>
      <w:sz w:val="20"/>
      <w:szCs w:val="20"/>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0C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709"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709"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709"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709"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E28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E284" w:themeFill="accent2" w:themeFillTint="7F"/>
      </w:tcPr>
    </w:tblStylePr>
  </w:style>
  <w:style w:type="table" w:styleId="MediumGrid3-Accent3">
    <w:name w:val="Medium Grid 3 Accent 3"/>
    <w:basedOn w:val="TableNormal"/>
    <w:uiPriority w:val="69"/>
    <w:semiHidden/>
    <w:unhideWhenUsed/>
    <w:rsid w:val="00B241C2"/>
    <w:pPr>
      <w:spacing w:after="0" w:line="240" w:lineRule="auto"/>
    </w:pPr>
    <w:rPr>
      <w:rFonts w:eastAsia="Times New Roman" w:cs="Times New Roman"/>
      <w:sz w:val="20"/>
      <w:szCs w:val="20"/>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BFCC"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D163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D163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D163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D163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17F99"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17F99" w:themeFill="accent3" w:themeFillTint="7F"/>
      </w:tcPr>
    </w:tblStylePr>
  </w:style>
  <w:style w:type="table" w:styleId="MediumGrid3-Accent4">
    <w:name w:val="Medium Grid 3 Accent 4"/>
    <w:basedOn w:val="TableNormal"/>
    <w:uiPriority w:val="69"/>
    <w:semiHidden/>
    <w:unhideWhenUsed/>
    <w:rsid w:val="00B241C2"/>
    <w:pPr>
      <w:spacing w:after="0" w:line="240" w:lineRule="auto"/>
    </w:pPr>
    <w:rPr>
      <w:rFonts w:eastAsia="Times New Roman" w:cs="Times New Roman"/>
      <w:sz w:val="20"/>
      <w:szCs w:val="20"/>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BDEC"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9268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9268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9268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9268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7BD9"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7BD9" w:themeFill="accent4" w:themeFillTint="7F"/>
      </w:tcPr>
    </w:tblStylePr>
  </w:style>
  <w:style w:type="table" w:styleId="MediumGrid3-Accent5">
    <w:name w:val="Medium Grid 3 Accent 5"/>
    <w:basedOn w:val="TableNormal"/>
    <w:uiPriority w:val="69"/>
    <w:semiHidden/>
    <w:unhideWhenUsed/>
    <w:rsid w:val="00B241C2"/>
    <w:pPr>
      <w:spacing w:after="0" w:line="240" w:lineRule="auto"/>
    </w:pPr>
    <w:rPr>
      <w:rFonts w:eastAsia="Times New Roman" w:cs="Times New Roman"/>
      <w:sz w:val="20"/>
      <w:szCs w:val="20"/>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EF3C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AA4D"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AA4D"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AA4D"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AA4D"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DE69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DE69F" w:themeFill="accent5" w:themeFillTint="7F"/>
      </w:tcPr>
    </w:tblStylePr>
  </w:style>
  <w:style w:type="table" w:styleId="MediumGrid3-Accent6">
    <w:name w:val="Medium Grid 3 Accent 6"/>
    <w:basedOn w:val="TableNormal"/>
    <w:uiPriority w:val="69"/>
    <w:semiHidden/>
    <w:unhideWhenUsed/>
    <w:rsid w:val="00B241C2"/>
    <w:pPr>
      <w:spacing w:after="0" w:line="240" w:lineRule="auto"/>
    </w:pPr>
    <w:rPr>
      <w:rFonts w:eastAsia="Times New Roman" w:cs="Times New Roman"/>
      <w:sz w:val="20"/>
      <w:szCs w:val="20"/>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DE5F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DB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DB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DB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DB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BCBF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BCBFF" w:themeFill="accent6" w:themeFillTint="7F"/>
      </w:tcPr>
    </w:tblStylePr>
  </w:style>
  <w:style w:type="table" w:styleId="MediumList1">
    <w:name w:val="Medium List 1"/>
    <w:basedOn w:val="TableNormal"/>
    <w:uiPriority w:val="65"/>
    <w:semiHidden/>
    <w:unhideWhenUsed/>
    <w:rsid w:val="00B241C2"/>
    <w:pPr>
      <w:spacing w:after="0" w:line="240" w:lineRule="auto"/>
    </w:pPr>
    <w:rPr>
      <w:rFonts w:eastAsia="Times New Roman" w:cs="Times New Roman"/>
      <w:color w:val="000000" w:themeColor="text1"/>
      <w:sz w:val="20"/>
      <w:szCs w:val="20"/>
      <w:lang w:eastAsia="en-AU"/>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C2B39"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B241C2"/>
    <w:pPr>
      <w:spacing w:after="0" w:line="240" w:lineRule="auto"/>
    </w:pPr>
    <w:rPr>
      <w:rFonts w:eastAsia="Times New Roman" w:cs="Times New Roman"/>
      <w:color w:val="000000" w:themeColor="text1"/>
      <w:sz w:val="20"/>
      <w:szCs w:val="20"/>
      <w:lang w:eastAsia="en-AU"/>
    </w:rPr>
    <w:tblPr>
      <w:tblStyleRowBandSize w:val="1"/>
      <w:tblStyleColBandSize w:val="1"/>
      <w:tblBorders>
        <w:top w:val="single" w:sz="8" w:space="0" w:color="D7D8D6" w:themeColor="accent1"/>
        <w:bottom w:val="single" w:sz="8" w:space="0" w:color="D7D8D6" w:themeColor="accent1"/>
      </w:tblBorders>
    </w:tblPr>
    <w:tblStylePr w:type="firstRow">
      <w:rPr>
        <w:rFonts w:asciiTheme="majorHAnsi" w:eastAsiaTheme="majorEastAsia" w:hAnsiTheme="majorHAnsi" w:cstheme="majorBidi"/>
      </w:rPr>
      <w:tblPr/>
      <w:tcPr>
        <w:tcBorders>
          <w:top w:val="nil"/>
          <w:bottom w:val="single" w:sz="8" w:space="0" w:color="D7D8D6" w:themeColor="accent1"/>
        </w:tcBorders>
      </w:tcPr>
    </w:tblStylePr>
    <w:tblStylePr w:type="lastRow">
      <w:rPr>
        <w:b/>
        <w:bCs/>
        <w:color w:val="1C2B39" w:themeColor="text2"/>
      </w:rPr>
      <w:tblPr/>
      <w:tcPr>
        <w:tcBorders>
          <w:top w:val="single" w:sz="8" w:space="0" w:color="D7D8D6" w:themeColor="accent1"/>
          <w:bottom w:val="single" w:sz="8" w:space="0" w:color="D7D8D6" w:themeColor="accent1"/>
        </w:tcBorders>
      </w:tcPr>
    </w:tblStylePr>
    <w:tblStylePr w:type="firstCol">
      <w:rPr>
        <w:b/>
        <w:bCs/>
      </w:rPr>
    </w:tblStylePr>
    <w:tblStylePr w:type="lastCol">
      <w:rPr>
        <w:b/>
        <w:bCs/>
      </w:rPr>
      <w:tblPr/>
      <w:tcPr>
        <w:tcBorders>
          <w:top w:val="single" w:sz="8" w:space="0" w:color="D7D8D6" w:themeColor="accent1"/>
          <w:bottom w:val="single" w:sz="8" w:space="0" w:color="D7D8D6" w:themeColor="accent1"/>
        </w:tcBorders>
      </w:tcPr>
    </w:tblStylePr>
    <w:tblStylePr w:type="band1Vert">
      <w:tblPr/>
      <w:tcPr>
        <w:shd w:val="clear" w:color="auto" w:fill="F4F5F4" w:themeFill="accent1" w:themeFillTint="3F"/>
      </w:tcPr>
    </w:tblStylePr>
    <w:tblStylePr w:type="band1Horz">
      <w:tblPr/>
      <w:tcPr>
        <w:shd w:val="clear" w:color="auto" w:fill="F4F5F4" w:themeFill="accent1" w:themeFillTint="3F"/>
      </w:tcPr>
    </w:tblStylePr>
  </w:style>
  <w:style w:type="table" w:styleId="MediumList1-Accent2">
    <w:name w:val="Medium List 1 Accent 2"/>
    <w:basedOn w:val="TableNormal"/>
    <w:uiPriority w:val="65"/>
    <w:semiHidden/>
    <w:unhideWhenUsed/>
    <w:rsid w:val="00B241C2"/>
    <w:pPr>
      <w:spacing w:after="0" w:line="240" w:lineRule="auto"/>
    </w:pPr>
    <w:rPr>
      <w:rFonts w:eastAsia="Times New Roman" w:cs="Times New Roman"/>
      <w:color w:val="000000" w:themeColor="text1"/>
      <w:sz w:val="20"/>
      <w:szCs w:val="20"/>
      <w:lang w:eastAsia="en-AU"/>
    </w:rPr>
    <w:tblPr>
      <w:tblStyleRowBandSize w:val="1"/>
      <w:tblStyleColBandSize w:val="1"/>
      <w:tblBorders>
        <w:top w:val="single" w:sz="8" w:space="0" w:color="FFC709" w:themeColor="accent2"/>
        <w:bottom w:val="single" w:sz="8" w:space="0" w:color="FFC709" w:themeColor="accent2"/>
      </w:tblBorders>
    </w:tblPr>
    <w:tblStylePr w:type="firstRow">
      <w:rPr>
        <w:rFonts w:asciiTheme="majorHAnsi" w:eastAsiaTheme="majorEastAsia" w:hAnsiTheme="majorHAnsi" w:cstheme="majorBidi"/>
      </w:rPr>
      <w:tblPr/>
      <w:tcPr>
        <w:tcBorders>
          <w:top w:val="nil"/>
          <w:bottom w:val="single" w:sz="8" w:space="0" w:color="FFC709" w:themeColor="accent2"/>
        </w:tcBorders>
      </w:tcPr>
    </w:tblStylePr>
    <w:tblStylePr w:type="lastRow">
      <w:rPr>
        <w:b/>
        <w:bCs/>
        <w:color w:val="1C2B39" w:themeColor="text2"/>
      </w:rPr>
      <w:tblPr/>
      <w:tcPr>
        <w:tcBorders>
          <w:top w:val="single" w:sz="8" w:space="0" w:color="FFC709" w:themeColor="accent2"/>
          <w:bottom w:val="single" w:sz="8" w:space="0" w:color="FFC709" w:themeColor="accent2"/>
        </w:tcBorders>
      </w:tcPr>
    </w:tblStylePr>
    <w:tblStylePr w:type="firstCol">
      <w:rPr>
        <w:b/>
        <w:bCs/>
      </w:rPr>
    </w:tblStylePr>
    <w:tblStylePr w:type="lastCol">
      <w:rPr>
        <w:b/>
        <w:bCs/>
      </w:rPr>
      <w:tblPr/>
      <w:tcPr>
        <w:tcBorders>
          <w:top w:val="single" w:sz="8" w:space="0" w:color="FFC709" w:themeColor="accent2"/>
          <w:bottom w:val="single" w:sz="8" w:space="0" w:color="FFC709" w:themeColor="accent2"/>
        </w:tcBorders>
      </w:tcPr>
    </w:tblStylePr>
    <w:tblStylePr w:type="band1Vert">
      <w:tblPr/>
      <w:tcPr>
        <w:shd w:val="clear" w:color="auto" w:fill="FFF0C2" w:themeFill="accent2" w:themeFillTint="3F"/>
      </w:tcPr>
    </w:tblStylePr>
    <w:tblStylePr w:type="band1Horz">
      <w:tblPr/>
      <w:tcPr>
        <w:shd w:val="clear" w:color="auto" w:fill="FFF0C2" w:themeFill="accent2" w:themeFillTint="3F"/>
      </w:tcPr>
    </w:tblStylePr>
  </w:style>
  <w:style w:type="table" w:styleId="MediumList1-Accent3">
    <w:name w:val="Medium List 1 Accent 3"/>
    <w:basedOn w:val="TableNormal"/>
    <w:uiPriority w:val="65"/>
    <w:semiHidden/>
    <w:unhideWhenUsed/>
    <w:rsid w:val="00B241C2"/>
    <w:pPr>
      <w:spacing w:after="0" w:line="240" w:lineRule="auto"/>
    </w:pPr>
    <w:rPr>
      <w:rFonts w:eastAsia="Times New Roman" w:cs="Times New Roman"/>
      <w:color w:val="000000" w:themeColor="text1"/>
      <w:sz w:val="20"/>
      <w:szCs w:val="20"/>
      <w:lang w:eastAsia="en-AU"/>
    </w:rPr>
    <w:tblPr>
      <w:tblStyleRowBandSize w:val="1"/>
      <w:tblStyleColBandSize w:val="1"/>
      <w:tblBorders>
        <w:top w:val="single" w:sz="8" w:space="0" w:color="CD163F" w:themeColor="accent3"/>
        <w:bottom w:val="single" w:sz="8" w:space="0" w:color="CD163F" w:themeColor="accent3"/>
      </w:tblBorders>
    </w:tblPr>
    <w:tblStylePr w:type="firstRow">
      <w:rPr>
        <w:rFonts w:asciiTheme="majorHAnsi" w:eastAsiaTheme="majorEastAsia" w:hAnsiTheme="majorHAnsi" w:cstheme="majorBidi"/>
      </w:rPr>
      <w:tblPr/>
      <w:tcPr>
        <w:tcBorders>
          <w:top w:val="nil"/>
          <w:bottom w:val="single" w:sz="8" w:space="0" w:color="CD163F" w:themeColor="accent3"/>
        </w:tcBorders>
      </w:tcPr>
    </w:tblStylePr>
    <w:tblStylePr w:type="lastRow">
      <w:rPr>
        <w:b/>
        <w:bCs/>
        <w:color w:val="1C2B39" w:themeColor="text2"/>
      </w:rPr>
      <w:tblPr/>
      <w:tcPr>
        <w:tcBorders>
          <w:top w:val="single" w:sz="8" w:space="0" w:color="CD163F" w:themeColor="accent3"/>
          <w:bottom w:val="single" w:sz="8" w:space="0" w:color="CD163F" w:themeColor="accent3"/>
        </w:tcBorders>
      </w:tcPr>
    </w:tblStylePr>
    <w:tblStylePr w:type="firstCol">
      <w:rPr>
        <w:b/>
        <w:bCs/>
      </w:rPr>
    </w:tblStylePr>
    <w:tblStylePr w:type="lastCol">
      <w:rPr>
        <w:b/>
        <w:bCs/>
      </w:rPr>
      <w:tblPr/>
      <w:tcPr>
        <w:tcBorders>
          <w:top w:val="single" w:sz="8" w:space="0" w:color="CD163F" w:themeColor="accent3"/>
          <w:bottom w:val="single" w:sz="8" w:space="0" w:color="CD163F" w:themeColor="accent3"/>
        </w:tcBorders>
      </w:tcPr>
    </w:tblStylePr>
    <w:tblStylePr w:type="band1Vert">
      <w:tblPr/>
      <w:tcPr>
        <w:shd w:val="clear" w:color="auto" w:fill="F8BFCC" w:themeFill="accent3" w:themeFillTint="3F"/>
      </w:tcPr>
    </w:tblStylePr>
    <w:tblStylePr w:type="band1Horz">
      <w:tblPr/>
      <w:tcPr>
        <w:shd w:val="clear" w:color="auto" w:fill="F8BFCC" w:themeFill="accent3" w:themeFillTint="3F"/>
      </w:tcPr>
    </w:tblStylePr>
  </w:style>
  <w:style w:type="table" w:styleId="MediumList1-Accent4">
    <w:name w:val="Medium List 1 Accent 4"/>
    <w:basedOn w:val="TableNormal"/>
    <w:uiPriority w:val="65"/>
    <w:semiHidden/>
    <w:unhideWhenUsed/>
    <w:rsid w:val="00B241C2"/>
    <w:pPr>
      <w:spacing w:after="0" w:line="240" w:lineRule="auto"/>
    </w:pPr>
    <w:rPr>
      <w:rFonts w:eastAsia="Times New Roman" w:cs="Times New Roman"/>
      <w:color w:val="000000" w:themeColor="text1"/>
      <w:sz w:val="20"/>
      <w:szCs w:val="20"/>
      <w:lang w:eastAsia="en-AU"/>
    </w:rPr>
    <w:tblPr>
      <w:tblStyleRowBandSize w:val="1"/>
      <w:tblStyleColBandSize w:val="1"/>
      <w:tblBorders>
        <w:top w:val="single" w:sz="8" w:space="0" w:color="692686" w:themeColor="accent4"/>
        <w:bottom w:val="single" w:sz="8" w:space="0" w:color="692686" w:themeColor="accent4"/>
      </w:tblBorders>
    </w:tblPr>
    <w:tblStylePr w:type="firstRow">
      <w:rPr>
        <w:rFonts w:asciiTheme="majorHAnsi" w:eastAsiaTheme="majorEastAsia" w:hAnsiTheme="majorHAnsi" w:cstheme="majorBidi"/>
      </w:rPr>
      <w:tblPr/>
      <w:tcPr>
        <w:tcBorders>
          <w:top w:val="nil"/>
          <w:bottom w:val="single" w:sz="8" w:space="0" w:color="692686" w:themeColor="accent4"/>
        </w:tcBorders>
      </w:tcPr>
    </w:tblStylePr>
    <w:tblStylePr w:type="lastRow">
      <w:rPr>
        <w:b/>
        <w:bCs/>
        <w:color w:val="1C2B39" w:themeColor="text2"/>
      </w:rPr>
      <w:tblPr/>
      <w:tcPr>
        <w:tcBorders>
          <w:top w:val="single" w:sz="8" w:space="0" w:color="692686" w:themeColor="accent4"/>
          <w:bottom w:val="single" w:sz="8" w:space="0" w:color="692686" w:themeColor="accent4"/>
        </w:tcBorders>
      </w:tcPr>
    </w:tblStylePr>
    <w:tblStylePr w:type="firstCol">
      <w:rPr>
        <w:b/>
        <w:bCs/>
      </w:rPr>
    </w:tblStylePr>
    <w:tblStylePr w:type="lastCol">
      <w:rPr>
        <w:b/>
        <w:bCs/>
      </w:rPr>
      <w:tblPr/>
      <w:tcPr>
        <w:tcBorders>
          <w:top w:val="single" w:sz="8" w:space="0" w:color="692686" w:themeColor="accent4"/>
          <w:bottom w:val="single" w:sz="8" w:space="0" w:color="692686" w:themeColor="accent4"/>
        </w:tcBorders>
      </w:tcPr>
    </w:tblStylePr>
    <w:tblStylePr w:type="band1Vert">
      <w:tblPr/>
      <w:tcPr>
        <w:shd w:val="clear" w:color="auto" w:fill="DEBDEC" w:themeFill="accent4" w:themeFillTint="3F"/>
      </w:tcPr>
    </w:tblStylePr>
    <w:tblStylePr w:type="band1Horz">
      <w:tblPr/>
      <w:tcPr>
        <w:shd w:val="clear" w:color="auto" w:fill="DEBDEC" w:themeFill="accent4" w:themeFillTint="3F"/>
      </w:tcPr>
    </w:tblStylePr>
  </w:style>
  <w:style w:type="table" w:styleId="MediumList1-Accent5">
    <w:name w:val="Medium List 1 Accent 5"/>
    <w:basedOn w:val="TableNormal"/>
    <w:uiPriority w:val="65"/>
    <w:semiHidden/>
    <w:unhideWhenUsed/>
    <w:rsid w:val="00B241C2"/>
    <w:pPr>
      <w:spacing w:after="0" w:line="240" w:lineRule="auto"/>
    </w:pPr>
    <w:rPr>
      <w:rFonts w:eastAsia="Times New Roman" w:cs="Times New Roman"/>
      <w:color w:val="000000" w:themeColor="text1"/>
      <w:sz w:val="20"/>
      <w:szCs w:val="20"/>
      <w:lang w:eastAsia="en-AU"/>
    </w:rPr>
    <w:tblPr>
      <w:tblStyleRowBandSize w:val="1"/>
      <w:tblStyleColBandSize w:val="1"/>
      <w:tblBorders>
        <w:top w:val="single" w:sz="8" w:space="0" w:color="20AA4D" w:themeColor="accent5"/>
        <w:bottom w:val="single" w:sz="8" w:space="0" w:color="20AA4D" w:themeColor="accent5"/>
      </w:tblBorders>
    </w:tblPr>
    <w:tblStylePr w:type="firstRow">
      <w:rPr>
        <w:rFonts w:asciiTheme="majorHAnsi" w:eastAsiaTheme="majorEastAsia" w:hAnsiTheme="majorHAnsi" w:cstheme="majorBidi"/>
      </w:rPr>
      <w:tblPr/>
      <w:tcPr>
        <w:tcBorders>
          <w:top w:val="nil"/>
          <w:bottom w:val="single" w:sz="8" w:space="0" w:color="20AA4D" w:themeColor="accent5"/>
        </w:tcBorders>
      </w:tcPr>
    </w:tblStylePr>
    <w:tblStylePr w:type="lastRow">
      <w:rPr>
        <w:b/>
        <w:bCs/>
        <w:color w:val="1C2B39" w:themeColor="text2"/>
      </w:rPr>
      <w:tblPr/>
      <w:tcPr>
        <w:tcBorders>
          <w:top w:val="single" w:sz="8" w:space="0" w:color="20AA4D" w:themeColor="accent5"/>
          <w:bottom w:val="single" w:sz="8" w:space="0" w:color="20AA4D" w:themeColor="accent5"/>
        </w:tcBorders>
      </w:tcPr>
    </w:tblStylePr>
    <w:tblStylePr w:type="firstCol">
      <w:rPr>
        <w:b/>
        <w:bCs/>
      </w:rPr>
    </w:tblStylePr>
    <w:tblStylePr w:type="lastCol">
      <w:rPr>
        <w:b/>
        <w:bCs/>
      </w:rPr>
      <w:tblPr/>
      <w:tcPr>
        <w:tcBorders>
          <w:top w:val="single" w:sz="8" w:space="0" w:color="20AA4D" w:themeColor="accent5"/>
          <w:bottom w:val="single" w:sz="8" w:space="0" w:color="20AA4D" w:themeColor="accent5"/>
        </w:tcBorders>
      </w:tcPr>
    </w:tblStylePr>
    <w:tblStylePr w:type="band1Vert">
      <w:tblPr/>
      <w:tcPr>
        <w:shd w:val="clear" w:color="auto" w:fill="BEF3CF" w:themeFill="accent5" w:themeFillTint="3F"/>
      </w:tcPr>
    </w:tblStylePr>
    <w:tblStylePr w:type="band1Horz">
      <w:tblPr/>
      <w:tcPr>
        <w:shd w:val="clear" w:color="auto" w:fill="BEF3CF" w:themeFill="accent5" w:themeFillTint="3F"/>
      </w:tcPr>
    </w:tblStylePr>
  </w:style>
  <w:style w:type="table" w:styleId="MediumList1-Accent6">
    <w:name w:val="Medium List 1 Accent 6"/>
    <w:basedOn w:val="TableNormal"/>
    <w:uiPriority w:val="65"/>
    <w:semiHidden/>
    <w:unhideWhenUsed/>
    <w:rsid w:val="00B241C2"/>
    <w:pPr>
      <w:spacing w:after="0" w:line="240" w:lineRule="auto"/>
    </w:pPr>
    <w:rPr>
      <w:rFonts w:eastAsia="Times New Roman" w:cs="Times New Roman"/>
      <w:color w:val="000000" w:themeColor="text1"/>
      <w:sz w:val="20"/>
      <w:szCs w:val="20"/>
      <w:lang w:eastAsia="en-AU"/>
    </w:rPr>
    <w:tblPr>
      <w:tblStyleRowBandSize w:val="1"/>
      <w:tblStyleColBandSize w:val="1"/>
      <w:tblBorders>
        <w:top w:val="single" w:sz="8" w:space="0" w:color="007DB6" w:themeColor="accent6"/>
        <w:bottom w:val="single" w:sz="8" w:space="0" w:color="007DB6" w:themeColor="accent6"/>
      </w:tblBorders>
    </w:tblPr>
    <w:tblStylePr w:type="firstRow">
      <w:rPr>
        <w:rFonts w:asciiTheme="majorHAnsi" w:eastAsiaTheme="majorEastAsia" w:hAnsiTheme="majorHAnsi" w:cstheme="majorBidi"/>
      </w:rPr>
      <w:tblPr/>
      <w:tcPr>
        <w:tcBorders>
          <w:top w:val="nil"/>
          <w:bottom w:val="single" w:sz="8" w:space="0" w:color="007DB6" w:themeColor="accent6"/>
        </w:tcBorders>
      </w:tcPr>
    </w:tblStylePr>
    <w:tblStylePr w:type="lastRow">
      <w:rPr>
        <w:b/>
        <w:bCs/>
        <w:color w:val="1C2B39" w:themeColor="text2"/>
      </w:rPr>
      <w:tblPr/>
      <w:tcPr>
        <w:tcBorders>
          <w:top w:val="single" w:sz="8" w:space="0" w:color="007DB6" w:themeColor="accent6"/>
          <w:bottom w:val="single" w:sz="8" w:space="0" w:color="007DB6" w:themeColor="accent6"/>
        </w:tcBorders>
      </w:tcPr>
    </w:tblStylePr>
    <w:tblStylePr w:type="firstCol">
      <w:rPr>
        <w:b/>
        <w:bCs/>
      </w:rPr>
    </w:tblStylePr>
    <w:tblStylePr w:type="lastCol">
      <w:rPr>
        <w:b/>
        <w:bCs/>
      </w:rPr>
      <w:tblPr/>
      <w:tcPr>
        <w:tcBorders>
          <w:top w:val="single" w:sz="8" w:space="0" w:color="007DB6" w:themeColor="accent6"/>
          <w:bottom w:val="single" w:sz="8" w:space="0" w:color="007DB6" w:themeColor="accent6"/>
        </w:tcBorders>
      </w:tcPr>
    </w:tblStylePr>
    <w:tblStylePr w:type="band1Vert">
      <w:tblPr/>
      <w:tcPr>
        <w:shd w:val="clear" w:color="auto" w:fill="ADE5FF" w:themeFill="accent6" w:themeFillTint="3F"/>
      </w:tcPr>
    </w:tblStylePr>
    <w:tblStylePr w:type="band1Horz">
      <w:tblPr/>
      <w:tcPr>
        <w:shd w:val="clear" w:color="auto" w:fill="ADE5FF" w:themeFill="accent6" w:themeFillTint="3F"/>
      </w:tcPr>
    </w:tblStylePr>
  </w:style>
  <w:style w:type="table" w:styleId="MediumList2">
    <w:name w:val="Medium List 2"/>
    <w:basedOn w:val="TableNormal"/>
    <w:uiPriority w:val="66"/>
    <w:semiHidden/>
    <w:unhideWhenUsed/>
    <w:rsid w:val="00B241C2"/>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B241C2"/>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D7D8D6" w:themeColor="accent1"/>
        <w:left w:val="single" w:sz="8" w:space="0" w:color="D7D8D6" w:themeColor="accent1"/>
        <w:bottom w:val="single" w:sz="8" w:space="0" w:color="D7D8D6" w:themeColor="accent1"/>
        <w:right w:val="single" w:sz="8" w:space="0" w:color="D7D8D6" w:themeColor="accent1"/>
      </w:tblBorders>
    </w:tblPr>
    <w:tblStylePr w:type="firstRow">
      <w:rPr>
        <w:sz w:val="24"/>
        <w:szCs w:val="24"/>
      </w:rPr>
      <w:tblPr/>
      <w:tcPr>
        <w:tcBorders>
          <w:top w:val="nil"/>
          <w:left w:val="nil"/>
          <w:bottom w:val="single" w:sz="24" w:space="0" w:color="D7D8D6" w:themeColor="accent1"/>
          <w:right w:val="nil"/>
          <w:insideH w:val="nil"/>
          <w:insideV w:val="nil"/>
        </w:tcBorders>
        <w:shd w:val="clear" w:color="auto" w:fill="FFFFFF" w:themeFill="background1"/>
      </w:tcPr>
    </w:tblStylePr>
    <w:tblStylePr w:type="lastRow">
      <w:tblPr/>
      <w:tcPr>
        <w:tcBorders>
          <w:top w:val="single" w:sz="8" w:space="0" w:color="D7D8D6"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7D8D6" w:themeColor="accent1"/>
          <w:insideH w:val="nil"/>
          <w:insideV w:val="nil"/>
        </w:tcBorders>
        <w:shd w:val="clear" w:color="auto" w:fill="FFFFFF" w:themeFill="background1"/>
      </w:tcPr>
    </w:tblStylePr>
    <w:tblStylePr w:type="lastCol">
      <w:tblPr/>
      <w:tcPr>
        <w:tcBorders>
          <w:top w:val="nil"/>
          <w:left w:val="single" w:sz="8" w:space="0" w:color="D7D8D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5F4" w:themeFill="accent1" w:themeFillTint="3F"/>
      </w:tcPr>
    </w:tblStylePr>
    <w:tblStylePr w:type="band1Horz">
      <w:tblPr/>
      <w:tcPr>
        <w:tcBorders>
          <w:top w:val="nil"/>
          <w:bottom w:val="nil"/>
          <w:insideH w:val="nil"/>
          <w:insideV w:val="nil"/>
        </w:tcBorders>
        <w:shd w:val="clear" w:color="auto" w:fill="F4F5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B241C2"/>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FFC709" w:themeColor="accent2"/>
        <w:left w:val="single" w:sz="8" w:space="0" w:color="FFC709" w:themeColor="accent2"/>
        <w:bottom w:val="single" w:sz="8" w:space="0" w:color="FFC709" w:themeColor="accent2"/>
        <w:right w:val="single" w:sz="8" w:space="0" w:color="FFC709" w:themeColor="accent2"/>
      </w:tblBorders>
    </w:tblPr>
    <w:tblStylePr w:type="firstRow">
      <w:rPr>
        <w:sz w:val="24"/>
        <w:szCs w:val="24"/>
      </w:rPr>
      <w:tblPr/>
      <w:tcPr>
        <w:tcBorders>
          <w:top w:val="nil"/>
          <w:left w:val="nil"/>
          <w:bottom w:val="single" w:sz="24" w:space="0" w:color="FFC709" w:themeColor="accent2"/>
          <w:right w:val="nil"/>
          <w:insideH w:val="nil"/>
          <w:insideV w:val="nil"/>
        </w:tcBorders>
        <w:shd w:val="clear" w:color="auto" w:fill="FFFFFF" w:themeFill="background1"/>
      </w:tcPr>
    </w:tblStylePr>
    <w:tblStylePr w:type="lastRow">
      <w:tblPr/>
      <w:tcPr>
        <w:tcBorders>
          <w:top w:val="single" w:sz="8" w:space="0" w:color="FFC709"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709" w:themeColor="accent2"/>
          <w:insideH w:val="nil"/>
          <w:insideV w:val="nil"/>
        </w:tcBorders>
        <w:shd w:val="clear" w:color="auto" w:fill="FFFFFF" w:themeFill="background1"/>
      </w:tcPr>
    </w:tblStylePr>
    <w:tblStylePr w:type="lastCol">
      <w:tblPr/>
      <w:tcPr>
        <w:tcBorders>
          <w:top w:val="nil"/>
          <w:left w:val="single" w:sz="8" w:space="0" w:color="FFC709"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0C2" w:themeFill="accent2" w:themeFillTint="3F"/>
      </w:tcPr>
    </w:tblStylePr>
    <w:tblStylePr w:type="band1Horz">
      <w:tblPr/>
      <w:tcPr>
        <w:tcBorders>
          <w:top w:val="nil"/>
          <w:bottom w:val="nil"/>
          <w:insideH w:val="nil"/>
          <w:insideV w:val="nil"/>
        </w:tcBorders>
        <w:shd w:val="clear" w:color="auto" w:fill="FFF0C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B241C2"/>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CD163F" w:themeColor="accent3"/>
        <w:left w:val="single" w:sz="8" w:space="0" w:color="CD163F" w:themeColor="accent3"/>
        <w:bottom w:val="single" w:sz="8" w:space="0" w:color="CD163F" w:themeColor="accent3"/>
        <w:right w:val="single" w:sz="8" w:space="0" w:color="CD163F" w:themeColor="accent3"/>
      </w:tblBorders>
    </w:tblPr>
    <w:tblStylePr w:type="firstRow">
      <w:rPr>
        <w:sz w:val="24"/>
        <w:szCs w:val="24"/>
      </w:rPr>
      <w:tblPr/>
      <w:tcPr>
        <w:tcBorders>
          <w:top w:val="nil"/>
          <w:left w:val="nil"/>
          <w:bottom w:val="single" w:sz="24" w:space="0" w:color="CD163F" w:themeColor="accent3"/>
          <w:right w:val="nil"/>
          <w:insideH w:val="nil"/>
          <w:insideV w:val="nil"/>
        </w:tcBorders>
        <w:shd w:val="clear" w:color="auto" w:fill="FFFFFF" w:themeFill="background1"/>
      </w:tcPr>
    </w:tblStylePr>
    <w:tblStylePr w:type="lastRow">
      <w:tblPr/>
      <w:tcPr>
        <w:tcBorders>
          <w:top w:val="single" w:sz="8" w:space="0" w:color="CD163F"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D163F" w:themeColor="accent3"/>
          <w:insideH w:val="nil"/>
          <w:insideV w:val="nil"/>
        </w:tcBorders>
        <w:shd w:val="clear" w:color="auto" w:fill="FFFFFF" w:themeFill="background1"/>
      </w:tcPr>
    </w:tblStylePr>
    <w:tblStylePr w:type="lastCol">
      <w:tblPr/>
      <w:tcPr>
        <w:tcBorders>
          <w:top w:val="nil"/>
          <w:left w:val="single" w:sz="8" w:space="0" w:color="CD163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BFCC" w:themeFill="accent3" w:themeFillTint="3F"/>
      </w:tcPr>
    </w:tblStylePr>
    <w:tblStylePr w:type="band1Horz">
      <w:tblPr/>
      <w:tcPr>
        <w:tcBorders>
          <w:top w:val="nil"/>
          <w:bottom w:val="nil"/>
          <w:insideH w:val="nil"/>
          <w:insideV w:val="nil"/>
        </w:tcBorders>
        <w:shd w:val="clear" w:color="auto" w:fill="F8BFCC"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B241C2"/>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692686" w:themeColor="accent4"/>
        <w:left w:val="single" w:sz="8" w:space="0" w:color="692686" w:themeColor="accent4"/>
        <w:bottom w:val="single" w:sz="8" w:space="0" w:color="692686" w:themeColor="accent4"/>
        <w:right w:val="single" w:sz="8" w:space="0" w:color="692686" w:themeColor="accent4"/>
      </w:tblBorders>
    </w:tblPr>
    <w:tblStylePr w:type="firstRow">
      <w:rPr>
        <w:sz w:val="24"/>
        <w:szCs w:val="24"/>
      </w:rPr>
      <w:tblPr/>
      <w:tcPr>
        <w:tcBorders>
          <w:top w:val="nil"/>
          <w:left w:val="nil"/>
          <w:bottom w:val="single" w:sz="24" w:space="0" w:color="692686" w:themeColor="accent4"/>
          <w:right w:val="nil"/>
          <w:insideH w:val="nil"/>
          <w:insideV w:val="nil"/>
        </w:tcBorders>
        <w:shd w:val="clear" w:color="auto" w:fill="FFFFFF" w:themeFill="background1"/>
      </w:tcPr>
    </w:tblStylePr>
    <w:tblStylePr w:type="lastRow">
      <w:tblPr/>
      <w:tcPr>
        <w:tcBorders>
          <w:top w:val="single" w:sz="8" w:space="0" w:color="692686"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92686" w:themeColor="accent4"/>
          <w:insideH w:val="nil"/>
          <w:insideV w:val="nil"/>
        </w:tcBorders>
        <w:shd w:val="clear" w:color="auto" w:fill="FFFFFF" w:themeFill="background1"/>
      </w:tcPr>
    </w:tblStylePr>
    <w:tblStylePr w:type="lastCol">
      <w:tblPr/>
      <w:tcPr>
        <w:tcBorders>
          <w:top w:val="nil"/>
          <w:left w:val="single" w:sz="8" w:space="0" w:color="69268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BDEC" w:themeFill="accent4" w:themeFillTint="3F"/>
      </w:tcPr>
    </w:tblStylePr>
    <w:tblStylePr w:type="band1Horz">
      <w:tblPr/>
      <w:tcPr>
        <w:tcBorders>
          <w:top w:val="nil"/>
          <w:bottom w:val="nil"/>
          <w:insideH w:val="nil"/>
          <w:insideV w:val="nil"/>
        </w:tcBorders>
        <w:shd w:val="clear" w:color="auto" w:fill="DEBDEC"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B241C2"/>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20AA4D" w:themeColor="accent5"/>
        <w:left w:val="single" w:sz="8" w:space="0" w:color="20AA4D" w:themeColor="accent5"/>
        <w:bottom w:val="single" w:sz="8" w:space="0" w:color="20AA4D" w:themeColor="accent5"/>
        <w:right w:val="single" w:sz="8" w:space="0" w:color="20AA4D" w:themeColor="accent5"/>
      </w:tblBorders>
    </w:tblPr>
    <w:tblStylePr w:type="firstRow">
      <w:rPr>
        <w:sz w:val="24"/>
        <w:szCs w:val="24"/>
      </w:rPr>
      <w:tblPr/>
      <w:tcPr>
        <w:tcBorders>
          <w:top w:val="nil"/>
          <w:left w:val="nil"/>
          <w:bottom w:val="single" w:sz="24" w:space="0" w:color="20AA4D" w:themeColor="accent5"/>
          <w:right w:val="nil"/>
          <w:insideH w:val="nil"/>
          <w:insideV w:val="nil"/>
        </w:tcBorders>
        <w:shd w:val="clear" w:color="auto" w:fill="FFFFFF" w:themeFill="background1"/>
      </w:tcPr>
    </w:tblStylePr>
    <w:tblStylePr w:type="lastRow">
      <w:tblPr/>
      <w:tcPr>
        <w:tcBorders>
          <w:top w:val="single" w:sz="8" w:space="0" w:color="20AA4D"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AA4D" w:themeColor="accent5"/>
          <w:insideH w:val="nil"/>
          <w:insideV w:val="nil"/>
        </w:tcBorders>
        <w:shd w:val="clear" w:color="auto" w:fill="FFFFFF" w:themeFill="background1"/>
      </w:tcPr>
    </w:tblStylePr>
    <w:tblStylePr w:type="lastCol">
      <w:tblPr/>
      <w:tcPr>
        <w:tcBorders>
          <w:top w:val="nil"/>
          <w:left w:val="single" w:sz="8" w:space="0" w:color="20AA4D"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EF3CF" w:themeFill="accent5" w:themeFillTint="3F"/>
      </w:tcPr>
    </w:tblStylePr>
    <w:tblStylePr w:type="band1Horz">
      <w:tblPr/>
      <w:tcPr>
        <w:tcBorders>
          <w:top w:val="nil"/>
          <w:bottom w:val="nil"/>
          <w:insideH w:val="nil"/>
          <w:insideV w:val="nil"/>
        </w:tcBorders>
        <w:shd w:val="clear" w:color="auto" w:fill="BEF3C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B241C2"/>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007DB6" w:themeColor="accent6"/>
        <w:left w:val="single" w:sz="8" w:space="0" w:color="007DB6" w:themeColor="accent6"/>
        <w:bottom w:val="single" w:sz="8" w:space="0" w:color="007DB6" w:themeColor="accent6"/>
        <w:right w:val="single" w:sz="8" w:space="0" w:color="007DB6" w:themeColor="accent6"/>
      </w:tblBorders>
    </w:tblPr>
    <w:tblStylePr w:type="firstRow">
      <w:rPr>
        <w:sz w:val="24"/>
        <w:szCs w:val="24"/>
      </w:rPr>
      <w:tblPr/>
      <w:tcPr>
        <w:tcBorders>
          <w:top w:val="nil"/>
          <w:left w:val="nil"/>
          <w:bottom w:val="single" w:sz="24" w:space="0" w:color="007DB6" w:themeColor="accent6"/>
          <w:right w:val="nil"/>
          <w:insideH w:val="nil"/>
          <w:insideV w:val="nil"/>
        </w:tcBorders>
        <w:shd w:val="clear" w:color="auto" w:fill="FFFFFF" w:themeFill="background1"/>
      </w:tcPr>
    </w:tblStylePr>
    <w:tblStylePr w:type="lastRow">
      <w:tblPr/>
      <w:tcPr>
        <w:tcBorders>
          <w:top w:val="single" w:sz="8" w:space="0" w:color="007DB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DB6" w:themeColor="accent6"/>
          <w:insideH w:val="nil"/>
          <w:insideV w:val="nil"/>
        </w:tcBorders>
        <w:shd w:val="clear" w:color="auto" w:fill="FFFFFF" w:themeFill="background1"/>
      </w:tcPr>
    </w:tblStylePr>
    <w:tblStylePr w:type="lastCol">
      <w:tblPr/>
      <w:tcPr>
        <w:tcBorders>
          <w:top w:val="nil"/>
          <w:left w:val="single" w:sz="8" w:space="0" w:color="007DB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DE5FF" w:themeFill="accent6" w:themeFillTint="3F"/>
      </w:tcPr>
    </w:tblStylePr>
    <w:tblStylePr w:type="band1Horz">
      <w:tblPr/>
      <w:tcPr>
        <w:tcBorders>
          <w:top w:val="nil"/>
          <w:bottom w:val="nil"/>
          <w:insideH w:val="nil"/>
          <w:insideV w:val="nil"/>
        </w:tcBorders>
        <w:shd w:val="clear" w:color="auto" w:fill="ADE5F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unhideWhenUsed/>
    <w:rsid w:val="00B241C2"/>
    <w:pPr>
      <w:spacing w:after="0" w:line="240" w:lineRule="auto"/>
    </w:pPr>
    <w:rPr>
      <w:rFonts w:eastAsia="Times New Roman" w:cs="Times New Roman"/>
      <w:sz w:val="20"/>
      <w:szCs w:val="20"/>
      <w:lang w:eastAsia="en-AU"/>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B241C2"/>
    <w:pPr>
      <w:spacing w:after="0" w:line="240" w:lineRule="auto"/>
    </w:pPr>
    <w:rPr>
      <w:rFonts w:eastAsia="Times New Roman" w:cs="Times New Roman"/>
      <w:sz w:val="20"/>
      <w:szCs w:val="20"/>
      <w:lang w:eastAsia="en-AU"/>
    </w:rPr>
    <w:tblPr>
      <w:tblStyleRowBandSize w:val="1"/>
      <w:tblStyleColBandSize w:val="1"/>
      <w:tblBorders>
        <w:top w:val="single" w:sz="8" w:space="0" w:color="E0E1E0" w:themeColor="accent1" w:themeTint="BF"/>
        <w:left w:val="single" w:sz="8" w:space="0" w:color="E0E1E0" w:themeColor="accent1" w:themeTint="BF"/>
        <w:bottom w:val="single" w:sz="8" w:space="0" w:color="E0E1E0" w:themeColor="accent1" w:themeTint="BF"/>
        <w:right w:val="single" w:sz="8" w:space="0" w:color="E0E1E0" w:themeColor="accent1" w:themeTint="BF"/>
        <w:insideH w:val="single" w:sz="8" w:space="0" w:color="E0E1E0" w:themeColor="accent1" w:themeTint="BF"/>
      </w:tblBorders>
    </w:tblPr>
    <w:tblStylePr w:type="firstRow">
      <w:pPr>
        <w:spacing w:before="0" w:after="0" w:line="240" w:lineRule="auto"/>
      </w:pPr>
      <w:rPr>
        <w:b/>
        <w:bCs/>
        <w:color w:val="FFFFFF" w:themeColor="background1"/>
      </w:rPr>
      <w:tblPr/>
      <w:tcPr>
        <w:tcBorders>
          <w:top w:val="single" w:sz="8" w:space="0" w:color="E0E1E0" w:themeColor="accent1" w:themeTint="BF"/>
          <w:left w:val="single" w:sz="8" w:space="0" w:color="E0E1E0" w:themeColor="accent1" w:themeTint="BF"/>
          <w:bottom w:val="single" w:sz="8" w:space="0" w:color="E0E1E0" w:themeColor="accent1" w:themeTint="BF"/>
          <w:right w:val="single" w:sz="8" w:space="0" w:color="E0E1E0" w:themeColor="accent1" w:themeTint="BF"/>
          <w:insideH w:val="nil"/>
          <w:insideV w:val="nil"/>
        </w:tcBorders>
        <w:shd w:val="clear" w:color="auto" w:fill="D7D8D6" w:themeFill="accent1"/>
      </w:tcPr>
    </w:tblStylePr>
    <w:tblStylePr w:type="lastRow">
      <w:pPr>
        <w:spacing w:before="0" w:after="0" w:line="240" w:lineRule="auto"/>
      </w:pPr>
      <w:rPr>
        <w:b/>
        <w:bCs/>
      </w:rPr>
      <w:tblPr/>
      <w:tcPr>
        <w:tcBorders>
          <w:top w:val="double" w:sz="6" w:space="0" w:color="E0E1E0" w:themeColor="accent1" w:themeTint="BF"/>
          <w:left w:val="single" w:sz="8" w:space="0" w:color="E0E1E0" w:themeColor="accent1" w:themeTint="BF"/>
          <w:bottom w:val="single" w:sz="8" w:space="0" w:color="E0E1E0" w:themeColor="accent1" w:themeTint="BF"/>
          <w:right w:val="single" w:sz="8" w:space="0" w:color="E0E1E0" w:themeColor="accent1" w:themeTint="BF"/>
          <w:insideH w:val="nil"/>
          <w:insideV w:val="nil"/>
        </w:tcBorders>
      </w:tcPr>
    </w:tblStylePr>
    <w:tblStylePr w:type="firstCol">
      <w:rPr>
        <w:b/>
        <w:bCs/>
      </w:rPr>
    </w:tblStylePr>
    <w:tblStylePr w:type="lastCol">
      <w:rPr>
        <w:b/>
        <w:bCs/>
      </w:rPr>
    </w:tblStylePr>
    <w:tblStylePr w:type="band1Vert">
      <w:tblPr/>
      <w:tcPr>
        <w:shd w:val="clear" w:color="auto" w:fill="F4F5F4" w:themeFill="accent1" w:themeFillTint="3F"/>
      </w:tcPr>
    </w:tblStylePr>
    <w:tblStylePr w:type="band1Horz">
      <w:tblPr/>
      <w:tcPr>
        <w:tcBorders>
          <w:insideH w:val="nil"/>
          <w:insideV w:val="nil"/>
        </w:tcBorders>
        <w:shd w:val="clear" w:color="auto" w:fill="F4F5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B241C2"/>
    <w:pPr>
      <w:spacing w:after="0" w:line="240" w:lineRule="auto"/>
    </w:pPr>
    <w:rPr>
      <w:rFonts w:eastAsia="Times New Roman" w:cs="Times New Roman"/>
      <w:sz w:val="20"/>
      <w:szCs w:val="20"/>
      <w:lang w:eastAsia="en-AU"/>
    </w:rPr>
    <w:tblPr>
      <w:tblStyleRowBandSize w:val="1"/>
      <w:tblStyleColBandSize w:val="1"/>
      <w:tblBorders>
        <w:top w:val="single" w:sz="8" w:space="0" w:color="FFD446" w:themeColor="accent2" w:themeTint="BF"/>
        <w:left w:val="single" w:sz="8" w:space="0" w:color="FFD446" w:themeColor="accent2" w:themeTint="BF"/>
        <w:bottom w:val="single" w:sz="8" w:space="0" w:color="FFD446" w:themeColor="accent2" w:themeTint="BF"/>
        <w:right w:val="single" w:sz="8" w:space="0" w:color="FFD446" w:themeColor="accent2" w:themeTint="BF"/>
        <w:insideH w:val="single" w:sz="8" w:space="0" w:color="FFD446" w:themeColor="accent2" w:themeTint="BF"/>
      </w:tblBorders>
    </w:tblPr>
    <w:tblStylePr w:type="firstRow">
      <w:pPr>
        <w:spacing w:before="0" w:after="0" w:line="240" w:lineRule="auto"/>
      </w:pPr>
      <w:rPr>
        <w:b/>
        <w:bCs/>
        <w:color w:val="FFFFFF" w:themeColor="background1"/>
      </w:rPr>
      <w:tblPr/>
      <w:tcPr>
        <w:tcBorders>
          <w:top w:val="single" w:sz="8" w:space="0" w:color="FFD446" w:themeColor="accent2" w:themeTint="BF"/>
          <w:left w:val="single" w:sz="8" w:space="0" w:color="FFD446" w:themeColor="accent2" w:themeTint="BF"/>
          <w:bottom w:val="single" w:sz="8" w:space="0" w:color="FFD446" w:themeColor="accent2" w:themeTint="BF"/>
          <w:right w:val="single" w:sz="8" w:space="0" w:color="FFD446" w:themeColor="accent2" w:themeTint="BF"/>
          <w:insideH w:val="nil"/>
          <w:insideV w:val="nil"/>
        </w:tcBorders>
        <w:shd w:val="clear" w:color="auto" w:fill="FFC709" w:themeFill="accent2"/>
      </w:tcPr>
    </w:tblStylePr>
    <w:tblStylePr w:type="lastRow">
      <w:pPr>
        <w:spacing w:before="0" w:after="0" w:line="240" w:lineRule="auto"/>
      </w:pPr>
      <w:rPr>
        <w:b/>
        <w:bCs/>
      </w:rPr>
      <w:tblPr/>
      <w:tcPr>
        <w:tcBorders>
          <w:top w:val="double" w:sz="6" w:space="0" w:color="FFD446" w:themeColor="accent2" w:themeTint="BF"/>
          <w:left w:val="single" w:sz="8" w:space="0" w:color="FFD446" w:themeColor="accent2" w:themeTint="BF"/>
          <w:bottom w:val="single" w:sz="8" w:space="0" w:color="FFD446" w:themeColor="accent2" w:themeTint="BF"/>
          <w:right w:val="single" w:sz="8" w:space="0" w:color="FFD446"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F0C2" w:themeFill="accent2" w:themeFillTint="3F"/>
      </w:tcPr>
    </w:tblStylePr>
    <w:tblStylePr w:type="band1Horz">
      <w:tblPr/>
      <w:tcPr>
        <w:tcBorders>
          <w:insideH w:val="nil"/>
          <w:insideV w:val="nil"/>
        </w:tcBorders>
        <w:shd w:val="clear" w:color="auto" w:fill="FFF0C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B241C2"/>
    <w:pPr>
      <w:spacing w:after="0" w:line="240" w:lineRule="auto"/>
    </w:pPr>
    <w:rPr>
      <w:rFonts w:eastAsia="Times New Roman" w:cs="Times New Roman"/>
      <w:sz w:val="20"/>
      <w:szCs w:val="20"/>
      <w:lang w:eastAsia="en-AU"/>
    </w:rPr>
    <w:tblPr>
      <w:tblStyleRowBandSize w:val="1"/>
      <w:tblStyleColBandSize w:val="1"/>
      <w:tblBorders>
        <w:top w:val="single" w:sz="8" w:space="0" w:color="EA3F65" w:themeColor="accent3" w:themeTint="BF"/>
        <w:left w:val="single" w:sz="8" w:space="0" w:color="EA3F65" w:themeColor="accent3" w:themeTint="BF"/>
        <w:bottom w:val="single" w:sz="8" w:space="0" w:color="EA3F65" w:themeColor="accent3" w:themeTint="BF"/>
        <w:right w:val="single" w:sz="8" w:space="0" w:color="EA3F65" w:themeColor="accent3" w:themeTint="BF"/>
        <w:insideH w:val="single" w:sz="8" w:space="0" w:color="EA3F65" w:themeColor="accent3" w:themeTint="BF"/>
      </w:tblBorders>
    </w:tblPr>
    <w:tblStylePr w:type="firstRow">
      <w:pPr>
        <w:spacing w:before="0" w:after="0" w:line="240" w:lineRule="auto"/>
      </w:pPr>
      <w:rPr>
        <w:b/>
        <w:bCs/>
        <w:color w:val="FFFFFF" w:themeColor="background1"/>
      </w:rPr>
      <w:tblPr/>
      <w:tcPr>
        <w:tcBorders>
          <w:top w:val="single" w:sz="8" w:space="0" w:color="EA3F65" w:themeColor="accent3" w:themeTint="BF"/>
          <w:left w:val="single" w:sz="8" w:space="0" w:color="EA3F65" w:themeColor="accent3" w:themeTint="BF"/>
          <w:bottom w:val="single" w:sz="8" w:space="0" w:color="EA3F65" w:themeColor="accent3" w:themeTint="BF"/>
          <w:right w:val="single" w:sz="8" w:space="0" w:color="EA3F65" w:themeColor="accent3" w:themeTint="BF"/>
          <w:insideH w:val="nil"/>
          <w:insideV w:val="nil"/>
        </w:tcBorders>
        <w:shd w:val="clear" w:color="auto" w:fill="CD163F" w:themeFill="accent3"/>
      </w:tcPr>
    </w:tblStylePr>
    <w:tblStylePr w:type="lastRow">
      <w:pPr>
        <w:spacing w:before="0" w:after="0" w:line="240" w:lineRule="auto"/>
      </w:pPr>
      <w:rPr>
        <w:b/>
        <w:bCs/>
      </w:rPr>
      <w:tblPr/>
      <w:tcPr>
        <w:tcBorders>
          <w:top w:val="double" w:sz="6" w:space="0" w:color="EA3F65" w:themeColor="accent3" w:themeTint="BF"/>
          <w:left w:val="single" w:sz="8" w:space="0" w:color="EA3F65" w:themeColor="accent3" w:themeTint="BF"/>
          <w:bottom w:val="single" w:sz="8" w:space="0" w:color="EA3F65" w:themeColor="accent3" w:themeTint="BF"/>
          <w:right w:val="single" w:sz="8" w:space="0" w:color="EA3F65" w:themeColor="accent3" w:themeTint="BF"/>
          <w:insideH w:val="nil"/>
          <w:insideV w:val="nil"/>
        </w:tcBorders>
      </w:tcPr>
    </w:tblStylePr>
    <w:tblStylePr w:type="firstCol">
      <w:rPr>
        <w:b/>
        <w:bCs/>
      </w:rPr>
    </w:tblStylePr>
    <w:tblStylePr w:type="lastCol">
      <w:rPr>
        <w:b/>
        <w:bCs/>
      </w:rPr>
    </w:tblStylePr>
    <w:tblStylePr w:type="band1Vert">
      <w:tblPr/>
      <w:tcPr>
        <w:shd w:val="clear" w:color="auto" w:fill="F8BFCC" w:themeFill="accent3" w:themeFillTint="3F"/>
      </w:tcPr>
    </w:tblStylePr>
    <w:tblStylePr w:type="band1Horz">
      <w:tblPr/>
      <w:tcPr>
        <w:tcBorders>
          <w:insideH w:val="nil"/>
          <w:insideV w:val="nil"/>
        </w:tcBorders>
        <w:shd w:val="clear" w:color="auto" w:fill="F8BFCC"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B241C2"/>
    <w:pPr>
      <w:spacing w:after="0" w:line="240" w:lineRule="auto"/>
    </w:pPr>
    <w:rPr>
      <w:rFonts w:eastAsia="Times New Roman" w:cs="Times New Roman"/>
      <w:sz w:val="20"/>
      <w:szCs w:val="20"/>
      <w:lang w:eastAsia="en-AU"/>
    </w:rPr>
    <w:tblPr>
      <w:tblStyleRowBandSize w:val="1"/>
      <w:tblStyleColBandSize w:val="1"/>
      <w:tblBorders>
        <w:top w:val="single" w:sz="8" w:space="0" w:color="9B39C7" w:themeColor="accent4" w:themeTint="BF"/>
        <w:left w:val="single" w:sz="8" w:space="0" w:color="9B39C7" w:themeColor="accent4" w:themeTint="BF"/>
        <w:bottom w:val="single" w:sz="8" w:space="0" w:color="9B39C7" w:themeColor="accent4" w:themeTint="BF"/>
        <w:right w:val="single" w:sz="8" w:space="0" w:color="9B39C7" w:themeColor="accent4" w:themeTint="BF"/>
        <w:insideH w:val="single" w:sz="8" w:space="0" w:color="9B39C7" w:themeColor="accent4" w:themeTint="BF"/>
      </w:tblBorders>
    </w:tblPr>
    <w:tblStylePr w:type="firstRow">
      <w:pPr>
        <w:spacing w:before="0" w:after="0" w:line="240" w:lineRule="auto"/>
      </w:pPr>
      <w:rPr>
        <w:b/>
        <w:bCs/>
        <w:color w:val="FFFFFF" w:themeColor="background1"/>
      </w:rPr>
      <w:tblPr/>
      <w:tcPr>
        <w:tcBorders>
          <w:top w:val="single" w:sz="8" w:space="0" w:color="9B39C7" w:themeColor="accent4" w:themeTint="BF"/>
          <w:left w:val="single" w:sz="8" w:space="0" w:color="9B39C7" w:themeColor="accent4" w:themeTint="BF"/>
          <w:bottom w:val="single" w:sz="8" w:space="0" w:color="9B39C7" w:themeColor="accent4" w:themeTint="BF"/>
          <w:right w:val="single" w:sz="8" w:space="0" w:color="9B39C7" w:themeColor="accent4" w:themeTint="BF"/>
          <w:insideH w:val="nil"/>
          <w:insideV w:val="nil"/>
        </w:tcBorders>
        <w:shd w:val="clear" w:color="auto" w:fill="692686" w:themeFill="accent4"/>
      </w:tcPr>
    </w:tblStylePr>
    <w:tblStylePr w:type="lastRow">
      <w:pPr>
        <w:spacing w:before="0" w:after="0" w:line="240" w:lineRule="auto"/>
      </w:pPr>
      <w:rPr>
        <w:b/>
        <w:bCs/>
      </w:rPr>
      <w:tblPr/>
      <w:tcPr>
        <w:tcBorders>
          <w:top w:val="double" w:sz="6" w:space="0" w:color="9B39C7" w:themeColor="accent4" w:themeTint="BF"/>
          <w:left w:val="single" w:sz="8" w:space="0" w:color="9B39C7" w:themeColor="accent4" w:themeTint="BF"/>
          <w:bottom w:val="single" w:sz="8" w:space="0" w:color="9B39C7" w:themeColor="accent4" w:themeTint="BF"/>
          <w:right w:val="single" w:sz="8" w:space="0" w:color="9B39C7" w:themeColor="accent4" w:themeTint="BF"/>
          <w:insideH w:val="nil"/>
          <w:insideV w:val="nil"/>
        </w:tcBorders>
      </w:tcPr>
    </w:tblStylePr>
    <w:tblStylePr w:type="firstCol">
      <w:rPr>
        <w:b/>
        <w:bCs/>
      </w:rPr>
    </w:tblStylePr>
    <w:tblStylePr w:type="lastCol">
      <w:rPr>
        <w:b/>
        <w:bCs/>
      </w:rPr>
    </w:tblStylePr>
    <w:tblStylePr w:type="band1Vert">
      <w:tblPr/>
      <w:tcPr>
        <w:shd w:val="clear" w:color="auto" w:fill="DEBDEC" w:themeFill="accent4" w:themeFillTint="3F"/>
      </w:tcPr>
    </w:tblStylePr>
    <w:tblStylePr w:type="band1Horz">
      <w:tblPr/>
      <w:tcPr>
        <w:tcBorders>
          <w:insideH w:val="nil"/>
          <w:insideV w:val="nil"/>
        </w:tcBorders>
        <w:shd w:val="clear" w:color="auto" w:fill="DEBDEC"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B241C2"/>
    <w:pPr>
      <w:spacing w:after="0" w:line="240" w:lineRule="auto"/>
    </w:pPr>
    <w:rPr>
      <w:rFonts w:eastAsia="Times New Roman" w:cs="Times New Roman"/>
      <w:sz w:val="20"/>
      <w:szCs w:val="20"/>
      <w:lang w:eastAsia="en-AU"/>
    </w:rPr>
    <w:tblPr>
      <w:tblStyleRowBandSize w:val="1"/>
      <w:tblStyleColBandSize w:val="1"/>
      <w:tblBorders>
        <w:top w:val="single" w:sz="8" w:space="0" w:color="3CDA6F" w:themeColor="accent5" w:themeTint="BF"/>
        <w:left w:val="single" w:sz="8" w:space="0" w:color="3CDA6F" w:themeColor="accent5" w:themeTint="BF"/>
        <w:bottom w:val="single" w:sz="8" w:space="0" w:color="3CDA6F" w:themeColor="accent5" w:themeTint="BF"/>
        <w:right w:val="single" w:sz="8" w:space="0" w:color="3CDA6F" w:themeColor="accent5" w:themeTint="BF"/>
        <w:insideH w:val="single" w:sz="8" w:space="0" w:color="3CDA6F" w:themeColor="accent5" w:themeTint="BF"/>
      </w:tblBorders>
    </w:tblPr>
    <w:tblStylePr w:type="firstRow">
      <w:pPr>
        <w:spacing w:before="0" w:after="0" w:line="240" w:lineRule="auto"/>
      </w:pPr>
      <w:rPr>
        <w:b/>
        <w:bCs/>
        <w:color w:val="FFFFFF" w:themeColor="background1"/>
      </w:rPr>
      <w:tblPr/>
      <w:tcPr>
        <w:tcBorders>
          <w:top w:val="single" w:sz="8" w:space="0" w:color="3CDA6F" w:themeColor="accent5" w:themeTint="BF"/>
          <w:left w:val="single" w:sz="8" w:space="0" w:color="3CDA6F" w:themeColor="accent5" w:themeTint="BF"/>
          <w:bottom w:val="single" w:sz="8" w:space="0" w:color="3CDA6F" w:themeColor="accent5" w:themeTint="BF"/>
          <w:right w:val="single" w:sz="8" w:space="0" w:color="3CDA6F" w:themeColor="accent5" w:themeTint="BF"/>
          <w:insideH w:val="nil"/>
          <w:insideV w:val="nil"/>
        </w:tcBorders>
        <w:shd w:val="clear" w:color="auto" w:fill="20AA4D" w:themeFill="accent5"/>
      </w:tcPr>
    </w:tblStylePr>
    <w:tblStylePr w:type="lastRow">
      <w:pPr>
        <w:spacing w:before="0" w:after="0" w:line="240" w:lineRule="auto"/>
      </w:pPr>
      <w:rPr>
        <w:b/>
        <w:bCs/>
      </w:rPr>
      <w:tblPr/>
      <w:tcPr>
        <w:tcBorders>
          <w:top w:val="double" w:sz="6" w:space="0" w:color="3CDA6F" w:themeColor="accent5" w:themeTint="BF"/>
          <w:left w:val="single" w:sz="8" w:space="0" w:color="3CDA6F" w:themeColor="accent5" w:themeTint="BF"/>
          <w:bottom w:val="single" w:sz="8" w:space="0" w:color="3CDA6F" w:themeColor="accent5" w:themeTint="BF"/>
          <w:right w:val="single" w:sz="8" w:space="0" w:color="3CDA6F" w:themeColor="accent5" w:themeTint="BF"/>
          <w:insideH w:val="nil"/>
          <w:insideV w:val="nil"/>
        </w:tcBorders>
      </w:tcPr>
    </w:tblStylePr>
    <w:tblStylePr w:type="firstCol">
      <w:rPr>
        <w:b/>
        <w:bCs/>
      </w:rPr>
    </w:tblStylePr>
    <w:tblStylePr w:type="lastCol">
      <w:rPr>
        <w:b/>
        <w:bCs/>
      </w:rPr>
    </w:tblStylePr>
    <w:tblStylePr w:type="band1Vert">
      <w:tblPr/>
      <w:tcPr>
        <w:shd w:val="clear" w:color="auto" w:fill="BEF3CF" w:themeFill="accent5" w:themeFillTint="3F"/>
      </w:tcPr>
    </w:tblStylePr>
    <w:tblStylePr w:type="band1Horz">
      <w:tblPr/>
      <w:tcPr>
        <w:tcBorders>
          <w:insideH w:val="nil"/>
          <w:insideV w:val="nil"/>
        </w:tcBorders>
        <w:shd w:val="clear" w:color="auto" w:fill="BEF3C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B241C2"/>
    <w:pPr>
      <w:spacing w:after="0" w:line="240" w:lineRule="auto"/>
    </w:pPr>
    <w:rPr>
      <w:rFonts w:eastAsia="Times New Roman" w:cs="Times New Roman"/>
      <w:sz w:val="20"/>
      <w:szCs w:val="20"/>
      <w:lang w:eastAsia="en-AU"/>
    </w:rPr>
    <w:tblPr>
      <w:tblStyleRowBandSize w:val="1"/>
      <w:tblStyleColBandSize w:val="1"/>
      <w:tblBorders>
        <w:top w:val="single" w:sz="8" w:space="0" w:color="09B1FF" w:themeColor="accent6" w:themeTint="BF"/>
        <w:left w:val="single" w:sz="8" w:space="0" w:color="09B1FF" w:themeColor="accent6" w:themeTint="BF"/>
        <w:bottom w:val="single" w:sz="8" w:space="0" w:color="09B1FF" w:themeColor="accent6" w:themeTint="BF"/>
        <w:right w:val="single" w:sz="8" w:space="0" w:color="09B1FF" w:themeColor="accent6" w:themeTint="BF"/>
        <w:insideH w:val="single" w:sz="8" w:space="0" w:color="09B1FF" w:themeColor="accent6" w:themeTint="BF"/>
      </w:tblBorders>
    </w:tblPr>
    <w:tblStylePr w:type="firstRow">
      <w:pPr>
        <w:spacing w:before="0" w:after="0" w:line="240" w:lineRule="auto"/>
      </w:pPr>
      <w:rPr>
        <w:b/>
        <w:bCs/>
        <w:color w:val="FFFFFF" w:themeColor="background1"/>
      </w:rPr>
      <w:tblPr/>
      <w:tcPr>
        <w:tcBorders>
          <w:top w:val="single" w:sz="8" w:space="0" w:color="09B1FF" w:themeColor="accent6" w:themeTint="BF"/>
          <w:left w:val="single" w:sz="8" w:space="0" w:color="09B1FF" w:themeColor="accent6" w:themeTint="BF"/>
          <w:bottom w:val="single" w:sz="8" w:space="0" w:color="09B1FF" w:themeColor="accent6" w:themeTint="BF"/>
          <w:right w:val="single" w:sz="8" w:space="0" w:color="09B1FF" w:themeColor="accent6" w:themeTint="BF"/>
          <w:insideH w:val="nil"/>
          <w:insideV w:val="nil"/>
        </w:tcBorders>
        <w:shd w:val="clear" w:color="auto" w:fill="007DB6" w:themeFill="accent6"/>
      </w:tcPr>
    </w:tblStylePr>
    <w:tblStylePr w:type="lastRow">
      <w:pPr>
        <w:spacing w:before="0" w:after="0" w:line="240" w:lineRule="auto"/>
      </w:pPr>
      <w:rPr>
        <w:b/>
        <w:bCs/>
      </w:rPr>
      <w:tblPr/>
      <w:tcPr>
        <w:tcBorders>
          <w:top w:val="double" w:sz="6" w:space="0" w:color="09B1FF" w:themeColor="accent6" w:themeTint="BF"/>
          <w:left w:val="single" w:sz="8" w:space="0" w:color="09B1FF" w:themeColor="accent6" w:themeTint="BF"/>
          <w:bottom w:val="single" w:sz="8" w:space="0" w:color="09B1FF" w:themeColor="accent6" w:themeTint="BF"/>
          <w:right w:val="single" w:sz="8" w:space="0" w:color="09B1FF" w:themeColor="accent6" w:themeTint="BF"/>
          <w:insideH w:val="nil"/>
          <w:insideV w:val="nil"/>
        </w:tcBorders>
      </w:tcPr>
    </w:tblStylePr>
    <w:tblStylePr w:type="firstCol">
      <w:rPr>
        <w:b/>
        <w:bCs/>
      </w:rPr>
    </w:tblStylePr>
    <w:tblStylePr w:type="lastCol">
      <w:rPr>
        <w:b/>
        <w:bCs/>
      </w:rPr>
    </w:tblStylePr>
    <w:tblStylePr w:type="band1Vert">
      <w:tblPr/>
      <w:tcPr>
        <w:shd w:val="clear" w:color="auto" w:fill="ADE5FF" w:themeFill="accent6" w:themeFillTint="3F"/>
      </w:tcPr>
    </w:tblStylePr>
    <w:tblStylePr w:type="band1Horz">
      <w:tblPr/>
      <w:tcPr>
        <w:tcBorders>
          <w:insideH w:val="nil"/>
          <w:insideV w:val="nil"/>
        </w:tcBorders>
        <w:shd w:val="clear" w:color="auto" w:fill="ADE5FF" w:themeFill="accent6" w:themeFillTint="3F"/>
      </w:tcPr>
    </w:tblStylePr>
    <w:tblStylePr w:type="band2Horz">
      <w:tblPr/>
      <w:tcPr>
        <w:tcBorders>
          <w:insideH w:val="nil"/>
          <w:insideV w:val="nil"/>
        </w:tcBorders>
      </w:tcPr>
    </w:tblStylePr>
  </w:style>
  <w:style w:type="table" w:styleId="MediumShading2-Accent1">
    <w:name w:val="Medium Shading 2 Accent 1"/>
    <w:basedOn w:val="TableNormal"/>
    <w:uiPriority w:val="64"/>
    <w:semiHidden/>
    <w:unhideWhenUsed/>
    <w:rsid w:val="00B241C2"/>
    <w:pPr>
      <w:spacing w:after="0" w:line="240" w:lineRule="auto"/>
    </w:pPr>
    <w:rPr>
      <w:rFonts w:eastAsia="Times New Roman"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7D8D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7D8D6" w:themeFill="accent1"/>
      </w:tcPr>
    </w:tblStylePr>
    <w:tblStylePr w:type="lastCol">
      <w:rPr>
        <w:b/>
        <w:bCs/>
        <w:color w:val="FFFFFF" w:themeColor="background1"/>
      </w:rPr>
      <w:tblPr/>
      <w:tcPr>
        <w:tcBorders>
          <w:left w:val="nil"/>
          <w:right w:val="nil"/>
          <w:insideH w:val="nil"/>
          <w:insideV w:val="nil"/>
        </w:tcBorders>
        <w:shd w:val="clear" w:color="auto" w:fill="D7D8D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B241C2"/>
    <w:pPr>
      <w:spacing w:after="0" w:line="240" w:lineRule="auto"/>
    </w:pPr>
    <w:rPr>
      <w:rFonts w:eastAsia="Times New Roman"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709"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709" w:themeFill="accent2"/>
      </w:tcPr>
    </w:tblStylePr>
    <w:tblStylePr w:type="lastCol">
      <w:rPr>
        <w:b/>
        <w:bCs/>
        <w:color w:val="FFFFFF" w:themeColor="background1"/>
      </w:rPr>
      <w:tblPr/>
      <w:tcPr>
        <w:tcBorders>
          <w:left w:val="nil"/>
          <w:right w:val="nil"/>
          <w:insideH w:val="nil"/>
          <w:insideV w:val="nil"/>
        </w:tcBorders>
        <w:shd w:val="clear" w:color="auto" w:fill="FFC709"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B241C2"/>
    <w:pPr>
      <w:spacing w:after="0" w:line="240" w:lineRule="auto"/>
    </w:pPr>
    <w:rPr>
      <w:rFonts w:eastAsia="Times New Roman"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D163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D163F" w:themeFill="accent3"/>
      </w:tcPr>
    </w:tblStylePr>
    <w:tblStylePr w:type="lastCol">
      <w:rPr>
        <w:b/>
        <w:bCs/>
        <w:color w:val="FFFFFF" w:themeColor="background1"/>
      </w:rPr>
      <w:tblPr/>
      <w:tcPr>
        <w:tcBorders>
          <w:left w:val="nil"/>
          <w:right w:val="nil"/>
          <w:insideH w:val="nil"/>
          <w:insideV w:val="nil"/>
        </w:tcBorders>
        <w:shd w:val="clear" w:color="auto" w:fill="CD163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B241C2"/>
    <w:pPr>
      <w:spacing w:after="0" w:line="240" w:lineRule="auto"/>
    </w:pPr>
    <w:rPr>
      <w:rFonts w:eastAsia="Times New Roman"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9268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92686" w:themeFill="accent4"/>
      </w:tcPr>
    </w:tblStylePr>
    <w:tblStylePr w:type="lastCol">
      <w:rPr>
        <w:b/>
        <w:bCs/>
        <w:color w:val="FFFFFF" w:themeColor="background1"/>
      </w:rPr>
      <w:tblPr/>
      <w:tcPr>
        <w:tcBorders>
          <w:left w:val="nil"/>
          <w:right w:val="nil"/>
          <w:insideH w:val="nil"/>
          <w:insideV w:val="nil"/>
        </w:tcBorders>
        <w:shd w:val="clear" w:color="auto" w:fill="69268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B241C2"/>
    <w:pPr>
      <w:spacing w:after="0" w:line="240" w:lineRule="auto"/>
    </w:pPr>
    <w:rPr>
      <w:rFonts w:eastAsia="Times New Roman"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AA4D"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AA4D" w:themeFill="accent5"/>
      </w:tcPr>
    </w:tblStylePr>
    <w:tblStylePr w:type="lastCol">
      <w:rPr>
        <w:b/>
        <w:bCs/>
        <w:color w:val="FFFFFF" w:themeColor="background1"/>
      </w:rPr>
      <w:tblPr/>
      <w:tcPr>
        <w:tcBorders>
          <w:left w:val="nil"/>
          <w:right w:val="nil"/>
          <w:insideH w:val="nil"/>
          <w:insideV w:val="nil"/>
        </w:tcBorders>
        <w:shd w:val="clear" w:color="auto" w:fill="20AA4D"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B241C2"/>
    <w:pPr>
      <w:spacing w:after="0" w:line="240" w:lineRule="auto"/>
    </w:pPr>
    <w:rPr>
      <w:rFonts w:eastAsia="Times New Roman"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DB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DB6" w:themeFill="accent6"/>
      </w:tcPr>
    </w:tblStylePr>
    <w:tblStylePr w:type="lastCol">
      <w:rPr>
        <w:b/>
        <w:bCs/>
        <w:color w:val="FFFFFF" w:themeColor="background1"/>
      </w:rPr>
      <w:tblPr/>
      <w:tcPr>
        <w:tcBorders>
          <w:left w:val="nil"/>
          <w:right w:val="nil"/>
          <w:insideH w:val="nil"/>
          <w:insideV w:val="nil"/>
        </w:tcBorders>
        <w:shd w:val="clear" w:color="auto" w:fill="007DB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PageNumber">
    <w:name w:val="page number"/>
    <w:basedOn w:val="DefaultParagraphFont"/>
    <w:semiHidden/>
    <w:unhideWhenUsed/>
    <w:rsid w:val="00B241C2"/>
  </w:style>
  <w:style w:type="table" w:styleId="PlainTable1">
    <w:name w:val="Plain Table 1"/>
    <w:basedOn w:val="TableNormal"/>
    <w:uiPriority w:val="41"/>
    <w:rsid w:val="00B241C2"/>
    <w:pPr>
      <w:spacing w:after="0" w:line="240" w:lineRule="auto"/>
    </w:pPr>
    <w:rPr>
      <w:rFonts w:eastAsia="Times New Roman" w:cs="Times New Roman"/>
      <w:sz w:val="20"/>
      <w:szCs w:val="20"/>
      <w:lang w:eastAsia="en-AU"/>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B241C2"/>
    <w:pPr>
      <w:spacing w:after="0" w:line="240" w:lineRule="auto"/>
    </w:pPr>
    <w:rPr>
      <w:rFonts w:eastAsia="Times New Roman" w:cs="Times New Roman"/>
      <w:sz w:val="20"/>
      <w:szCs w:val="20"/>
      <w:lang w:eastAsia="en-A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B241C2"/>
    <w:pPr>
      <w:spacing w:after="0" w:line="240" w:lineRule="auto"/>
    </w:pPr>
    <w:rPr>
      <w:rFonts w:eastAsia="Times New Roman" w:cs="Times New Roman"/>
      <w:sz w:val="20"/>
      <w:szCs w:val="20"/>
      <w:lang w:eastAsia="en-AU"/>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B241C2"/>
    <w:pPr>
      <w:spacing w:after="0" w:line="240" w:lineRule="auto"/>
    </w:pPr>
    <w:rPr>
      <w:rFonts w:eastAsia="Times New Roman" w:cs="Times New Roman"/>
      <w:sz w:val="20"/>
      <w:szCs w:val="20"/>
      <w:lang w:eastAsia="en-A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B241C2"/>
    <w:pPr>
      <w:spacing w:after="0" w:line="240" w:lineRule="auto"/>
    </w:pPr>
    <w:rPr>
      <w:rFonts w:eastAsia="Times New Roman" w:cs="Times New Roman"/>
      <w:sz w:val="20"/>
      <w:szCs w:val="20"/>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SubtleReference">
    <w:name w:val="Subtle Reference"/>
    <w:basedOn w:val="DefaultParagraphFont"/>
    <w:uiPriority w:val="31"/>
    <w:rsid w:val="00B241C2"/>
    <w:rPr>
      <w:smallCaps/>
      <w:color w:val="5A5A5A" w:themeColor="text1" w:themeTint="A5"/>
    </w:rPr>
  </w:style>
  <w:style w:type="table" w:styleId="Table3Deffects1">
    <w:name w:val="Table 3D effects 1"/>
    <w:basedOn w:val="TableNormal"/>
    <w:unhideWhenUsed/>
    <w:rsid w:val="00B241C2"/>
    <w:pPr>
      <w:spacing w:after="0" w:line="288" w:lineRule="auto"/>
    </w:pPr>
    <w:rPr>
      <w:rFonts w:eastAsia="Times New Roman" w:cs="Times New Roman"/>
      <w:sz w:val="20"/>
      <w:szCs w:val="20"/>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nhideWhenUsed/>
    <w:rsid w:val="00B241C2"/>
    <w:pPr>
      <w:spacing w:after="0" w:line="288" w:lineRule="auto"/>
    </w:pPr>
    <w:rPr>
      <w:rFonts w:eastAsia="Times New Roman" w:cs="Times New Roman"/>
      <w:sz w:val="20"/>
      <w:szCs w:val="20"/>
      <w:lang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unhideWhenUsed/>
    <w:rsid w:val="00B241C2"/>
    <w:pPr>
      <w:spacing w:after="0" w:line="288" w:lineRule="auto"/>
    </w:pPr>
    <w:rPr>
      <w:rFonts w:eastAsia="Times New Roman" w:cs="Times New Roman"/>
      <w:sz w:val="20"/>
      <w:szCs w:val="20"/>
      <w:lang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unhideWhenUsed/>
    <w:rsid w:val="00B241C2"/>
    <w:pPr>
      <w:spacing w:after="0" w:line="288" w:lineRule="auto"/>
    </w:pPr>
    <w:rPr>
      <w:rFonts w:eastAsia="Times New Roman" w:cs="Times New Roman"/>
      <w:sz w:val="20"/>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unhideWhenUsed/>
    <w:rsid w:val="00B241C2"/>
    <w:pPr>
      <w:spacing w:after="0" w:line="288" w:lineRule="auto"/>
    </w:pPr>
    <w:rPr>
      <w:rFonts w:eastAsia="Times New Roman"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unhideWhenUsed/>
    <w:rsid w:val="00B241C2"/>
    <w:pPr>
      <w:spacing w:after="0" w:line="288" w:lineRule="auto"/>
    </w:pPr>
    <w:rPr>
      <w:rFonts w:eastAsia="Times New Roman" w:cs="Times New Roman"/>
      <w:color w:val="000080"/>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unhideWhenUsed/>
    <w:rsid w:val="00B241C2"/>
    <w:pPr>
      <w:spacing w:after="0" w:line="288" w:lineRule="auto"/>
    </w:pPr>
    <w:rPr>
      <w:rFonts w:eastAsia="Times New Roman" w:cs="Times New Roman"/>
      <w:sz w:val="20"/>
      <w:szCs w:val="20"/>
      <w:lang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unhideWhenUsed/>
    <w:rsid w:val="00B241C2"/>
    <w:pPr>
      <w:spacing w:after="0" w:line="288" w:lineRule="auto"/>
    </w:pPr>
    <w:rPr>
      <w:rFonts w:eastAsia="Times New Roman" w:cs="Times New Roman"/>
      <w:color w:val="FFFFFF"/>
      <w:sz w:val="20"/>
      <w:szCs w:val="20"/>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unhideWhenUsed/>
    <w:rsid w:val="00B241C2"/>
    <w:pPr>
      <w:spacing w:after="0" w:line="288" w:lineRule="auto"/>
    </w:pPr>
    <w:rPr>
      <w:rFonts w:eastAsia="Times New Roman" w:cs="Times New Roman"/>
      <w:sz w:val="20"/>
      <w:szCs w:val="20"/>
      <w:lang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unhideWhenUsed/>
    <w:rsid w:val="00B241C2"/>
    <w:pPr>
      <w:spacing w:after="0" w:line="288" w:lineRule="auto"/>
    </w:pPr>
    <w:rPr>
      <w:rFonts w:eastAsia="Times New Roman" w:cs="Times New Roman"/>
      <w:sz w:val="20"/>
      <w:szCs w:val="20"/>
      <w:lang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unhideWhenUsed/>
    <w:rsid w:val="00B241C2"/>
    <w:pPr>
      <w:spacing w:after="0" w:line="288" w:lineRule="auto"/>
    </w:pPr>
    <w:rPr>
      <w:rFonts w:eastAsia="Times New Roman" w:cs="Times New Roman"/>
      <w:b/>
      <w:bCs/>
      <w:sz w:val="20"/>
      <w:szCs w:val="20"/>
      <w:lang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unhideWhenUsed/>
    <w:rsid w:val="00B241C2"/>
    <w:pPr>
      <w:spacing w:after="0" w:line="288" w:lineRule="auto"/>
    </w:pPr>
    <w:rPr>
      <w:rFonts w:eastAsia="Times New Roman" w:cs="Times New Roman"/>
      <w:b/>
      <w:bCs/>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unhideWhenUsed/>
    <w:rsid w:val="00B241C2"/>
    <w:pPr>
      <w:spacing w:after="0" w:line="288" w:lineRule="auto"/>
    </w:pPr>
    <w:rPr>
      <w:rFonts w:eastAsia="Times New Roman" w:cs="Times New Roman"/>
      <w:b/>
      <w:bCs/>
      <w:sz w:val="20"/>
      <w:szCs w:val="20"/>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unhideWhenUsed/>
    <w:rsid w:val="00B241C2"/>
    <w:pPr>
      <w:spacing w:after="0" w:line="288" w:lineRule="auto"/>
    </w:pPr>
    <w:rPr>
      <w:rFonts w:eastAsia="Times New Roman" w:cs="Times New Roman"/>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unhideWhenUsed/>
    <w:rsid w:val="00B241C2"/>
    <w:pPr>
      <w:spacing w:after="0" w:line="288" w:lineRule="auto"/>
    </w:pPr>
    <w:rPr>
      <w:rFonts w:eastAsia="Times New Roman" w:cs="Times New Roman"/>
      <w:sz w:val="20"/>
      <w:szCs w:val="20"/>
      <w:lang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unhideWhenUsed/>
    <w:rsid w:val="00B241C2"/>
    <w:pPr>
      <w:spacing w:after="0" w:line="288" w:lineRule="auto"/>
    </w:pPr>
    <w:rPr>
      <w:rFonts w:eastAsia="Times New Roman"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unhideWhenUsed/>
    <w:rsid w:val="00B241C2"/>
    <w:pPr>
      <w:spacing w:after="0" w:line="288" w:lineRule="auto"/>
    </w:pPr>
    <w:rPr>
      <w:rFonts w:eastAsia="Times New Roman" w:cs="Times New Roman"/>
      <w:sz w:val="20"/>
      <w:szCs w:val="20"/>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unhideWhenUsed/>
    <w:rsid w:val="00B241C2"/>
    <w:pPr>
      <w:spacing w:after="0" w:line="288" w:lineRule="auto"/>
    </w:pPr>
    <w:rPr>
      <w:rFonts w:eastAsia="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unhideWhenUsed/>
    <w:rsid w:val="00B241C2"/>
    <w:pPr>
      <w:spacing w:after="0" w:line="288" w:lineRule="auto"/>
    </w:pPr>
    <w:rPr>
      <w:rFonts w:eastAsia="Times New Roman" w:cs="Times New Roman"/>
      <w:sz w:val="20"/>
      <w:szCs w:val="20"/>
      <w:lang w:eastAsia="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unhideWhenUsed/>
    <w:rsid w:val="00B241C2"/>
    <w:pPr>
      <w:spacing w:after="0" w:line="288" w:lineRule="auto"/>
    </w:pPr>
    <w:rPr>
      <w:rFonts w:eastAsia="Times New Roman" w:cs="Times New Roman"/>
      <w:sz w:val="20"/>
      <w:szCs w:val="20"/>
      <w:lang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unhideWhenUsed/>
    <w:rsid w:val="00B241C2"/>
    <w:pPr>
      <w:spacing w:after="0" w:line="288" w:lineRule="auto"/>
    </w:pPr>
    <w:rPr>
      <w:rFonts w:eastAsia="Times New Roman" w:cs="Times New Roman"/>
      <w:sz w:val="20"/>
      <w:szCs w:val="20"/>
      <w:lang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unhideWhenUsed/>
    <w:rsid w:val="00B241C2"/>
    <w:pPr>
      <w:spacing w:after="0" w:line="288" w:lineRule="auto"/>
    </w:pPr>
    <w:rPr>
      <w:rFonts w:eastAsia="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unhideWhenUsed/>
    <w:rsid w:val="00B241C2"/>
    <w:pPr>
      <w:spacing w:after="0" w:line="288" w:lineRule="auto"/>
    </w:pPr>
    <w:rPr>
      <w:rFonts w:eastAsia="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unhideWhenUsed/>
    <w:rsid w:val="00B241C2"/>
    <w:pPr>
      <w:spacing w:after="0" w:line="288" w:lineRule="auto"/>
    </w:pPr>
    <w:rPr>
      <w:rFonts w:eastAsia="Times New Roman" w:cs="Times New Roman"/>
      <w:b/>
      <w:bCs/>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unhideWhenUsed/>
    <w:rsid w:val="00B241C2"/>
    <w:pPr>
      <w:spacing w:after="0" w:line="288" w:lineRule="auto"/>
    </w:pPr>
    <w:rPr>
      <w:rFonts w:eastAsia="Times New Roman" w:cs="Times New Roman"/>
      <w:sz w:val="20"/>
      <w:szCs w:val="20"/>
      <w:lang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B241C2"/>
    <w:pPr>
      <w:spacing w:after="0" w:line="240" w:lineRule="auto"/>
    </w:pPr>
    <w:rPr>
      <w:rFonts w:eastAsia="Times New Roman" w:cs="Times New Roman"/>
      <w:sz w:val="20"/>
      <w:szCs w:val="20"/>
      <w:lang w:eastAsia="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4">
    <w:name w:val="Table List 4"/>
    <w:basedOn w:val="TableNormal"/>
    <w:semiHidden/>
    <w:unhideWhenUsed/>
    <w:rsid w:val="00B241C2"/>
    <w:pPr>
      <w:spacing w:after="0" w:line="288" w:lineRule="auto"/>
    </w:pPr>
    <w:rPr>
      <w:rFonts w:eastAsia="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unhideWhenUsed/>
    <w:rsid w:val="00B241C2"/>
    <w:pPr>
      <w:spacing w:after="0" w:line="288" w:lineRule="auto"/>
    </w:pPr>
    <w:rPr>
      <w:rFonts w:eastAsia="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unhideWhenUsed/>
    <w:rsid w:val="00B241C2"/>
    <w:pPr>
      <w:spacing w:after="0" w:line="288" w:lineRule="auto"/>
    </w:pPr>
    <w:rPr>
      <w:rFonts w:eastAsia="Times New Roman"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unhideWhenUsed/>
    <w:rsid w:val="00B241C2"/>
    <w:pPr>
      <w:spacing w:after="0" w:line="288" w:lineRule="auto"/>
    </w:pPr>
    <w:rPr>
      <w:rFonts w:eastAsia="Times New Roman" w:cs="Times New Roman"/>
      <w:sz w:val="20"/>
      <w:szCs w:val="20"/>
      <w:lang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unhideWhenUsed/>
    <w:rsid w:val="00B241C2"/>
    <w:pPr>
      <w:spacing w:after="0" w:line="288" w:lineRule="auto"/>
    </w:pPr>
    <w:rPr>
      <w:rFonts w:eastAsia="Times New Roman"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unhideWhenUsed/>
    <w:rsid w:val="00B241C2"/>
    <w:pPr>
      <w:spacing w:after="0" w:line="288" w:lineRule="auto"/>
    </w:pPr>
    <w:rPr>
      <w:rFonts w:eastAsia="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unhideWhenUsed/>
    <w:rsid w:val="00B241C2"/>
    <w:pPr>
      <w:spacing w:after="0" w:line="288" w:lineRule="auto"/>
    </w:pPr>
    <w:rPr>
      <w:rFonts w:eastAsia="Times New Roman" w:cs="Times New Roman"/>
      <w:sz w:val="20"/>
      <w:szCs w:val="20"/>
      <w:lang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unhideWhenUsed/>
    <w:rsid w:val="00B241C2"/>
    <w:pPr>
      <w:spacing w:after="0" w:line="288" w:lineRule="auto"/>
    </w:pPr>
    <w:rPr>
      <w:rFonts w:eastAsia="Times New Roman" w:cs="Times New Roman"/>
      <w:sz w:val="20"/>
      <w:szCs w:val="20"/>
      <w:lang w:eastAsia="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unhideWhenUsed/>
    <w:rsid w:val="00B241C2"/>
    <w:pPr>
      <w:spacing w:after="0" w:line="288" w:lineRule="auto"/>
    </w:pPr>
    <w:rPr>
      <w:rFonts w:eastAsia="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unhideWhenUsed/>
    <w:rsid w:val="00B241C2"/>
    <w:pPr>
      <w:spacing w:after="0" w:line="288" w:lineRule="auto"/>
    </w:pPr>
    <w:rPr>
      <w:rFonts w:eastAsia="Times New Roman" w:cs="Times New Roman"/>
      <w:sz w:val="20"/>
      <w:szCs w:val="20"/>
      <w:lang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unhideWhenUsed/>
    <w:rsid w:val="00B241C2"/>
    <w:pPr>
      <w:spacing w:after="0" w:line="288" w:lineRule="auto"/>
    </w:pPr>
    <w:rPr>
      <w:rFonts w:eastAsia="Times New Roman" w:cs="Times New Roman"/>
      <w:sz w:val="20"/>
      <w:szCs w:val="20"/>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unhideWhenUsed/>
    <w:rsid w:val="00B241C2"/>
    <w:pPr>
      <w:spacing w:after="0" w:line="288" w:lineRule="auto"/>
    </w:pPr>
    <w:rPr>
      <w:rFonts w:eastAsia="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unhideWhenUsed/>
    <w:rsid w:val="00B241C2"/>
    <w:pPr>
      <w:spacing w:after="0" w:line="288" w:lineRule="auto"/>
    </w:pPr>
    <w:rPr>
      <w:rFonts w:eastAsia="Times New Roman" w:cs="Times New Roman"/>
      <w:sz w:val="20"/>
      <w:szCs w:val="20"/>
      <w:lang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unhideWhenUsed/>
    <w:rsid w:val="00B241C2"/>
    <w:pPr>
      <w:spacing w:after="0" w:line="288" w:lineRule="auto"/>
    </w:pPr>
    <w:rPr>
      <w:rFonts w:eastAsia="Times New Roman" w:cs="Times New Roman"/>
      <w:sz w:val="20"/>
      <w:szCs w:val="20"/>
      <w:lang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unhideWhenUsed/>
    <w:rsid w:val="00B241C2"/>
    <w:pPr>
      <w:spacing w:after="0" w:line="288" w:lineRule="auto"/>
    </w:pPr>
    <w:rPr>
      <w:rFonts w:eastAsia="Times New Roman" w:cs="Times New Roman"/>
      <w:sz w:val="20"/>
      <w:szCs w:val="20"/>
      <w:lang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UnresolvedMention">
    <w:name w:val="Unresolved Mention"/>
    <w:basedOn w:val="DefaultParagraphFont"/>
    <w:uiPriority w:val="99"/>
    <w:semiHidden/>
    <w:unhideWhenUsed/>
    <w:rsid w:val="00B241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572670">
      <w:bodyDiv w:val="1"/>
      <w:marLeft w:val="0"/>
      <w:marRight w:val="0"/>
      <w:marTop w:val="0"/>
      <w:marBottom w:val="0"/>
      <w:divBdr>
        <w:top w:val="none" w:sz="0" w:space="0" w:color="auto"/>
        <w:left w:val="none" w:sz="0" w:space="0" w:color="auto"/>
        <w:bottom w:val="none" w:sz="0" w:space="0" w:color="auto"/>
        <w:right w:val="none" w:sz="0" w:space="0" w:color="auto"/>
      </w:divBdr>
    </w:div>
    <w:div w:id="348917670">
      <w:bodyDiv w:val="1"/>
      <w:marLeft w:val="0"/>
      <w:marRight w:val="0"/>
      <w:marTop w:val="0"/>
      <w:marBottom w:val="0"/>
      <w:divBdr>
        <w:top w:val="none" w:sz="0" w:space="0" w:color="auto"/>
        <w:left w:val="none" w:sz="0" w:space="0" w:color="auto"/>
        <w:bottom w:val="none" w:sz="0" w:space="0" w:color="auto"/>
        <w:right w:val="none" w:sz="0" w:space="0" w:color="auto"/>
      </w:divBdr>
    </w:div>
    <w:div w:id="623393728">
      <w:bodyDiv w:val="1"/>
      <w:marLeft w:val="0"/>
      <w:marRight w:val="0"/>
      <w:marTop w:val="0"/>
      <w:marBottom w:val="0"/>
      <w:divBdr>
        <w:top w:val="none" w:sz="0" w:space="0" w:color="auto"/>
        <w:left w:val="none" w:sz="0" w:space="0" w:color="auto"/>
        <w:bottom w:val="none" w:sz="0" w:space="0" w:color="auto"/>
        <w:right w:val="none" w:sz="0" w:space="0" w:color="auto"/>
      </w:divBdr>
    </w:div>
    <w:div w:id="928737049">
      <w:bodyDiv w:val="1"/>
      <w:marLeft w:val="0"/>
      <w:marRight w:val="0"/>
      <w:marTop w:val="0"/>
      <w:marBottom w:val="0"/>
      <w:divBdr>
        <w:top w:val="none" w:sz="0" w:space="0" w:color="auto"/>
        <w:left w:val="none" w:sz="0" w:space="0" w:color="auto"/>
        <w:bottom w:val="none" w:sz="0" w:space="0" w:color="auto"/>
        <w:right w:val="none" w:sz="0" w:space="0" w:color="auto"/>
      </w:divBdr>
    </w:div>
    <w:div w:id="1569925688">
      <w:bodyDiv w:val="1"/>
      <w:marLeft w:val="0"/>
      <w:marRight w:val="0"/>
      <w:marTop w:val="0"/>
      <w:marBottom w:val="0"/>
      <w:divBdr>
        <w:top w:val="none" w:sz="0" w:space="0" w:color="auto"/>
        <w:left w:val="none" w:sz="0" w:space="0" w:color="auto"/>
        <w:bottom w:val="none" w:sz="0" w:space="0" w:color="auto"/>
        <w:right w:val="none" w:sz="0" w:space="0" w:color="auto"/>
      </w:divBdr>
    </w:div>
    <w:div w:id="1587108613">
      <w:bodyDiv w:val="1"/>
      <w:marLeft w:val="0"/>
      <w:marRight w:val="0"/>
      <w:marTop w:val="0"/>
      <w:marBottom w:val="0"/>
      <w:divBdr>
        <w:top w:val="none" w:sz="0" w:space="0" w:color="auto"/>
        <w:left w:val="none" w:sz="0" w:space="0" w:color="auto"/>
        <w:bottom w:val="none" w:sz="0" w:space="0" w:color="auto"/>
        <w:right w:val="none" w:sz="0" w:space="0" w:color="auto"/>
      </w:divBdr>
    </w:div>
    <w:div w:id="1863322092">
      <w:bodyDiv w:val="1"/>
      <w:marLeft w:val="0"/>
      <w:marRight w:val="0"/>
      <w:marTop w:val="0"/>
      <w:marBottom w:val="0"/>
      <w:divBdr>
        <w:top w:val="none" w:sz="0" w:space="0" w:color="auto"/>
        <w:left w:val="none" w:sz="0" w:space="0" w:color="auto"/>
        <w:bottom w:val="none" w:sz="0" w:space="0" w:color="auto"/>
        <w:right w:val="none" w:sz="0" w:space="0" w:color="auto"/>
      </w:divBdr>
    </w:div>
    <w:div w:id="1932153017">
      <w:bodyDiv w:val="1"/>
      <w:marLeft w:val="0"/>
      <w:marRight w:val="0"/>
      <w:marTop w:val="0"/>
      <w:marBottom w:val="0"/>
      <w:divBdr>
        <w:top w:val="none" w:sz="0" w:space="0" w:color="auto"/>
        <w:left w:val="none" w:sz="0" w:space="0" w:color="auto"/>
        <w:bottom w:val="none" w:sz="0" w:space="0" w:color="auto"/>
        <w:right w:val="none" w:sz="0" w:space="0" w:color="auto"/>
      </w:divBdr>
    </w:div>
    <w:div w:id="2070230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MRPA Colours">
      <a:dk1>
        <a:sysClr val="windowText" lastClr="000000"/>
      </a:dk1>
      <a:lt1>
        <a:sysClr val="window" lastClr="FFFFFF"/>
      </a:lt1>
      <a:dk2>
        <a:srgbClr val="1C2B39"/>
      </a:dk2>
      <a:lt2>
        <a:srgbClr val="F99D1C"/>
      </a:lt2>
      <a:accent1>
        <a:srgbClr val="D7D8D6"/>
      </a:accent1>
      <a:accent2>
        <a:srgbClr val="FFC709"/>
      </a:accent2>
      <a:accent3>
        <a:srgbClr val="CD163F"/>
      </a:accent3>
      <a:accent4>
        <a:srgbClr val="692686"/>
      </a:accent4>
      <a:accent5>
        <a:srgbClr val="20AA4D"/>
      </a:accent5>
      <a:accent6>
        <a:srgbClr val="007DB6"/>
      </a:accent6>
      <a:hlink>
        <a:srgbClr val="005C97"/>
      </a:hlink>
      <a:folHlink>
        <a:srgbClr val="595959"/>
      </a:folHlink>
    </a:clrScheme>
    <a:fontScheme name="JASANZ">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D9E7D1"/>
        </a:solidFill>
        <a:ln w="9525">
          <a:solidFill>
            <a:srgbClr val="A7CC96"/>
          </a:solid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026BE69E2769843AA9BA05A8F8FC7A3" ma:contentTypeVersion="16" ma:contentTypeDescription="Create a new document." ma:contentTypeScope="" ma:versionID="ac5cb4f5dcd35dd85952c3558a9f7110">
  <xsd:schema xmlns:xsd="http://www.w3.org/2001/XMLSchema" xmlns:xs="http://www.w3.org/2001/XMLSchema" xmlns:p="http://schemas.microsoft.com/office/2006/metadata/properties" xmlns:ns2="360f8a96-9000-4ccb-a847-6089494e6936" xmlns:ns3="fc483388-c719-4eff-8694-752d3a0d233e" targetNamespace="http://schemas.microsoft.com/office/2006/metadata/properties" ma:root="true" ma:fieldsID="07d1761228dd44b0f473a74dfb77ccb9" ns2:_="" ns3:_="">
    <xsd:import namespace="360f8a96-9000-4ccb-a847-6089494e6936"/>
    <xsd:import namespace="fc483388-c719-4eff-8694-752d3a0d233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0f8a96-9000-4ccb-a847-6089494e69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b97fea4-d4d7-456e-87c5-5983e4a7035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c483388-c719-4eff-8694-752d3a0d233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e6e6075-c28e-44f6-b135-161ff4e0c180}" ma:internalName="TaxCatchAll" ma:showField="CatchAllData" ma:web="fc483388-c719-4eff-8694-752d3a0d23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fc483388-c719-4eff-8694-752d3a0d233e" xsi:nil="true"/>
    <lcf76f155ced4ddcb4097134ff3c332f xmlns="360f8a96-9000-4ccb-a847-6089494e693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14B6ED2-1151-4AD4-BD19-631FC76E6818}"/>
</file>

<file path=customXml/itemProps2.xml><?xml version="1.0" encoding="utf-8"?>
<ds:datastoreItem xmlns:ds="http://schemas.openxmlformats.org/officeDocument/2006/customXml" ds:itemID="{4B388F9B-565C-4D7F-B58D-23219270E8D6}">
  <ds:schemaRefs>
    <ds:schemaRef ds:uri="http://schemas.openxmlformats.org/officeDocument/2006/bibliography"/>
  </ds:schemaRefs>
</ds:datastoreItem>
</file>

<file path=customXml/itemProps3.xml><?xml version="1.0" encoding="utf-8"?>
<ds:datastoreItem xmlns:ds="http://schemas.openxmlformats.org/officeDocument/2006/customXml" ds:itemID="{EFEC9DC9-1E5E-4475-A958-47B0C2C90284}">
  <ds:schemaRefs>
    <ds:schemaRef ds:uri="http://schemas.microsoft.com/sharepoint/v3/contenttype/forms"/>
  </ds:schemaRefs>
</ds:datastoreItem>
</file>

<file path=customXml/itemProps4.xml><?xml version="1.0" encoding="utf-8"?>
<ds:datastoreItem xmlns:ds="http://schemas.openxmlformats.org/officeDocument/2006/customXml" ds:itemID="{A02AA49C-30D4-4B51-8AB2-AA9043C60FC3}">
  <ds:schemaRefs>
    <ds:schemaRef ds:uri="http://purl.org/dc/dcmitype/"/>
    <ds:schemaRef ds:uri="http://purl.org/dc/terms/"/>
    <ds:schemaRef ds:uri="http://purl.org/dc/elements/1.1/"/>
    <ds:schemaRef ds:uri="5bb23b05-46fc-419b-820b-0fe42645b320"/>
    <ds:schemaRef ds:uri="http://schemas.microsoft.com/office/2006/documentManagement/types"/>
    <ds:schemaRef ds:uri="http://www.w3.org/XML/1998/namespace"/>
    <ds:schemaRef ds:uri="http://schemas.microsoft.com/office/2006/metadata/properties"/>
    <ds:schemaRef ds:uri="http://schemas.microsoft.com/office/infopath/2007/PartnerControls"/>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22</Pages>
  <Words>7956</Words>
  <Characters>44872</Characters>
  <Application>Microsoft Office Word</Application>
  <DocSecurity>0</DocSecurity>
  <Lines>975</Lines>
  <Paragraphs>443</Paragraphs>
  <ScaleCrop>false</ScaleCrop>
  <HeadingPairs>
    <vt:vector size="2" baseType="variant">
      <vt:variant>
        <vt:lpstr>Title</vt:lpstr>
      </vt:variant>
      <vt:variant>
        <vt:i4>1</vt:i4>
      </vt:variant>
    </vt:vector>
  </HeadingPairs>
  <TitlesOfParts>
    <vt:vector size="1" baseType="lpstr">
      <vt:lpstr>Willatook Wind Farm | Environment Effects Statement</vt:lpstr>
    </vt:vector>
  </TitlesOfParts>
  <Company>Wind Prospect</Company>
  <LinksUpToDate>false</LinksUpToDate>
  <CharactersWithSpaces>52385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Willatook Wind Farm | Environment Effects Statement</dc:title>
  <dc:subject/>
  <dc:creator>Gassner Kerry</dc:creator>
  <cp:keywords/>
  <cp:lastModifiedBy>Michael Sale</cp:lastModifiedBy>
  <cp:revision>4</cp:revision>
  <cp:lastPrinted>2022-04-04T06:33:00Z</cp:lastPrinted>
  <dcterms:created xsi:type="dcterms:W3CDTF">2022-06-03T00:28:00Z</dcterms:created>
  <dcterms:modified xsi:type="dcterms:W3CDTF">2022-06-06T05:09:00Z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0x010100869B548BC37728498E23A9A9B80FFE3B</vt:lpwstr>
  </property>
</Properties>
</file>