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62F334" w14:textId="77777777" w:rsidR="009949A0" w:rsidRPr="00D204B9" w:rsidRDefault="009949A0" w:rsidP="009949A0">
      <w:pPr>
        <w:pStyle w:val="Heading1"/>
        <w:spacing w:after="720"/>
      </w:pPr>
      <w:bookmarkStart w:id="0" w:name="_Hlk99097715"/>
      <w:bookmarkStart w:id="1" w:name="_Toc523131536"/>
      <w:bookmarkStart w:id="2" w:name="_Toc515959622"/>
      <w:bookmarkEnd w:id="0"/>
      <w:r>
        <w:br/>
      </w:r>
      <w:bookmarkStart w:id="3" w:name="_Toc104909264"/>
      <w:r>
        <w:t>Brolga</w:t>
      </w:r>
      <w:bookmarkEnd w:id="3"/>
    </w:p>
    <w:p w14:paraId="41C10194" w14:textId="3C01FF5A" w:rsidR="00156875" w:rsidRPr="001069F5" w:rsidRDefault="009D2459" w:rsidP="001069F5">
      <w:pPr>
        <w:pStyle w:val="Heading2"/>
      </w:pPr>
      <w:bookmarkStart w:id="4" w:name="_Toc104909265"/>
      <w:r w:rsidRPr="001069F5">
        <w:t>Overview</w:t>
      </w:r>
      <w:bookmarkEnd w:id="1"/>
      <w:bookmarkEnd w:id="4"/>
    </w:p>
    <w:p w14:paraId="35D6853A" w14:textId="77777777" w:rsidR="009D2459" w:rsidRPr="009C2B10" w:rsidRDefault="009D2459" w:rsidP="009D2459">
      <w:pPr>
        <w:pStyle w:val="BodyText"/>
      </w:pPr>
      <w:r w:rsidRPr="009C2B10">
        <w:t xml:space="preserve">This chapter describes the assessment of potential impacts from the construction, operation and decommissioning of the project on Brolga, and measures taken to avoid and minimise these impacts in accordance with the </w:t>
      </w:r>
      <w:r w:rsidRPr="009C2B10">
        <w:rPr>
          <w:i/>
        </w:rPr>
        <w:t>Interim Guidelines for the Assessment, Avoidance, Mitigation and Offsetting of Potential Wind Farm Impacts on the Victorian Brolga Population</w:t>
      </w:r>
      <w:r w:rsidRPr="009C2B10">
        <w:t xml:space="preserve"> (DSE, 2012) (Interim Brolga Guidelines). </w:t>
      </w:r>
    </w:p>
    <w:p w14:paraId="01C1DDA3" w14:textId="3A67AC7C" w:rsidR="009D2459" w:rsidRPr="009C2B10" w:rsidRDefault="009D2459" w:rsidP="009D2459">
      <w:pPr>
        <w:pStyle w:val="BodyText"/>
      </w:pPr>
      <w:r w:rsidRPr="009C2B10">
        <w:t xml:space="preserve">This chapter is based on the findings of the Brolga impact assessment (Appendix C1) prepared by Nature Advisory. Due to the required methods of assessment, </w:t>
      </w:r>
      <w:r w:rsidR="00C47E03">
        <w:t xml:space="preserve">potential impacts on </w:t>
      </w:r>
      <w:r w:rsidRPr="009C2B10">
        <w:t xml:space="preserve">Brolga have been presented separately from the </w:t>
      </w:r>
      <w:r w:rsidR="003F25E6">
        <w:t xml:space="preserve">broader </w:t>
      </w:r>
      <w:r w:rsidRPr="009C2B10">
        <w:t>flora and fauna impact assessment (Chapter 1</w:t>
      </w:r>
      <w:r w:rsidR="001069F5">
        <w:t>2</w:t>
      </w:r>
      <w:r w:rsidRPr="009C2B10">
        <w:t xml:space="preserve"> – </w:t>
      </w:r>
      <w:r w:rsidR="00190218">
        <w:rPr>
          <w:i/>
        </w:rPr>
        <w:t>Biodiversity and habitat</w:t>
      </w:r>
      <w:r w:rsidR="002317A9">
        <w:rPr>
          <w:i/>
        </w:rPr>
        <w:t>)</w:t>
      </w:r>
      <w:r w:rsidR="00190218">
        <w:rPr>
          <w:i/>
        </w:rPr>
        <w:t>.</w:t>
      </w:r>
    </w:p>
    <w:p w14:paraId="05606859" w14:textId="693EC352" w:rsidR="009D2459" w:rsidRPr="009C2B10" w:rsidRDefault="009D2459" w:rsidP="009D2459">
      <w:pPr>
        <w:pStyle w:val="BodyText"/>
      </w:pPr>
      <w:r w:rsidRPr="009C2B10">
        <w:t xml:space="preserve">The Brolga is an iconic wetland bird that is listed as endangered in Victoria. The southern portion of the population has experienced significant decline since European settlement attributed to habitat loss from agriculture and wetland drainage, predation from foxes, and collisions with fences and powerlines. While Brolga collisions with wind turbines have not been reported, </w:t>
      </w:r>
      <w:r w:rsidR="00067A81" w:rsidRPr="009C2B10">
        <w:t xml:space="preserve">the Victorian Government have issued guidelines with the goal of zero net impact to the species as a precautionary measure </w:t>
      </w:r>
      <w:r w:rsidRPr="009C2B10">
        <w:t xml:space="preserve">due to </w:t>
      </w:r>
      <w:r w:rsidR="00067A81">
        <w:t xml:space="preserve">the </w:t>
      </w:r>
      <w:r w:rsidR="003F25E6" w:rsidRPr="009C2B10">
        <w:t>potential interaction with wind farms</w:t>
      </w:r>
      <w:r w:rsidR="003F25E6">
        <w:t xml:space="preserve"> </w:t>
      </w:r>
      <w:r w:rsidR="00067A81">
        <w:t>in their range</w:t>
      </w:r>
      <w:r w:rsidR="003F25E6">
        <w:t>.</w:t>
      </w:r>
    </w:p>
    <w:p w14:paraId="5E8FBF4D" w14:textId="76C77587" w:rsidR="009D2459" w:rsidRDefault="009D2459" w:rsidP="009D2459">
      <w:pPr>
        <w:pStyle w:val="BodyText"/>
      </w:pPr>
      <w:r w:rsidRPr="009C2B10">
        <w:t xml:space="preserve">Over the last decade significant efforts have been made to assess Brolga activity and suitable habitat at the project site and surrounding area. </w:t>
      </w:r>
      <w:r w:rsidR="00067A81">
        <w:t>The a</w:t>
      </w:r>
      <w:r w:rsidRPr="009C2B10">
        <w:t xml:space="preserve">ssessment included a review of existing Victorian Government database records, consultation with project and </w:t>
      </w:r>
      <w:r w:rsidR="00067A81">
        <w:t>surrounding</w:t>
      </w:r>
      <w:r w:rsidR="00067A81" w:rsidRPr="009C2B10">
        <w:t xml:space="preserve"> </w:t>
      </w:r>
      <w:r w:rsidRPr="009C2B10">
        <w:t xml:space="preserve">landowners, </w:t>
      </w:r>
      <w:r w:rsidR="00067A81" w:rsidRPr="009C2B10">
        <w:t>aerial surveys,</w:t>
      </w:r>
      <w:r w:rsidR="00067A81">
        <w:t xml:space="preserve"> </w:t>
      </w:r>
      <w:r w:rsidR="003F25E6">
        <w:t xml:space="preserve">roaming observational </w:t>
      </w:r>
      <w:r w:rsidRPr="009C2B10">
        <w:t xml:space="preserve">field surveys </w:t>
      </w:r>
      <w:r w:rsidR="00067A81">
        <w:t>to record</w:t>
      </w:r>
      <w:r w:rsidR="00067A81" w:rsidRPr="009C2B10">
        <w:t xml:space="preserve"> </w:t>
      </w:r>
      <w:r w:rsidRPr="009C2B10">
        <w:t>Brolga activity</w:t>
      </w:r>
      <w:r w:rsidR="003F25E6">
        <w:t xml:space="preserve">, as well as a combination of field surveys </w:t>
      </w:r>
      <w:r w:rsidR="003F25E6" w:rsidRPr="009C2B10">
        <w:t>and hydrological modelling</w:t>
      </w:r>
      <w:r w:rsidR="003F25E6">
        <w:t xml:space="preserve"> to assess wetland </w:t>
      </w:r>
      <w:r w:rsidRPr="009C2B10">
        <w:t xml:space="preserve">suitability as Brolga </w:t>
      </w:r>
      <w:r w:rsidR="003F25E6">
        <w:t xml:space="preserve">breeding </w:t>
      </w:r>
      <w:r w:rsidRPr="009C2B10">
        <w:t xml:space="preserve">habitat. </w:t>
      </w:r>
    </w:p>
    <w:p w14:paraId="04C909DC" w14:textId="6DCFF11A" w:rsidR="00652F95" w:rsidRDefault="00AE244B" w:rsidP="00534E42">
      <w:r w:rsidRPr="00C9325D">
        <w:t xml:space="preserve">A total of </w:t>
      </w:r>
      <w:r>
        <w:t>28</w:t>
      </w:r>
      <w:r w:rsidRPr="00C9325D">
        <w:t xml:space="preserve"> Brolga breeding sites were identified within </w:t>
      </w:r>
      <w:r w:rsidR="00190218">
        <w:t xml:space="preserve">approximately </w:t>
      </w:r>
      <w:r w:rsidRPr="00C9325D">
        <w:t xml:space="preserve">10 kilometres of the project site </w:t>
      </w:r>
      <w:r w:rsidRPr="0076695D">
        <w:t xml:space="preserve">and of these 23 could be attributed to a functional wetland and </w:t>
      </w:r>
      <w:r w:rsidR="00190218">
        <w:t>defined</w:t>
      </w:r>
      <w:r w:rsidR="00190218" w:rsidRPr="0076695D">
        <w:t xml:space="preserve"> </w:t>
      </w:r>
      <w:r w:rsidRPr="0076695D">
        <w:t>a</w:t>
      </w:r>
      <w:r w:rsidR="00190218">
        <w:t>s a possible</w:t>
      </w:r>
      <w:r w:rsidRPr="0076695D">
        <w:t xml:space="preserve"> Brolga breeding site</w:t>
      </w:r>
      <w:r>
        <w:t xml:space="preserve">. </w:t>
      </w:r>
      <w:r w:rsidR="00652F95">
        <w:t>Six</w:t>
      </w:r>
      <w:r w:rsidR="00EB2863">
        <w:t xml:space="preserve"> of these sites are </w:t>
      </w:r>
      <w:r w:rsidR="00190218">
        <w:t>within 3 kilometres of</w:t>
      </w:r>
      <w:r w:rsidR="00B0248E">
        <w:t xml:space="preserve"> the project.</w:t>
      </w:r>
      <w:r w:rsidR="00652F95">
        <w:t xml:space="preserve"> </w:t>
      </w:r>
      <w:r w:rsidR="00CE5E54">
        <w:t xml:space="preserve">One pair </w:t>
      </w:r>
      <w:r w:rsidR="004E0577">
        <w:t xml:space="preserve">of Brolga </w:t>
      </w:r>
      <w:r w:rsidR="00CE5E54" w:rsidRPr="009C2B10">
        <w:t>were repeatedly observed nesting within the Cockatoo Swamp wetland complex</w:t>
      </w:r>
      <w:r w:rsidR="00CE5E54">
        <w:t xml:space="preserve"> during</w:t>
      </w:r>
      <w:r w:rsidR="00CE5E54" w:rsidRPr="00652F95">
        <w:t xml:space="preserve"> </w:t>
      </w:r>
      <w:r w:rsidR="00CE5E54">
        <w:t>r</w:t>
      </w:r>
      <w:r w:rsidR="00CE5E54" w:rsidRPr="009C2B10">
        <w:t>oaming field surveys conducted for the project between 2010 and 202</w:t>
      </w:r>
      <w:r w:rsidR="00CE5E54">
        <w:t>1.</w:t>
      </w:r>
    </w:p>
    <w:p w14:paraId="7A9C00D6" w14:textId="7D75F403" w:rsidR="00384DC4" w:rsidRPr="009C2B10" w:rsidRDefault="004E0577" w:rsidP="00384DC4">
      <w:pPr>
        <w:pStyle w:val="BodyText"/>
      </w:pPr>
      <w:r>
        <w:t>Additional i</w:t>
      </w:r>
      <w:r w:rsidR="00384DC4" w:rsidRPr="009C2B10">
        <w:t xml:space="preserve">nvestigations were conducted to predict wetlands that met hydrological criteria required for Brolga breeding, since a large proportion of DELWP Victorian Wetland Inventory wetlands were inaccurate in their extent and location. Hydrological modelling combined with field assessments predict that </w:t>
      </w:r>
      <w:r w:rsidR="00190218">
        <w:t>11</w:t>
      </w:r>
      <w:r w:rsidR="009949A0">
        <w:t> </w:t>
      </w:r>
      <w:r w:rsidR="00190218">
        <w:t xml:space="preserve">seasonal wetlands and </w:t>
      </w:r>
      <w:r w:rsidR="002317A9">
        <w:t>3</w:t>
      </w:r>
      <w:r w:rsidR="00190218">
        <w:t xml:space="preserve"> farm dams </w:t>
      </w:r>
      <w:r w:rsidR="009004C8" w:rsidRPr="00137A75">
        <w:t>within 3 kilometres of the project</w:t>
      </w:r>
      <w:r w:rsidR="00190218">
        <w:t xml:space="preserve"> </w:t>
      </w:r>
      <w:r w:rsidR="009004C8" w:rsidRPr="009C2B10">
        <w:t>can provide</w:t>
      </w:r>
      <w:r w:rsidR="00384DC4" w:rsidRPr="009C2B10">
        <w:t xml:space="preserve"> suitable Brolga </w:t>
      </w:r>
      <w:r w:rsidR="00C47E03" w:rsidRPr="009C2B10">
        <w:t>habitat</w:t>
      </w:r>
      <w:r w:rsidR="00285896">
        <w:t>,</w:t>
      </w:r>
      <w:r w:rsidR="00384DC4" w:rsidRPr="009C2B10">
        <w:t xml:space="preserve"> including the </w:t>
      </w:r>
      <w:r w:rsidR="00384DC4">
        <w:t>six</w:t>
      </w:r>
      <w:r w:rsidR="00384DC4" w:rsidRPr="009C2B10">
        <w:t xml:space="preserve"> sites </w:t>
      </w:r>
      <w:r w:rsidR="00D30579">
        <w:t xml:space="preserve">with historical Brolga </w:t>
      </w:r>
      <w:r w:rsidR="00285896">
        <w:t>breeding r</w:t>
      </w:r>
      <w:r w:rsidR="00D30579">
        <w:t>ecords associated within them.</w:t>
      </w:r>
      <w:r w:rsidR="00384DC4" w:rsidRPr="009C2B10">
        <w:t xml:space="preserve"> </w:t>
      </w:r>
    </w:p>
    <w:p w14:paraId="08D6050D" w14:textId="61974C5D" w:rsidR="004E0577" w:rsidRDefault="00652F95" w:rsidP="009D2459">
      <w:pPr>
        <w:pStyle w:val="BodyText"/>
      </w:pPr>
      <w:r w:rsidRPr="009C2B10">
        <w:t xml:space="preserve">To minimise the impact of the project on the Victorian Brolga population, </w:t>
      </w:r>
      <w:r w:rsidR="00285896">
        <w:t xml:space="preserve">turbine free </w:t>
      </w:r>
      <w:r w:rsidRPr="009C2B10">
        <w:t xml:space="preserve">buffers have been developed </w:t>
      </w:r>
      <w:r w:rsidR="00285896">
        <w:t xml:space="preserve">around breeding wetlands </w:t>
      </w:r>
      <w:r w:rsidRPr="009C2B10">
        <w:t>to exclude wind turbines and limit disturbance.</w:t>
      </w:r>
      <w:r>
        <w:t xml:space="preserve"> This area</w:t>
      </w:r>
      <w:r w:rsidRPr="009C2B10">
        <w:t xml:space="preserve"> incorporate</w:t>
      </w:r>
      <w:r>
        <w:t>s</w:t>
      </w:r>
      <w:r w:rsidRPr="009C2B10">
        <w:t xml:space="preserve"> </w:t>
      </w:r>
      <w:r w:rsidR="00985453">
        <w:t xml:space="preserve">functional </w:t>
      </w:r>
      <w:r w:rsidRPr="009C2B10">
        <w:t xml:space="preserve">wetlands </w:t>
      </w:r>
      <w:r w:rsidR="004E0577">
        <w:t xml:space="preserve">assessed as capable of providing habitat </w:t>
      </w:r>
      <w:r>
        <w:t xml:space="preserve">that could be </w:t>
      </w:r>
      <w:r w:rsidRPr="009C2B10">
        <w:t xml:space="preserve">used for </w:t>
      </w:r>
      <w:r w:rsidR="00985453">
        <w:t xml:space="preserve">foraging, </w:t>
      </w:r>
      <w:r w:rsidRPr="009C2B10">
        <w:t>breeding</w:t>
      </w:r>
      <w:r w:rsidR="004E0577">
        <w:t xml:space="preserve"> and</w:t>
      </w:r>
      <w:r>
        <w:t xml:space="preserve"> </w:t>
      </w:r>
      <w:r w:rsidRPr="009C2B10">
        <w:t xml:space="preserve">night roosting, non-wetland areas around </w:t>
      </w:r>
      <w:r w:rsidR="00985453">
        <w:t>these</w:t>
      </w:r>
      <w:r w:rsidRPr="009C2B10">
        <w:t xml:space="preserve"> wetlands and movement corridors between </w:t>
      </w:r>
      <w:r w:rsidR="00985453">
        <w:t>them</w:t>
      </w:r>
      <w:r w:rsidRPr="009C2B10">
        <w:t>.</w:t>
      </w:r>
      <w:r w:rsidR="004E0577" w:rsidRPr="004E0577">
        <w:t xml:space="preserve"> </w:t>
      </w:r>
      <w:r w:rsidR="004E0577" w:rsidRPr="009C2B10">
        <w:t>A buffer zone (</w:t>
      </w:r>
      <w:r w:rsidR="009004C8" w:rsidRPr="009004C8">
        <w:t>2</w:t>
      </w:r>
      <w:r w:rsidR="009004C8">
        <w:t>,</w:t>
      </w:r>
      <w:r w:rsidR="009004C8" w:rsidRPr="009004C8">
        <w:t>65</w:t>
      </w:r>
      <w:r w:rsidR="009004C8">
        <w:t>8</w:t>
      </w:r>
      <w:r w:rsidR="004E0577" w:rsidRPr="009C2B10">
        <w:t xml:space="preserve"> hectares in size) was established around the Cockatoo Swamp complex</w:t>
      </w:r>
      <w:r w:rsidR="004E0577">
        <w:t>, where f</w:t>
      </w:r>
      <w:r w:rsidR="004E0577" w:rsidRPr="00D44B25">
        <w:t>ive breeding</w:t>
      </w:r>
      <w:r w:rsidR="004E0577">
        <w:t xml:space="preserve"> wetlands are located.</w:t>
      </w:r>
      <w:r w:rsidR="004E0577" w:rsidRPr="004E0577">
        <w:t xml:space="preserve"> </w:t>
      </w:r>
      <w:r w:rsidR="004E0577" w:rsidRPr="00D343FC">
        <w:t xml:space="preserve">The area </w:t>
      </w:r>
      <w:r w:rsidR="004E0577">
        <w:t>contains</w:t>
      </w:r>
      <w:r w:rsidR="004E0577" w:rsidRPr="00D343FC">
        <w:t xml:space="preserve"> five </w:t>
      </w:r>
      <w:r w:rsidR="004E0577">
        <w:t xml:space="preserve">defined Brolga </w:t>
      </w:r>
      <w:r w:rsidR="004E0577" w:rsidRPr="00D343FC">
        <w:t>home range are</w:t>
      </w:r>
      <w:r w:rsidR="004E0577">
        <w:t xml:space="preserve">as, </w:t>
      </w:r>
      <w:r w:rsidR="004E0577" w:rsidRPr="00D343FC">
        <w:t xml:space="preserve">each </w:t>
      </w:r>
      <w:r w:rsidR="004E0577">
        <w:t>significantly</w:t>
      </w:r>
      <w:r w:rsidR="004E0577" w:rsidRPr="00D343FC">
        <w:t xml:space="preserve"> </w:t>
      </w:r>
      <w:r w:rsidR="004E0577">
        <w:t>(&gt;</w:t>
      </w:r>
      <w:r w:rsidR="00C93AF0">
        <w:t>28</w:t>
      </w:r>
      <w:r w:rsidR="004E0577">
        <w:t>%) greater</w:t>
      </w:r>
      <w:r w:rsidR="004E0577" w:rsidRPr="00D343FC">
        <w:t xml:space="preserve"> than </w:t>
      </w:r>
      <w:r w:rsidR="004E0577">
        <w:t>the largest recorded Brolga home ranges from independent research</w:t>
      </w:r>
      <w:r w:rsidR="004E0577" w:rsidRPr="00D343FC">
        <w:t>.</w:t>
      </w:r>
      <w:r w:rsidR="00190218">
        <w:t xml:space="preserve"> </w:t>
      </w:r>
    </w:p>
    <w:p w14:paraId="20604AFB" w14:textId="220E872F" w:rsidR="00264416" w:rsidRPr="009C2B10" w:rsidRDefault="004E0577" w:rsidP="00264416">
      <w:pPr>
        <w:pStyle w:val="BodyText"/>
      </w:pPr>
      <w:r w:rsidRPr="009C2B10">
        <w:t xml:space="preserve">The establishment of this buffer resulted in </w:t>
      </w:r>
      <w:r w:rsidR="002317A9">
        <w:t xml:space="preserve">significant </w:t>
      </w:r>
      <w:r w:rsidRPr="009C2B10">
        <w:t>design change</w:t>
      </w:r>
      <w:r w:rsidR="002317A9">
        <w:t>s</w:t>
      </w:r>
      <w:r w:rsidRPr="009C2B10">
        <w:t xml:space="preserve">, with </w:t>
      </w:r>
      <w:r>
        <w:t>23</w:t>
      </w:r>
      <w:r w:rsidRPr="009C2B10">
        <w:t xml:space="preserve"> proposed wind turbines </w:t>
      </w:r>
      <w:r w:rsidR="00985453" w:rsidRPr="009C2B10">
        <w:t>from the layout</w:t>
      </w:r>
      <w:r w:rsidR="00985453">
        <w:t xml:space="preserve"> </w:t>
      </w:r>
      <w:r w:rsidR="002317A9">
        <w:t>either removed or rel</w:t>
      </w:r>
      <w:r w:rsidR="00985453">
        <w:t>oca</w:t>
      </w:r>
      <w:r w:rsidR="002317A9">
        <w:t>ted</w:t>
      </w:r>
      <w:r w:rsidR="00B0248E">
        <w:t>.</w:t>
      </w:r>
      <w:r w:rsidR="00190218">
        <w:t xml:space="preserve"> The turbine free b</w:t>
      </w:r>
      <w:r w:rsidR="00264416" w:rsidRPr="009C2B10">
        <w:t>uffer</w:t>
      </w:r>
      <w:r w:rsidR="00190218">
        <w:t xml:space="preserve"> is</w:t>
      </w:r>
      <w:r w:rsidR="00264416" w:rsidRPr="009C2B10">
        <w:t xml:space="preserve"> similar </w:t>
      </w:r>
      <w:r w:rsidR="00985453">
        <w:t xml:space="preserve">to </w:t>
      </w:r>
      <w:r w:rsidR="00264416" w:rsidRPr="009C2B10">
        <w:t xml:space="preserve">or larger than </w:t>
      </w:r>
      <w:r w:rsidR="00190218">
        <w:t xml:space="preserve">those used for </w:t>
      </w:r>
      <w:r w:rsidR="00264416" w:rsidRPr="009C2B10">
        <w:t xml:space="preserve">other approved or operating wind farms in the Victorian range of the Brolga, such as </w:t>
      </w:r>
      <w:proofErr w:type="spellStart"/>
      <w:r w:rsidR="00264416" w:rsidRPr="009C2B10">
        <w:t>Dundonnell</w:t>
      </w:r>
      <w:proofErr w:type="spellEnd"/>
      <w:r w:rsidR="00264416" w:rsidRPr="009C2B10">
        <w:t xml:space="preserve">, Golden Plains and Stockyard Hill wind farms. </w:t>
      </w:r>
    </w:p>
    <w:p w14:paraId="6F34EAC3" w14:textId="049C7965" w:rsidR="009D2459" w:rsidRPr="009C2B10" w:rsidRDefault="009D2459" w:rsidP="001069F5">
      <w:pPr>
        <w:pStyle w:val="BodyText"/>
        <w:keepLines/>
      </w:pPr>
      <w:r w:rsidRPr="009C2B10">
        <w:lastRenderedPageBreak/>
        <w:t>A Brolga turbine collision risk</w:t>
      </w:r>
      <w:r w:rsidRPr="009C2B10" w:rsidDel="00F15B3F">
        <w:t xml:space="preserve"> </w:t>
      </w:r>
      <w:r w:rsidRPr="009C2B10">
        <w:t xml:space="preserve">model was </w:t>
      </w:r>
      <w:r w:rsidR="00985453">
        <w:t>applied</w:t>
      </w:r>
      <w:r w:rsidRPr="009C2B10">
        <w:t xml:space="preserve"> in accordance with the Interim Brolga Guidelines. It was assumed that a Brolga pair would nest each year at one of the </w:t>
      </w:r>
      <w:r w:rsidR="00C13358">
        <w:t>five</w:t>
      </w:r>
      <w:r w:rsidR="00C13358" w:rsidRPr="009C2B10">
        <w:t xml:space="preserve"> </w:t>
      </w:r>
      <w:r w:rsidRPr="009C2B10">
        <w:t xml:space="preserve">Brolga breeding sites </w:t>
      </w:r>
      <w:r w:rsidR="009C1993">
        <w:t>in the central buffer zone around Cockatoo Swamp</w:t>
      </w:r>
      <w:r w:rsidRPr="009C2B10">
        <w:t xml:space="preserve"> </w:t>
      </w:r>
      <w:r w:rsidR="00571376">
        <w:t xml:space="preserve">and one additional pair was assumed to use </w:t>
      </w:r>
      <w:r w:rsidR="009C1993">
        <w:t>one of the isolated</w:t>
      </w:r>
      <w:r w:rsidR="00571376">
        <w:t xml:space="preserve"> wetlands to the east of the wind farm three out of ten years. The model assumes that</w:t>
      </w:r>
      <w:r w:rsidRPr="009C2B10">
        <w:t xml:space="preserve"> a proportion of the</w:t>
      </w:r>
      <w:r w:rsidR="00571376">
        <w:t>se Brolga’s</w:t>
      </w:r>
      <w:r w:rsidR="00571376" w:rsidRPr="009C2B10">
        <w:t xml:space="preserve"> flights</w:t>
      </w:r>
      <w:r w:rsidRPr="009C2B10">
        <w:t xml:space="preserve"> </w:t>
      </w:r>
      <w:r w:rsidR="00571376">
        <w:t xml:space="preserve">would be </w:t>
      </w:r>
      <w:r w:rsidRPr="009C2B10">
        <w:t>at a height and distance where turbine interaction is possible. Wind turbine avoidance rates were calculated using observations of Brolga and international studies of crane species. The model predicts that under the most conservative turbine avoidance scenario where Brolga avoid wind turbines 90% of the time, there would be 0.0</w:t>
      </w:r>
      <w:r w:rsidR="00571376">
        <w:t>7</w:t>
      </w:r>
      <w:r w:rsidRPr="009C2B10">
        <w:t xml:space="preserve"> </w:t>
      </w:r>
      <w:r w:rsidR="00571376">
        <w:t xml:space="preserve">flights at risk of </w:t>
      </w:r>
      <w:r w:rsidRPr="009C2B10">
        <w:t>collision per year on average, or 1.</w:t>
      </w:r>
      <w:r w:rsidR="009C1993">
        <w:t>7</w:t>
      </w:r>
      <w:r w:rsidRPr="009C2B10">
        <w:t xml:space="preserve"> </w:t>
      </w:r>
      <w:r w:rsidR="00571376">
        <w:t xml:space="preserve">flights at risk of </w:t>
      </w:r>
      <w:r w:rsidRPr="009C2B10">
        <w:t xml:space="preserve">collision over the 25-year life of the project. Statistically, there is a 95% chance of between zero and </w:t>
      </w:r>
      <w:r w:rsidR="000B0B80">
        <w:t>five</w:t>
      </w:r>
      <w:r w:rsidRPr="009C2B10">
        <w:t xml:space="preserve"> collisions over 25 years. </w:t>
      </w:r>
    </w:p>
    <w:p w14:paraId="5C1F2935" w14:textId="1E312401" w:rsidR="009D2459" w:rsidRDefault="009D2459" w:rsidP="009D2459">
      <w:pPr>
        <w:pStyle w:val="BodyText"/>
      </w:pPr>
      <w:r w:rsidRPr="009C2B10">
        <w:t xml:space="preserve">A Population Viability Assessment </w:t>
      </w:r>
      <w:r w:rsidR="00C13358">
        <w:t xml:space="preserve">(PVA) </w:t>
      </w:r>
      <w:r w:rsidRPr="009C2B10">
        <w:t>was also completed to assess the impact to the Victorian Brolga population. The assessment predicted the population size would be reduced by between 0.</w:t>
      </w:r>
      <w:r w:rsidR="00D30168">
        <w:t>1</w:t>
      </w:r>
      <w:r w:rsidRPr="009C2B10">
        <w:t xml:space="preserve"> and 0.</w:t>
      </w:r>
      <w:r w:rsidR="003547A2">
        <w:t>8</w:t>
      </w:r>
      <w:r w:rsidRPr="009C2B10">
        <w:t xml:space="preserve"> birds over the project life compared with baseline conditions, or 0.1% of the Victorian Brolga population. </w:t>
      </w:r>
    </w:p>
    <w:p w14:paraId="259C94D2" w14:textId="17F7F909" w:rsidR="00D12788" w:rsidRPr="00E04EDB" w:rsidRDefault="00264416" w:rsidP="00D12788">
      <w:pPr>
        <w:pStyle w:val="BodyText"/>
        <w:rPr>
          <w:lang w:eastAsia="fr-CA"/>
        </w:rPr>
      </w:pPr>
      <w:r w:rsidRPr="00264416">
        <w:t>The Interim Brolga Guidelines require that the impacts</w:t>
      </w:r>
      <w:r w:rsidR="00D12788">
        <w:t xml:space="preserve"> </w:t>
      </w:r>
      <w:r w:rsidRPr="00264416">
        <w:t>on the Victorian Brolga population are ‘fully offset’</w:t>
      </w:r>
      <w:r>
        <w:t xml:space="preserve"> through the implementation of a Brolga compensation</w:t>
      </w:r>
      <w:r w:rsidR="00D12788">
        <w:t xml:space="preserve"> </w:t>
      </w:r>
      <w:r>
        <w:t>plan</w:t>
      </w:r>
      <w:r w:rsidRPr="00264416">
        <w:t>.</w:t>
      </w:r>
      <w:r>
        <w:t xml:space="preserve"> The </w:t>
      </w:r>
      <w:r w:rsidRPr="00264416">
        <w:t>aim of the plan will be to replace the</w:t>
      </w:r>
      <w:r w:rsidR="00D12788">
        <w:t xml:space="preserve"> </w:t>
      </w:r>
      <w:r w:rsidR="009004C8">
        <w:t>worst-case</w:t>
      </w:r>
      <w:r w:rsidR="002317A9" w:rsidRPr="00264416">
        <w:t xml:space="preserve"> </w:t>
      </w:r>
      <w:r w:rsidRPr="00264416">
        <w:t>estimat</w:t>
      </w:r>
      <w:r w:rsidR="002317A9">
        <w:t>e of the</w:t>
      </w:r>
      <w:r w:rsidRPr="00264416">
        <w:t xml:space="preserve"> number of Brolga affected by the </w:t>
      </w:r>
      <w:r>
        <w:t>project</w:t>
      </w:r>
      <w:r w:rsidR="00D12788">
        <w:t xml:space="preserve"> </w:t>
      </w:r>
      <w:r>
        <w:t>(</w:t>
      </w:r>
      <w:r w:rsidR="002317A9">
        <w:t>5</w:t>
      </w:r>
      <w:r>
        <w:t xml:space="preserve"> individuals over 25 years) </w:t>
      </w:r>
      <w:r w:rsidRPr="00264416">
        <w:t>through the</w:t>
      </w:r>
      <w:r w:rsidR="00D12788">
        <w:t xml:space="preserve"> </w:t>
      </w:r>
      <w:r w:rsidRPr="00264416">
        <w:t>restoration of lost breeding habitat so that additional</w:t>
      </w:r>
      <w:r w:rsidR="00D12788">
        <w:t xml:space="preserve"> </w:t>
      </w:r>
      <w:r w:rsidRPr="00264416">
        <w:t>breeding pairs can produce increased numbers of</w:t>
      </w:r>
      <w:r w:rsidR="00D12788">
        <w:t xml:space="preserve"> </w:t>
      </w:r>
      <w:r w:rsidRPr="00264416">
        <w:t>young that survive to become breeding adults</w:t>
      </w:r>
      <w:r>
        <w:t>.</w:t>
      </w:r>
      <w:r w:rsidR="00C13358">
        <w:t xml:space="preserve"> In this way, the impact on the population predicted by the PVA will be offset, meeting the policy objective of zero net impact on the Victorian Brolga population.</w:t>
      </w:r>
    </w:p>
    <w:p w14:paraId="327CC586" w14:textId="77777777" w:rsidR="009D2459" w:rsidRPr="001069F5" w:rsidRDefault="009D2459" w:rsidP="001069F5">
      <w:pPr>
        <w:pStyle w:val="Heading2"/>
      </w:pPr>
      <w:bookmarkStart w:id="5" w:name="_Toc83307398"/>
      <w:bookmarkStart w:id="6" w:name="_Toc104909266"/>
      <w:r w:rsidRPr="001069F5">
        <w:t>EES objectives and key issues</w:t>
      </w:r>
      <w:bookmarkEnd w:id="5"/>
      <w:bookmarkEnd w:id="6"/>
    </w:p>
    <w:p w14:paraId="77B27566" w14:textId="148A86D0" w:rsidR="009D2459" w:rsidRDefault="009D2459" w:rsidP="009D2459">
      <w:pPr>
        <w:pStyle w:val="BodyText"/>
      </w:pPr>
      <w:bookmarkStart w:id="7" w:name="_Hlk80267980"/>
      <w:r w:rsidRPr="009C2B10">
        <w:t>The EES scoping requirements specify the following draft evaluation objective and key issues</w:t>
      </w:r>
      <w:r w:rsidR="00D12788">
        <w:t xml:space="preserve">, outlined in </w:t>
      </w:r>
      <w:r w:rsidR="00D12788">
        <w:fldChar w:fldCharType="begin"/>
      </w:r>
      <w:r w:rsidR="00D12788">
        <w:instrText xml:space="preserve"> REF _Ref98755204 \h </w:instrText>
      </w:r>
      <w:r w:rsidR="00D12788">
        <w:fldChar w:fldCharType="separate"/>
      </w:r>
      <w:r w:rsidR="00C053A5">
        <w:t xml:space="preserve">Table </w:t>
      </w:r>
      <w:r w:rsidR="00C053A5">
        <w:rPr>
          <w:noProof/>
        </w:rPr>
        <w:t>11</w:t>
      </w:r>
      <w:r w:rsidR="00C053A5">
        <w:t>.</w:t>
      </w:r>
      <w:r w:rsidR="00C053A5">
        <w:rPr>
          <w:noProof/>
        </w:rPr>
        <w:t>1</w:t>
      </w:r>
      <w:r w:rsidR="00D12788">
        <w:fldChar w:fldCharType="end"/>
      </w:r>
      <w:r w:rsidR="00D12788">
        <w:t>,</w:t>
      </w:r>
      <w:r w:rsidRPr="009C2B10">
        <w:t xml:space="preserve"> relevant to Brolga</w:t>
      </w:r>
      <w:r w:rsidR="00D12788">
        <w:t xml:space="preserve"> that </w:t>
      </w:r>
      <w:r w:rsidRPr="009C2B10">
        <w:t xml:space="preserve">have guided this assessment. </w:t>
      </w:r>
    </w:p>
    <w:p w14:paraId="505FBAC5" w14:textId="70B81CFD" w:rsidR="001069F5" w:rsidRPr="001069F5" w:rsidRDefault="001069F5" w:rsidP="001069F5">
      <w:pPr>
        <w:pStyle w:val="Caption"/>
      </w:pPr>
      <w:bookmarkStart w:id="8" w:name="ReturnHere"/>
      <w:bookmarkStart w:id="9" w:name="_Ref98755204"/>
      <w:bookmarkStart w:id="10" w:name="_Toc104909282"/>
      <w:bookmarkEnd w:id="8"/>
      <w:r>
        <w:t xml:space="preserve">Table </w:t>
      </w:r>
      <w:r w:rsidR="00EB48E9">
        <w:fldChar w:fldCharType="begin"/>
      </w:r>
      <w:r w:rsidR="00EB48E9">
        <w:instrText xml:space="preserve"> STYLEREF 1 \s </w:instrText>
      </w:r>
      <w:r w:rsidR="00EB48E9">
        <w:fldChar w:fldCharType="separate"/>
      </w:r>
      <w:r w:rsidR="00C053A5">
        <w:rPr>
          <w:noProof/>
        </w:rPr>
        <w:t>11</w:t>
      </w:r>
      <w:r w:rsidR="00EB48E9">
        <w:rPr>
          <w:noProof/>
        </w:rPr>
        <w:fldChar w:fldCharType="end"/>
      </w:r>
      <w:r>
        <w:t>.</w:t>
      </w:r>
      <w:r w:rsidR="00EB48E9">
        <w:fldChar w:fldCharType="begin"/>
      </w:r>
      <w:r w:rsidR="00EB48E9">
        <w:instrText xml:space="preserve"> SEQ Table \* ARABIC \s 1 </w:instrText>
      </w:r>
      <w:r w:rsidR="00EB48E9">
        <w:fldChar w:fldCharType="separate"/>
      </w:r>
      <w:r w:rsidR="00C053A5">
        <w:rPr>
          <w:noProof/>
        </w:rPr>
        <w:t>1</w:t>
      </w:r>
      <w:r w:rsidR="00EB48E9">
        <w:rPr>
          <w:noProof/>
        </w:rPr>
        <w:fldChar w:fldCharType="end"/>
      </w:r>
      <w:bookmarkEnd w:id="9"/>
      <w:r>
        <w:tab/>
        <w:t>EES draft evaluation objective and key issues</w:t>
      </w:r>
      <w:bookmarkEnd w:id="10"/>
    </w:p>
    <w:tbl>
      <w:tblPr>
        <w:tblStyle w:val="Table1"/>
        <w:tblW w:w="5000" w:type="pct"/>
        <w:tblLook w:val="04A0" w:firstRow="1" w:lastRow="0" w:firstColumn="1" w:lastColumn="0" w:noHBand="0" w:noVBand="1"/>
      </w:tblPr>
      <w:tblGrid>
        <w:gridCol w:w="1997"/>
        <w:gridCol w:w="7073"/>
      </w:tblGrid>
      <w:tr w:rsidR="009D2459" w:rsidRPr="009C2B10" w14:paraId="39AD35B2" w14:textId="77777777" w:rsidTr="005E4C4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00" w:type="pct"/>
            <w:gridSpan w:val="2"/>
          </w:tcPr>
          <w:p w14:paraId="144ED473" w14:textId="77777777" w:rsidR="009D2459" w:rsidRPr="009C2B10" w:rsidRDefault="009D2459" w:rsidP="005E4C49">
            <w:pPr>
              <w:pStyle w:val="TableHeading"/>
            </w:pPr>
            <w:r w:rsidRPr="009C2B10">
              <w:t>Draft evaluation objective</w:t>
            </w:r>
          </w:p>
          <w:p w14:paraId="2F390623" w14:textId="6A5EB5C7" w:rsidR="009D2459" w:rsidRPr="009C2B10" w:rsidRDefault="009D2459" w:rsidP="005E4C49">
            <w:pPr>
              <w:pStyle w:val="TableHeading"/>
            </w:pPr>
            <w:r w:rsidRPr="009C2B10">
              <w:t xml:space="preserve">Biodiversity and habitat: </w:t>
            </w:r>
            <w:r w:rsidRPr="001069F5">
              <w:rPr>
                <w:b w:val="0"/>
                <w:bCs w:val="0"/>
                <w:i/>
                <w:iCs/>
              </w:rPr>
              <w:t>To avoid or minimise potential adverse effects on biodiversity values within and near the site including native vegetation, listed threatened species and ecological communities, and habitat for these species. Where relevant, offset requirements are to be addressed consistent with state and Commonwealth policies</w:t>
            </w:r>
            <w:r w:rsidR="009949A0">
              <w:rPr>
                <w:b w:val="0"/>
                <w:bCs w:val="0"/>
                <w:i/>
                <w:iCs/>
              </w:rPr>
              <w:t>.</w:t>
            </w:r>
          </w:p>
        </w:tc>
      </w:tr>
      <w:tr w:rsidR="009D2459" w:rsidRPr="009C2B10" w14:paraId="399B695C" w14:textId="77777777" w:rsidTr="005E4C49">
        <w:tc>
          <w:tcPr>
            <w:cnfStyle w:val="001000000000" w:firstRow="0" w:lastRow="0" w:firstColumn="1" w:lastColumn="0" w:oddVBand="0" w:evenVBand="0" w:oddHBand="0" w:evenHBand="0" w:firstRowFirstColumn="0" w:firstRowLastColumn="0" w:lastRowFirstColumn="0" w:lastRowLastColumn="0"/>
            <w:tcW w:w="1101" w:type="pct"/>
          </w:tcPr>
          <w:p w14:paraId="44F1C45B" w14:textId="77777777" w:rsidR="009D2459" w:rsidRPr="009C2B10" w:rsidRDefault="009D2459" w:rsidP="005E4C49">
            <w:pPr>
              <w:pStyle w:val="TableText"/>
              <w:rPr>
                <w:b/>
              </w:rPr>
            </w:pPr>
            <w:bookmarkStart w:id="11" w:name="_Hlk71025682"/>
            <w:r w:rsidRPr="009C2B10">
              <w:rPr>
                <w:b/>
              </w:rPr>
              <w:t>Key issues</w:t>
            </w:r>
          </w:p>
        </w:tc>
        <w:tc>
          <w:tcPr>
            <w:tcW w:w="3899" w:type="pct"/>
          </w:tcPr>
          <w:p w14:paraId="0A06B6F8" w14:textId="77777777" w:rsidR="009D2459" w:rsidRPr="009C2B10" w:rsidRDefault="009D2459" w:rsidP="001069F5">
            <w:pPr>
              <w:pStyle w:val="TableBullet1"/>
              <w:cnfStyle w:val="000000000000" w:firstRow="0" w:lastRow="0" w:firstColumn="0" w:lastColumn="0" w:oddVBand="0" w:evenVBand="0" w:oddHBand="0" w:evenHBand="0" w:firstRowFirstColumn="0" w:firstRowLastColumn="0" w:lastRowFirstColumn="0" w:lastRowLastColumn="0"/>
            </w:pPr>
            <w:r w:rsidRPr="009C2B10">
              <w:t>Disturbance and/or degradation of adjacent or nearby habitat that may support listed species or other protected flora, fauna or ecological communities.</w:t>
            </w:r>
          </w:p>
          <w:p w14:paraId="3EA60EC0" w14:textId="77777777" w:rsidR="009D2459" w:rsidRPr="009C2B10" w:rsidRDefault="009D2459" w:rsidP="001069F5">
            <w:pPr>
              <w:pStyle w:val="TableBullet1"/>
              <w:cnfStyle w:val="000000000000" w:firstRow="0" w:lastRow="0" w:firstColumn="0" w:lastColumn="0" w:oddVBand="0" w:evenVBand="0" w:oddHBand="0" w:evenHBand="0" w:firstRowFirstColumn="0" w:firstRowLastColumn="0" w:lastRowFirstColumn="0" w:lastRowLastColumn="0"/>
            </w:pPr>
            <w:r w:rsidRPr="009C2B10">
              <w:t>Disturbance and/or individual to population level loss of flora and fauna species listed as threatened under the EPBC Act, FFG Act and/or DELWP advisory lists.</w:t>
            </w:r>
          </w:p>
          <w:p w14:paraId="0390C09C" w14:textId="4EB95A12" w:rsidR="009D2459" w:rsidRPr="009C2B10" w:rsidRDefault="009D2459" w:rsidP="001069F5">
            <w:pPr>
              <w:pStyle w:val="TableBullet1"/>
              <w:cnfStyle w:val="000000000000" w:firstRow="0" w:lastRow="0" w:firstColumn="0" w:lastColumn="0" w:oddVBand="0" w:evenVBand="0" w:oddHBand="0" w:evenHBand="0" w:firstRowFirstColumn="0" w:firstRowLastColumn="0" w:lastRowFirstColumn="0" w:lastRowLastColumn="0"/>
            </w:pPr>
            <w:r w:rsidRPr="009C2B10">
              <w:t>Indirect habitat loss or degradation resulting from other effects, such as edge effects, surface hydrological changes, groundwater drawdown, noise, vibration, light or the introduction of weeds/pathogens.</w:t>
            </w:r>
          </w:p>
          <w:p w14:paraId="6339C084" w14:textId="77777777" w:rsidR="009D2459" w:rsidRPr="009C2B10" w:rsidRDefault="009D2459" w:rsidP="001069F5">
            <w:pPr>
              <w:pStyle w:val="TableBullet1"/>
              <w:cnfStyle w:val="000000000000" w:firstRow="0" w:lastRow="0" w:firstColumn="0" w:lastColumn="0" w:oddVBand="0" w:evenVBand="0" w:oddHBand="0" w:evenHBand="0" w:firstRowFirstColumn="0" w:firstRowLastColumn="0" w:lastRowFirstColumn="0" w:lastRowLastColumn="0"/>
            </w:pPr>
            <w:r w:rsidRPr="009C2B10">
              <w:t>Potential collision risk for protected bird and bat species with project infrastructure, including with wind turbine blades.</w:t>
            </w:r>
          </w:p>
        </w:tc>
      </w:tr>
    </w:tbl>
    <w:p w14:paraId="3743FB38" w14:textId="77777777" w:rsidR="009D2459" w:rsidRPr="001069F5" w:rsidRDefault="009D2459" w:rsidP="009949A0">
      <w:pPr>
        <w:pStyle w:val="Heading2"/>
        <w:pageBreakBefore/>
      </w:pPr>
      <w:bookmarkStart w:id="12" w:name="_Toc83307399"/>
      <w:bookmarkStart w:id="13" w:name="_Toc104909267"/>
      <w:bookmarkEnd w:id="7"/>
      <w:bookmarkEnd w:id="11"/>
      <w:r w:rsidRPr="001069F5">
        <w:lastRenderedPageBreak/>
        <w:t>Legislation, policy and guidelines</w:t>
      </w:r>
      <w:bookmarkEnd w:id="12"/>
      <w:bookmarkEnd w:id="13"/>
    </w:p>
    <w:p w14:paraId="4609610B" w14:textId="256DD653" w:rsidR="009D2459" w:rsidRPr="009C2B10" w:rsidRDefault="009D2459" w:rsidP="009D2459">
      <w:pPr>
        <w:pStyle w:val="BodyText"/>
      </w:pPr>
      <w:r w:rsidRPr="009C2B10">
        <w:t xml:space="preserve">Legislation, policies and guidelines relevant to the Brolga assessment are summarised in </w:t>
      </w:r>
      <w:r w:rsidR="001069F5">
        <w:fldChar w:fldCharType="begin"/>
      </w:r>
      <w:r w:rsidR="001069F5">
        <w:instrText xml:space="preserve"> REF _Ref88553948 \h </w:instrText>
      </w:r>
      <w:r w:rsidR="001069F5">
        <w:fldChar w:fldCharType="separate"/>
      </w:r>
      <w:r w:rsidR="00C053A5" w:rsidRPr="001069F5">
        <w:t xml:space="preserve">Table </w:t>
      </w:r>
      <w:r w:rsidR="00C053A5">
        <w:rPr>
          <w:noProof/>
        </w:rPr>
        <w:t>11</w:t>
      </w:r>
      <w:r w:rsidR="00C053A5" w:rsidRPr="001069F5">
        <w:t>.</w:t>
      </w:r>
      <w:r w:rsidR="00C053A5">
        <w:rPr>
          <w:noProof/>
        </w:rPr>
        <w:t>2</w:t>
      </w:r>
      <w:r w:rsidR="001069F5">
        <w:fldChar w:fldCharType="end"/>
      </w:r>
      <w:r w:rsidRPr="009C2B10">
        <w:t xml:space="preserve"> below.</w:t>
      </w:r>
    </w:p>
    <w:p w14:paraId="70DCCAB2" w14:textId="7B881EFA" w:rsidR="009D2459" w:rsidRPr="001069F5" w:rsidRDefault="009D2459" w:rsidP="001069F5">
      <w:pPr>
        <w:pStyle w:val="Caption"/>
      </w:pPr>
      <w:bookmarkStart w:id="14" w:name="_Ref88553948"/>
      <w:bookmarkStart w:id="15" w:name="_Toc71038593"/>
      <w:bookmarkStart w:id="16" w:name="_Toc83308044"/>
      <w:bookmarkStart w:id="17" w:name="_Toc104909283"/>
      <w:r w:rsidRPr="001069F5">
        <w:t xml:space="preserve">Table </w:t>
      </w:r>
      <w:r w:rsidR="00EB48E9">
        <w:fldChar w:fldCharType="begin"/>
      </w:r>
      <w:r w:rsidR="00EB48E9">
        <w:instrText xml:space="preserve"> STYLEREF 1 \s </w:instrText>
      </w:r>
      <w:r w:rsidR="00EB48E9">
        <w:fldChar w:fldCharType="separate"/>
      </w:r>
      <w:r w:rsidR="00C053A5">
        <w:rPr>
          <w:noProof/>
        </w:rPr>
        <w:t>11</w:t>
      </w:r>
      <w:r w:rsidR="00EB48E9">
        <w:rPr>
          <w:noProof/>
        </w:rPr>
        <w:fldChar w:fldCharType="end"/>
      </w:r>
      <w:r w:rsidR="001069F5" w:rsidRPr="001069F5">
        <w:t>.</w:t>
      </w:r>
      <w:r w:rsidR="00EB48E9">
        <w:fldChar w:fldCharType="begin"/>
      </w:r>
      <w:r w:rsidR="00EB48E9">
        <w:instrText xml:space="preserve"> SEQ Table \* ARABIC \s 1 </w:instrText>
      </w:r>
      <w:r w:rsidR="00EB48E9">
        <w:fldChar w:fldCharType="separate"/>
      </w:r>
      <w:r w:rsidR="00C053A5">
        <w:rPr>
          <w:noProof/>
        </w:rPr>
        <w:t>2</w:t>
      </w:r>
      <w:r w:rsidR="00EB48E9">
        <w:rPr>
          <w:noProof/>
        </w:rPr>
        <w:fldChar w:fldCharType="end"/>
      </w:r>
      <w:bookmarkEnd w:id="14"/>
      <w:r w:rsidRPr="001069F5">
        <w:tab/>
        <w:t>Relevant legislation, policies and guidelines</w:t>
      </w:r>
      <w:bookmarkEnd w:id="15"/>
      <w:bookmarkEnd w:id="16"/>
      <w:bookmarkEnd w:id="17"/>
    </w:p>
    <w:tbl>
      <w:tblPr>
        <w:tblStyle w:val="Table1"/>
        <w:tblW w:w="5002" w:type="pct"/>
        <w:tblLook w:val="04A0" w:firstRow="1" w:lastRow="0" w:firstColumn="1" w:lastColumn="0" w:noHBand="0" w:noVBand="1"/>
      </w:tblPr>
      <w:tblGrid>
        <w:gridCol w:w="2129"/>
        <w:gridCol w:w="3118"/>
        <w:gridCol w:w="3827"/>
      </w:tblGrid>
      <w:tr w:rsidR="009D2459" w:rsidRPr="009C2B10" w14:paraId="62C6A090" w14:textId="77777777" w:rsidTr="009949A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73" w:type="pct"/>
          </w:tcPr>
          <w:p w14:paraId="6158F77D" w14:textId="77777777" w:rsidR="009D2459" w:rsidRPr="009C2B10" w:rsidRDefault="009D2459" w:rsidP="005E4C49">
            <w:pPr>
              <w:pStyle w:val="TableHeading"/>
            </w:pPr>
            <w:bookmarkStart w:id="18" w:name="_Hlk74321582"/>
            <w:r w:rsidRPr="009C2B10">
              <w:t xml:space="preserve">Legislation, policy and guidelines </w:t>
            </w:r>
          </w:p>
        </w:tc>
        <w:tc>
          <w:tcPr>
            <w:tcW w:w="1718" w:type="pct"/>
          </w:tcPr>
          <w:p w14:paraId="2D1B54BF" w14:textId="77777777" w:rsidR="009D2459" w:rsidRPr="009C2B10" w:rsidRDefault="009D2459" w:rsidP="005E4C49">
            <w:pPr>
              <w:pStyle w:val="TableHeading"/>
              <w:cnfStyle w:val="100000000000" w:firstRow="1" w:lastRow="0" w:firstColumn="0" w:lastColumn="0" w:oddVBand="0" w:evenVBand="0" w:oddHBand="0" w:evenHBand="0" w:firstRowFirstColumn="0" w:firstRowLastColumn="0" w:lastRowFirstColumn="0" w:lastRowLastColumn="0"/>
            </w:pPr>
            <w:r w:rsidRPr="009C2B10">
              <w:t>Description</w:t>
            </w:r>
          </w:p>
        </w:tc>
        <w:tc>
          <w:tcPr>
            <w:tcW w:w="2109" w:type="pct"/>
          </w:tcPr>
          <w:p w14:paraId="0C8EF12A" w14:textId="77777777" w:rsidR="009D2459" w:rsidRPr="009C2B10" w:rsidRDefault="009D2459" w:rsidP="005E4C49">
            <w:pPr>
              <w:pStyle w:val="TableHeading"/>
              <w:cnfStyle w:val="100000000000" w:firstRow="1" w:lastRow="0" w:firstColumn="0" w:lastColumn="0" w:oddVBand="0" w:evenVBand="0" w:oddHBand="0" w:evenHBand="0" w:firstRowFirstColumn="0" w:firstRowLastColumn="0" w:lastRowFirstColumn="0" w:lastRowLastColumn="0"/>
            </w:pPr>
            <w:r w:rsidRPr="009C2B10">
              <w:t>Relevance to Project</w:t>
            </w:r>
          </w:p>
        </w:tc>
      </w:tr>
      <w:tr w:rsidR="009D2459" w:rsidRPr="009C2B10" w14:paraId="60E47415" w14:textId="77777777" w:rsidTr="009949A0">
        <w:tc>
          <w:tcPr>
            <w:cnfStyle w:val="001000000000" w:firstRow="0" w:lastRow="0" w:firstColumn="1" w:lastColumn="0" w:oddVBand="0" w:evenVBand="0" w:oddHBand="0" w:evenHBand="0" w:firstRowFirstColumn="0" w:firstRowLastColumn="0" w:lastRowFirstColumn="0" w:lastRowLastColumn="0"/>
            <w:tcW w:w="1173" w:type="pct"/>
          </w:tcPr>
          <w:p w14:paraId="269D0D17" w14:textId="1AA5A189" w:rsidR="009D2459" w:rsidRPr="009C2B10" w:rsidRDefault="009D2459" w:rsidP="001069F5">
            <w:pPr>
              <w:pStyle w:val="TableText"/>
            </w:pPr>
            <w:r w:rsidRPr="009C2B10">
              <w:t>Victorian</w:t>
            </w:r>
            <w:r w:rsidRPr="00EE2D1A">
              <w:rPr>
                <w:i/>
                <w:iCs/>
              </w:rPr>
              <w:t xml:space="preserve"> Flora and Fauna Guarantee Act 1988</w:t>
            </w:r>
            <w:r w:rsidRPr="009C2B10">
              <w:t xml:space="preserve"> (FFG</w:t>
            </w:r>
            <w:r w:rsidR="001069F5">
              <w:t> </w:t>
            </w:r>
            <w:r w:rsidRPr="009C2B10">
              <w:t>Act)</w:t>
            </w:r>
          </w:p>
        </w:tc>
        <w:tc>
          <w:tcPr>
            <w:tcW w:w="1718" w:type="pct"/>
          </w:tcPr>
          <w:p w14:paraId="720BEEB7" w14:textId="77777777" w:rsidR="009D2459" w:rsidRPr="009C2B10" w:rsidRDefault="009D2459" w:rsidP="005E4C49">
            <w:pPr>
              <w:pStyle w:val="TableText"/>
              <w:cnfStyle w:val="000000000000" w:firstRow="0" w:lastRow="0" w:firstColumn="0" w:lastColumn="0" w:oddVBand="0" w:evenVBand="0" w:oddHBand="0" w:evenHBand="0" w:firstRowFirstColumn="0" w:firstRowLastColumn="0" w:lastRowFirstColumn="0" w:lastRowLastColumn="0"/>
            </w:pPr>
            <w:r w:rsidRPr="009C2B10">
              <w:t>The FFG Act lists threatened and protected species in the State of Victoria.</w:t>
            </w:r>
          </w:p>
        </w:tc>
        <w:tc>
          <w:tcPr>
            <w:tcW w:w="2109" w:type="pct"/>
          </w:tcPr>
          <w:p w14:paraId="4ED1C7A2" w14:textId="77777777" w:rsidR="009D2459" w:rsidRPr="009C2B10" w:rsidRDefault="009D2459" w:rsidP="005E4C49">
            <w:pPr>
              <w:pStyle w:val="TableText"/>
              <w:cnfStyle w:val="000000000000" w:firstRow="0" w:lastRow="0" w:firstColumn="0" w:lastColumn="0" w:oddVBand="0" w:evenVBand="0" w:oddHBand="0" w:evenHBand="0" w:firstRowFirstColumn="0" w:firstRowLastColumn="0" w:lastRowFirstColumn="0" w:lastRowLastColumn="0"/>
            </w:pPr>
            <w:r w:rsidRPr="009C2B10">
              <w:t>Brolga is listed as threatened species which occurs in the broader region around the project in south-west Victoria.</w:t>
            </w:r>
          </w:p>
        </w:tc>
      </w:tr>
      <w:tr w:rsidR="00BB4A68" w:rsidRPr="009C2B10" w14:paraId="32551D46" w14:textId="77777777" w:rsidTr="009949A0">
        <w:tc>
          <w:tcPr>
            <w:cnfStyle w:val="001000000000" w:firstRow="0" w:lastRow="0" w:firstColumn="1" w:lastColumn="0" w:oddVBand="0" w:evenVBand="0" w:oddHBand="0" w:evenHBand="0" w:firstRowFirstColumn="0" w:firstRowLastColumn="0" w:lastRowFirstColumn="0" w:lastRowLastColumn="0"/>
            <w:tcW w:w="1173" w:type="pct"/>
          </w:tcPr>
          <w:p w14:paraId="17F9D357" w14:textId="77777777" w:rsidR="00BB4A68" w:rsidRPr="00FC2B86" w:rsidRDefault="00BB4A68" w:rsidP="00BB4A68">
            <w:pPr>
              <w:pStyle w:val="TableText"/>
              <w:rPr>
                <w:i/>
              </w:rPr>
            </w:pPr>
            <w:r w:rsidRPr="00FC2B86">
              <w:rPr>
                <w:i/>
              </w:rPr>
              <w:t>Planning and Environment Act 1987</w:t>
            </w:r>
          </w:p>
          <w:p w14:paraId="2C53E97A" w14:textId="77777777" w:rsidR="00BB4A68" w:rsidRPr="009C2B10" w:rsidRDefault="00BB4A68" w:rsidP="00BB4A68">
            <w:pPr>
              <w:pStyle w:val="TableText"/>
            </w:pPr>
          </w:p>
        </w:tc>
        <w:tc>
          <w:tcPr>
            <w:tcW w:w="1718" w:type="pct"/>
          </w:tcPr>
          <w:p w14:paraId="2A30CB22" w14:textId="662D7503" w:rsidR="00BB4A68" w:rsidRPr="009C2B10" w:rsidRDefault="00BB4A68" w:rsidP="00BB4A68">
            <w:pPr>
              <w:pStyle w:val="TableText"/>
              <w:cnfStyle w:val="000000000000" w:firstRow="0" w:lastRow="0" w:firstColumn="0" w:lastColumn="0" w:oddVBand="0" w:evenVBand="0" w:oddHBand="0" w:evenHBand="0" w:firstRowFirstColumn="0" w:firstRowLastColumn="0" w:lastRowFirstColumn="0" w:lastRowLastColumn="0"/>
            </w:pPr>
            <w:r w:rsidRPr="00FC2B86">
              <w:t xml:space="preserve">The purpose of the </w:t>
            </w:r>
            <w:r w:rsidRPr="00FC2B86">
              <w:rPr>
                <w:i/>
              </w:rPr>
              <w:t xml:space="preserve">Planning and Environment Act 1987 </w:t>
            </w:r>
            <w:r w:rsidRPr="00FC2B86">
              <w:t>is to establish a framework for planning the use, development and protection of land in Victoria. This Act sets out the process for obtaining permits under schemes, settling disputes, enforcing compliance with planning schemes and permits, and other administrative procedures.</w:t>
            </w:r>
          </w:p>
        </w:tc>
        <w:tc>
          <w:tcPr>
            <w:tcW w:w="2109" w:type="pct"/>
          </w:tcPr>
          <w:p w14:paraId="2CED9AB7" w14:textId="76C0E45D" w:rsidR="00BB4A68" w:rsidRPr="009C2B10" w:rsidRDefault="00BB4A68" w:rsidP="00BB4A68">
            <w:pPr>
              <w:pStyle w:val="TableText"/>
              <w:cnfStyle w:val="000000000000" w:firstRow="0" w:lastRow="0" w:firstColumn="0" w:lastColumn="0" w:oddVBand="0" w:evenVBand="0" w:oddHBand="0" w:evenHBand="0" w:firstRowFirstColumn="0" w:firstRowLastColumn="0" w:lastRowFirstColumn="0" w:lastRowLastColumn="0"/>
            </w:pPr>
            <w:r w:rsidRPr="00FC2B86">
              <w:t>The Moyne Planning Scheme is relevant to the project and is administered by the Moyne</w:t>
            </w:r>
            <w:r w:rsidR="009949A0">
              <w:t> </w:t>
            </w:r>
            <w:r w:rsidRPr="00FC2B86">
              <w:t>Shire Council.</w:t>
            </w:r>
          </w:p>
        </w:tc>
      </w:tr>
      <w:tr w:rsidR="00BB4A68" w:rsidRPr="009C2B10" w14:paraId="12D2F221" w14:textId="77777777" w:rsidTr="009949A0">
        <w:tc>
          <w:tcPr>
            <w:cnfStyle w:val="001000000000" w:firstRow="0" w:lastRow="0" w:firstColumn="1" w:lastColumn="0" w:oddVBand="0" w:evenVBand="0" w:oddHBand="0" w:evenHBand="0" w:firstRowFirstColumn="0" w:firstRowLastColumn="0" w:lastRowFirstColumn="0" w:lastRowLastColumn="0"/>
            <w:tcW w:w="1173" w:type="pct"/>
            <w:vMerge w:val="restart"/>
          </w:tcPr>
          <w:p w14:paraId="1D72839E" w14:textId="77777777" w:rsidR="00BB4A68" w:rsidRPr="009C2B10" w:rsidRDefault="00BB4A68" w:rsidP="00BB4A68">
            <w:pPr>
              <w:pStyle w:val="TableText"/>
            </w:pPr>
          </w:p>
        </w:tc>
        <w:tc>
          <w:tcPr>
            <w:tcW w:w="1718" w:type="pct"/>
          </w:tcPr>
          <w:p w14:paraId="4D2FFE78" w14:textId="01301DA8" w:rsidR="00BB4A68" w:rsidRPr="009C2B10" w:rsidRDefault="00BB4A68" w:rsidP="00BB4A68">
            <w:pPr>
              <w:pStyle w:val="TableText"/>
              <w:cnfStyle w:val="000000000000" w:firstRow="0" w:lastRow="0" w:firstColumn="0" w:lastColumn="0" w:oddVBand="0" w:evenVBand="0" w:oddHBand="0" w:evenHBand="0" w:firstRowFirstColumn="0" w:firstRowLastColumn="0" w:lastRowFirstColumn="0" w:lastRowLastColumn="0"/>
            </w:pPr>
            <w:r w:rsidRPr="00FC2B86">
              <w:t>Planning Policy Framework and Municipal Strategic Statement</w:t>
            </w:r>
          </w:p>
        </w:tc>
        <w:tc>
          <w:tcPr>
            <w:tcW w:w="2109" w:type="pct"/>
          </w:tcPr>
          <w:p w14:paraId="2DEE65E9" w14:textId="030A0706" w:rsidR="00BB4A68" w:rsidRPr="00FC2B86" w:rsidRDefault="00BB4A68" w:rsidP="00BB4A68">
            <w:pPr>
              <w:pStyle w:val="TableText"/>
              <w:cnfStyle w:val="000000000000" w:firstRow="0" w:lastRow="0" w:firstColumn="0" w:lastColumn="0" w:oddVBand="0" w:evenVBand="0" w:oddHBand="0" w:evenHBand="0" w:firstRowFirstColumn="0" w:firstRowLastColumn="0" w:lastRowFirstColumn="0" w:lastRowLastColumn="0"/>
            </w:pPr>
            <w:r w:rsidRPr="00FC2B86">
              <w:t xml:space="preserve">The following </w:t>
            </w:r>
            <w:r>
              <w:t>c</w:t>
            </w:r>
            <w:r w:rsidRPr="00FC2B86">
              <w:t>lauses of the Planning Policy Framework and Municipal Strategic Statement contained within the Moyne</w:t>
            </w:r>
            <w:r w:rsidR="009949A0">
              <w:t> </w:t>
            </w:r>
            <w:r w:rsidRPr="00FC2B86">
              <w:t>Planning Scheme are relevant to biodiversity for the project:</w:t>
            </w:r>
          </w:p>
          <w:p w14:paraId="2DC8781C" w14:textId="77777777" w:rsidR="00BB4A68" w:rsidRPr="00FC2B86" w:rsidRDefault="00BB4A68" w:rsidP="00BB4A68">
            <w:pPr>
              <w:pStyle w:val="TableBullet1"/>
              <w:cnfStyle w:val="000000000000" w:firstRow="0" w:lastRow="0" w:firstColumn="0" w:lastColumn="0" w:oddVBand="0" w:evenVBand="0" w:oddHBand="0" w:evenHBand="0" w:firstRowFirstColumn="0" w:firstRowLastColumn="0" w:lastRowFirstColumn="0" w:lastRowLastColumn="0"/>
            </w:pPr>
            <w:r w:rsidRPr="00FC2B86">
              <w:t>12.01-1S Protection of biodiversity objective is “to assist the protection and conservation of Victoria’s biodiversity.”</w:t>
            </w:r>
          </w:p>
          <w:p w14:paraId="7EB48EB1" w14:textId="77777777" w:rsidR="00BB4A68" w:rsidRPr="00FC2B86" w:rsidRDefault="00BB4A68" w:rsidP="00BB4A68">
            <w:pPr>
              <w:pStyle w:val="TableBullet1"/>
              <w:cnfStyle w:val="000000000000" w:firstRow="0" w:lastRow="0" w:firstColumn="0" w:lastColumn="0" w:oddVBand="0" w:evenVBand="0" w:oddHBand="0" w:evenHBand="0" w:firstRowFirstColumn="0" w:firstRowLastColumn="0" w:lastRowFirstColumn="0" w:lastRowLastColumn="0"/>
            </w:pPr>
            <w:r w:rsidRPr="00FC2B86">
              <w:t>12.01-2S Native vegetation management objective is “to ensure that there is no net loss to biodiversity as a result of the removal, destruction or lopping of native vegetation.”</w:t>
            </w:r>
          </w:p>
          <w:p w14:paraId="6FD30D8D" w14:textId="77777777" w:rsidR="00BB4A68" w:rsidRPr="00FC2B86" w:rsidRDefault="00BB4A68" w:rsidP="00BB4A68">
            <w:pPr>
              <w:pStyle w:val="TableBullet1"/>
              <w:cnfStyle w:val="000000000000" w:firstRow="0" w:lastRow="0" w:firstColumn="0" w:lastColumn="0" w:oddVBand="0" w:evenVBand="0" w:oddHBand="0" w:evenHBand="0" w:firstRowFirstColumn="0" w:firstRowLastColumn="0" w:lastRowFirstColumn="0" w:lastRowLastColumn="0"/>
            </w:pPr>
            <w:r w:rsidRPr="00FC2B86">
              <w:t>21.06 Environment objectives include:</w:t>
            </w:r>
          </w:p>
          <w:p w14:paraId="0EBBDC60" w14:textId="77777777" w:rsidR="00BB4A68" w:rsidRPr="00FC2B86" w:rsidRDefault="00BB4A68" w:rsidP="00BB4A68">
            <w:pPr>
              <w:pStyle w:val="TableBullet2"/>
              <w:cnfStyle w:val="000000000000" w:firstRow="0" w:lastRow="0" w:firstColumn="0" w:lastColumn="0" w:oddVBand="0" w:evenVBand="0" w:oddHBand="0" w:evenHBand="0" w:firstRowFirstColumn="0" w:firstRowLastColumn="0" w:lastRowFirstColumn="0" w:lastRowLastColumn="0"/>
            </w:pPr>
            <w:r w:rsidRPr="00FC2B86">
              <w:t xml:space="preserve">reduce the impact of pest plants and animals on the Shire’s resources and production </w:t>
            </w:r>
          </w:p>
          <w:p w14:paraId="580215FB" w14:textId="77777777" w:rsidR="00BB4A68" w:rsidRPr="00FC2B86" w:rsidRDefault="00BB4A68" w:rsidP="00BB4A68">
            <w:pPr>
              <w:pStyle w:val="TableBullet2"/>
              <w:cnfStyle w:val="000000000000" w:firstRow="0" w:lastRow="0" w:firstColumn="0" w:lastColumn="0" w:oddVBand="0" w:evenVBand="0" w:oddHBand="0" w:evenHBand="0" w:firstRowFirstColumn="0" w:firstRowLastColumn="0" w:lastRowFirstColumn="0" w:lastRowLastColumn="0"/>
            </w:pPr>
            <w:r w:rsidRPr="00FC2B86">
              <w:t>protect and enhance the region’s indigenous genetic biodiversity.</w:t>
            </w:r>
          </w:p>
          <w:p w14:paraId="6312267B" w14:textId="77777777" w:rsidR="00BB4A68" w:rsidRPr="00FC2B86" w:rsidRDefault="00BB4A68" w:rsidP="00BB4A68">
            <w:pPr>
              <w:pStyle w:val="TableBullet1"/>
              <w:cnfStyle w:val="000000000000" w:firstRow="0" w:lastRow="0" w:firstColumn="0" w:lastColumn="0" w:oddVBand="0" w:evenVBand="0" w:oddHBand="0" w:evenHBand="0" w:firstRowFirstColumn="0" w:firstRowLastColumn="0" w:lastRowFirstColumn="0" w:lastRowLastColumn="0"/>
            </w:pPr>
            <w:r w:rsidRPr="00FC2B86">
              <w:t>22.02 Environment key clauses include:</w:t>
            </w:r>
          </w:p>
          <w:p w14:paraId="454212AB" w14:textId="42D47438" w:rsidR="00BB4A68" w:rsidRPr="009C2B10" w:rsidRDefault="00BB4A68" w:rsidP="00137A75">
            <w:pPr>
              <w:pStyle w:val="TableBullet2"/>
              <w:cnfStyle w:val="000000000000" w:firstRow="0" w:lastRow="0" w:firstColumn="0" w:lastColumn="0" w:oddVBand="0" w:evenVBand="0" w:oddHBand="0" w:evenHBand="0" w:firstRowFirstColumn="0" w:firstRowLastColumn="0" w:lastRowFirstColumn="0" w:lastRowLastColumn="0"/>
            </w:pPr>
            <w:r w:rsidRPr="00FC2B86">
              <w:t>22.02-2 Rare and threatened species (objective: “to maintain and enhance the habitat, particularly the critical habitat, of Victorian Rare and Threatened Flora and Fauna species”)</w:t>
            </w:r>
            <w:r w:rsidR="009949A0">
              <w:t>.</w:t>
            </w:r>
          </w:p>
        </w:tc>
      </w:tr>
      <w:tr w:rsidR="00BB4A68" w:rsidRPr="009C2B10" w14:paraId="65D5A5B3" w14:textId="77777777" w:rsidTr="009949A0">
        <w:tc>
          <w:tcPr>
            <w:cnfStyle w:val="001000000000" w:firstRow="0" w:lastRow="0" w:firstColumn="1" w:lastColumn="0" w:oddVBand="0" w:evenVBand="0" w:oddHBand="0" w:evenHBand="0" w:firstRowFirstColumn="0" w:firstRowLastColumn="0" w:lastRowFirstColumn="0" w:lastRowLastColumn="0"/>
            <w:tcW w:w="1173" w:type="pct"/>
            <w:vMerge/>
          </w:tcPr>
          <w:p w14:paraId="31BA191E" w14:textId="77777777" w:rsidR="00BB4A68" w:rsidRPr="009C2B10" w:rsidRDefault="00BB4A68" w:rsidP="00BB4A68">
            <w:pPr>
              <w:pStyle w:val="TableText"/>
            </w:pPr>
          </w:p>
        </w:tc>
        <w:tc>
          <w:tcPr>
            <w:tcW w:w="1718" w:type="pct"/>
          </w:tcPr>
          <w:p w14:paraId="4B6263D9" w14:textId="7EEF4E58" w:rsidR="00BB4A68" w:rsidRPr="00FC2B86" w:rsidRDefault="00BB4A68" w:rsidP="00BB4A68">
            <w:pPr>
              <w:pStyle w:val="TableText"/>
              <w:cnfStyle w:val="000000000000" w:firstRow="0" w:lastRow="0" w:firstColumn="0" w:lastColumn="0" w:oddVBand="0" w:evenVBand="0" w:oddHBand="0" w:evenHBand="0" w:firstRowFirstColumn="0" w:firstRowLastColumn="0" w:lastRowFirstColumn="0" w:lastRowLastColumn="0"/>
            </w:pPr>
            <w:r w:rsidRPr="00BB4A68">
              <w:t>Particular provisions</w:t>
            </w:r>
          </w:p>
        </w:tc>
        <w:tc>
          <w:tcPr>
            <w:tcW w:w="2109" w:type="pct"/>
          </w:tcPr>
          <w:p w14:paraId="189D4E68" w14:textId="6FF46B9F" w:rsidR="00BB4A68" w:rsidRPr="00FC2B86" w:rsidRDefault="00BB4A68" w:rsidP="00137A75">
            <w:pPr>
              <w:pStyle w:val="TableBullet1"/>
              <w:cnfStyle w:val="000000000000" w:firstRow="0" w:lastRow="0" w:firstColumn="0" w:lastColumn="0" w:oddVBand="0" w:evenVBand="0" w:oddHBand="0" w:evenHBand="0" w:firstRowFirstColumn="0" w:firstRowLastColumn="0" w:lastRowFirstColumn="0" w:lastRowLastColumn="0"/>
            </w:pPr>
            <w:r w:rsidRPr="00BB4A68">
              <w:t>52.32 Wind Energy Facility: this clause facilitates the establishment and expansion of wind energy facilities, in appropriate locations, with minimal impact on amenity of the area. It requires that impacts of wind energy facilities on FFG Act listed species be assessed.</w:t>
            </w:r>
          </w:p>
        </w:tc>
      </w:tr>
      <w:tr w:rsidR="00502066" w:rsidRPr="009C2B10" w14:paraId="04CB0EBD" w14:textId="77777777" w:rsidTr="009949A0">
        <w:tc>
          <w:tcPr>
            <w:cnfStyle w:val="001000000000" w:firstRow="0" w:lastRow="0" w:firstColumn="1" w:lastColumn="0" w:oddVBand="0" w:evenVBand="0" w:oddHBand="0" w:evenHBand="0" w:firstRowFirstColumn="0" w:firstRowLastColumn="0" w:lastRowFirstColumn="0" w:lastRowLastColumn="0"/>
            <w:tcW w:w="1173" w:type="pct"/>
          </w:tcPr>
          <w:p w14:paraId="02412F16" w14:textId="77777777" w:rsidR="00502066" w:rsidRPr="009C2B10" w:rsidRDefault="00502066" w:rsidP="00922593">
            <w:pPr>
              <w:pStyle w:val="TableText"/>
            </w:pPr>
            <w:r w:rsidRPr="009C2B10">
              <w:t xml:space="preserve">FFG Act Action Statement No.119 2003 </w:t>
            </w:r>
            <w:r>
              <w:t>–</w:t>
            </w:r>
            <w:r w:rsidRPr="009C2B10">
              <w:t xml:space="preserve"> Brolga</w:t>
            </w:r>
          </w:p>
        </w:tc>
        <w:tc>
          <w:tcPr>
            <w:tcW w:w="1718" w:type="pct"/>
          </w:tcPr>
          <w:p w14:paraId="19B80C8D" w14:textId="77777777" w:rsidR="00502066" w:rsidRPr="009C2B10" w:rsidRDefault="00502066" w:rsidP="00922593">
            <w:pPr>
              <w:pStyle w:val="TableText"/>
              <w:cnfStyle w:val="000000000000" w:firstRow="0" w:lastRow="0" w:firstColumn="0" w:lastColumn="0" w:oddVBand="0" w:evenVBand="0" w:oddHBand="0" w:evenHBand="0" w:firstRowFirstColumn="0" w:firstRowLastColumn="0" w:lastRowFirstColumn="0" w:lastRowLastColumn="0"/>
            </w:pPr>
            <w:r w:rsidRPr="009C2B10">
              <w:t>An Action Statement developed for the Brolga species.</w:t>
            </w:r>
          </w:p>
        </w:tc>
        <w:tc>
          <w:tcPr>
            <w:tcW w:w="2109" w:type="pct"/>
          </w:tcPr>
          <w:p w14:paraId="44C6417C" w14:textId="77777777" w:rsidR="00502066" w:rsidRPr="009C2B10" w:rsidRDefault="00502066" w:rsidP="00922593">
            <w:pPr>
              <w:pStyle w:val="TableText"/>
              <w:cnfStyle w:val="000000000000" w:firstRow="0" w:lastRow="0" w:firstColumn="0" w:lastColumn="0" w:oddVBand="0" w:evenVBand="0" w:oddHBand="0" w:evenHBand="0" w:firstRowFirstColumn="0" w:firstRowLastColumn="0" w:lastRowFirstColumn="0" w:lastRowLastColumn="0"/>
            </w:pPr>
            <w:r w:rsidRPr="009C2B10">
              <w:t>Details species distribution, ecology and key threats.</w:t>
            </w:r>
          </w:p>
        </w:tc>
      </w:tr>
      <w:tr w:rsidR="00BB4A68" w:rsidRPr="009C2B10" w14:paraId="0C9EE444" w14:textId="77777777" w:rsidTr="009949A0">
        <w:trPr>
          <w:cantSplit/>
        </w:trPr>
        <w:tc>
          <w:tcPr>
            <w:cnfStyle w:val="001000000000" w:firstRow="0" w:lastRow="0" w:firstColumn="1" w:lastColumn="0" w:oddVBand="0" w:evenVBand="0" w:oddHBand="0" w:evenHBand="0" w:firstRowFirstColumn="0" w:firstRowLastColumn="0" w:lastRowFirstColumn="0" w:lastRowLastColumn="0"/>
            <w:tcW w:w="1173" w:type="pct"/>
          </w:tcPr>
          <w:p w14:paraId="22B517C1" w14:textId="0B01B821" w:rsidR="00BB4A68" w:rsidRPr="009C2B10" w:rsidRDefault="00BB4A68" w:rsidP="00BB4A68">
            <w:pPr>
              <w:pStyle w:val="TableText"/>
            </w:pPr>
            <w:r w:rsidRPr="004366D5">
              <w:rPr>
                <w:i/>
                <w:iCs/>
              </w:rPr>
              <w:lastRenderedPageBreak/>
              <w:t>Planning and Policy Guidelines</w:t>
            </w:r>
            <w:r w:rsidRPr="00F57BC0">
              <w:t xml:space="preserve"> </w:t>
            </w:r>
            <w:r>
              <w:rPr>
                <w:i/>
                <w:iCs/>
              </w:rPr>
              <w:t xml:space="preserve">for </w:t>
            </w:r>
            <w:r w:rsidRPr="004366D5">
              <w:rPr>
                <w:i/>
                <w:iCs/>
              </w:rPr>
              <w:t>D</w:t>
            </w:r>
            <w:r w:rsidRPr="00B753D2">
              <w:rPr>
                <w:i/>
                <w:iCs/>
              </w:rPr>
              <w:t xml:space="preserve">evelopment of Wind Energy Facilities in Victoria </w:t>
            </w:r>
            <w:r>
              <w:t xml:space="preserve">(Policy and Planning Guidelines) </w:t>
            </w:r>
            <w:r w:rsidRPr="00F57BC0">
              <w:t>(</w:t>
            </w:r>
            <w:r>
              <w:t>DELWP</w:t>
            </w:r>
            <w:r w:rsidRPr="00F57BC0">
              <w:t>, 20</w:t>
            </w:r>
            <w:r>
              <w:t>21f</w:t>
            </w:r>
            <w:r w:rsidRPr="00F57BC0">
              <w:t>)</w:t>
            </w:r>
          </w:p>
        </w:tc>
        <w:tc>
          <w:tcPr>
            <w:tcW w:w="1718" w:type="pct"/>
          </w:tcPr>
          <w:p w14:paraId="185D18DD" w14:textId="77777777" w:rsidR="00BB4A68" w:rsidRPr="009C2B10" w:rsidRDefault="00BB4A68" w:rsidP="00BB4A68">
            <w:pPr>
              <w:pStyle w:val="TableText"/>
              <w:cnfStyle w:val="000000000000" w:firstRow="0" w:lastRow="0" w:firstColumn="0" w:lastColumn="0" w:oddVBand="0" w:evenVBand="0" w:oddHBand="0" w:evenHBand="0" w:firstRowFirstColumn="0" w:firstRowLastColumn="0" w:lastRowFirstColumn="0" w:lastRowLastColumn="0"/>
            </w:pPr>
            <w:r w:rsidRPr="009C2B10">
              <w:t>The Guideline provides advice to inform planning decisions about a wind energy facility proposal.</w:t>
            </w:r>
          </w:p>
        </w:tc>
        <w:tc>
          <w:tcPr>
            <w:tcW w:w="2109" w:type="pct"/>
          </w:tcPr>
          <w:p w14:paraId="468F9048" w14:textId="77777777" w:rsidR="00BB4A68" w:rsidRPr="009C2B10" w:rsidRDefault="00BB4A68" w:rsidP="00BB4A68">
            <w:pPr>
              <w:pStyle w:val="TableText"/>
              <w:cnfStyle w:val="000000000000" w:firstRow="0" w:lastRow="0" w:firstColumn="0" w:lastColumn="0" w:oddVBand="0" w:evenVBand="0" w:oddHBand="0" w:evenHBand="0" w:firstRowFirstColumn="0" w:firstRowLastColumn="0" w:lastRowFirstColumn="0" w:lastRowLastColumn="0"/>
            </w:pPr>
            <w:r w:rsidRPr="009C2B10">
              <w:t>The Guidelines require that impacts of wind farms on FFG Act listed species be assessed.</w:t>
            </w:r>
          </w:p>
        </w:tc>
      </w:tr>
      <w:tr w:rsidR="00BB4A68" w:rsidRPr="009C2B10" w14:paraId="59B46F64" w14:textId="77777777" w:rsidTr="009949A0">
        <w:tc>
          <w:tcPr>
            <w:cnfStyle w:val="001000000000" w:firstRow="0" w:lastRow="0" w:firstColumn="1" w:lastColumn="0" w:oddVBand="0" w:evenVBand="0" w:oddHBand="0" w:evenHBand="0" w:firstRowFirstColumn="0" w:firstRowLastColumn="0" w:lastRowFirstColumn="0" w:lastRowLastColumn="0"/>
            <w:tcW w:w="1173" w:type="pct"/>
          </w:tcPr>
          <w:p w14:paraId="46A7AA78" w14:textId="77777777" w:rsidR="00BB4A68" w:rsidRPr="009C2B10" w:rsidRDefault="00BB4A68" w:rsidP="00BB4A68">
            <w:pPr>
              <w:pStyle w:val="TableText"/>
            </w:pPr>
            <w:r w:rsidRPr="00CC2F1A">
              <w:rPr>
                <w:i/>
                <w:iCs/>
              </w:rPr>
              <w:t>Interim Guidelines for the Assessment, Avoidance, Mitigation and Offsetting of Potential Wind Farm Impacts on the Victorian Brolga Population</w:t>
            </w:r>
            <w:r w:rsidRPr="009C2B10">
              <w:t xml:space="preserve"> (DSE, 2012)</w:t>
            </w:r>
          </w:p>
        </w:tc>
        <w:tc>
          <w:tcPr>
            <w:tcW w:w="1718" w:type="pct"/>
          </w:tcPr>
          <w:p w14:paraId="2943860D" w14:textId="77777777" w:rsidR="00BB4A68" w:rsidRPr="009C2B10" w:rsidRDefault="00BB4A68" w:rsidP="00BB4A68">
            <w:pPr>
              <w:pStyle w:val="TableText"/>
              <w:cnfStyle w:val="000000000000" w:firstRow="0" w:lastRow="0" w:firstColumn="0" w:lastColumn="0" w:oddVBand="0" w:evenVBand="0" w:oddHBand="0" w:evenHBand="0" w:firstRowFirstColumn="0" w:firstRowLastColumn="0" w:lastRowFirstColumn="0" w:lastRowLastColumn="0"/>
            </w:pPr>
            <w:r w:rsidRPr="009C2B10">
              <w:t>The Interim Brolga Guideline responds to the perceived risk posed to Brolga by the wind industry by outlining an approach to achieving a zero net impact to the Victorian Brolga population.</w:t>
            </w:r>
          </w:p>
        </w:tc>
        <w:tc>
          <w:tcPr>
            <w:tcW w:w="2109" w:type="pct"/>
          </w:tcPr>
          <w:p w14:paraId="1E7A6D01" w14:textId="5B87CDF8" w:rsidR="00BB4A68" w:rsidRPr="009C2B10" w:rsidRDefault="00BB4A68" w:rsidP="00BB4A68">
            <w:pPr>
              <w:pStyle w:val="TableText"/>
              <w:cnfStyle w:val="000000000000" w:firstRow="0" w:lastRow="0" w:firstColumn="0" w:lastColumn="0" w:oddVBand="0" w:evenVBand="0" w:oddHBand="0" w:evenHBand="0" w:firstRowFirstColumn="0" w:firstRowLastColumn="0" w:lastRowFirstColumn="0" w:lastRowLastColumn="0"/>
            </w:pPr>
            <w:r w:rsidRPr="009C2B10">
              <w:t xml:space="preserve">The </w:t>
            </w:r>
            <w:r>
              <w:t>p</w:t>
            </w:r>
            <w:r w:rsidRPr="009C2B10">
              <w:t xml:space="preserve">roject has been assessed in accordance with the Interim Brolga Guidelines. </w:t>
            </w:r>
          </w:p>
        </w:tc>
      </w:tr>
    </w:tbl>
    <w:bookmarkEnd w:id="18"/>
    <w:p w14:paraId="0E0D6BB7" w14:textId="127AB19D" w:rsidR="009D2459" w:rsidRPr="009C2B10" w:rsidRDefault="009D2459" w:rsidP="009D2459">
      <w:pPr>
        <w:pStyle w:val="BodyText"/>
      </w:pPr>
      <w:r w:rsidRPr="009C2B10">
        <w:t xml:space="preserve">It is noted that Victorian Brolga Assessment and Mitigation Standards are currently in draft as of </w:t>
      </w:r>
      <w:r w:rsidR="00D12788">
        <w:t>Ma</w:t>
      </w:r>
      <w:r w:rsidR="00C13358">
        <w:t>y</w:t>
      </w:r>
      <w:r w:rsidR="00D12788" w:rsidRPr="009C2B10">
        <w:t xml:space="preserve"> </w:t>
      </w:r>
      <w:r w:rsidRPr="009C2B10">
        <w:t>202</w:t>
      </w:r>
      <w:r w:rsidR="00C13358">
        <w:t>2</w:t>
      </w:r>
      <w:r w:rsidRPr="009C2B10">
        <w:t>. These have been exhibited for comment but have not been finalised. Due to uncertainty as to their final form, and the extensive work that was conducted for the project in accordance with the Interim Brolga Guidelines, the draft Brolga Assessment and Mitigation Standard has not been adopted by the project.</w:t>
      </w:r>
      <w:r w:rsidR="009949A0">
        <w:t xml:space="preserve"> </w:t>
      </w:r>
      <w:r w:rsidR="00C13358">
        <w:t>This is consistent with the proposed ‘transitional provisions’ in the proposed draft standards.</w:t>
      </w:r>
    </w:p>
    <w:p w14:paraId="33EA088C" w14:textId="77777777" w:rsidR="009D2459" w:rsidRPr="001069F5" w:rsidRDefault="009D2459" w:rsidP="001069F5">
      <w:pPr>
        <w:pStyle w:val="Heading2"/>
      </w:pPr>
      <w:bookmarkStart w:id="19" w:name="_Toc83307400"/>
      <w:bookmarkStart w:id="20" w:name="_Toc104909268"/>
      <w:r w:rsidRPr="001069F5">
        <w:t>Method</w:t>
      </w:r>
      <w:bookmarkEnd w:id="19"/>
      <w:bookmarkEnd w:id="20"/>
    </w:p>
    <w:p w14:paraId="3456BE20" w14:textId="49CB7872" w:rsidR="009D2459" w:rsidRDefault="009D2459" w:rsidP="009D2459">
      <w:pPr>
        <w:pStyle w:val="BodyText"/>
      </w:pPr>
      <w:r w:rsidRPr="009C2B10">
        <w:t xml:space="preserve">The potential impact of wind farms on Victoria’s Brolga population is seen as a key environmental issue for the wind industry in south-west Victoria. This is because a </w:t>
      </w:r>
      <w:r w:rsidR="00D12788">
        <w:t xml:space="preserve">significant </w:t>
      </w:r>
      <w:r w:rsidRPr="009C2B10">
        <w:t xml:space="preserve">proportion of the Victorian </w:t>
      </w:r>
      <w:r w:rsidR="00D12788">
        <w:t xml:space="preserve">Brolga </w:t>
      </w:r>
      <w:r w:rsidRPr="009C2B10">
        <w:t>population</w:t>
      </w:r>
      <w:r w:rsidR="00D12788">
        <w:t>’s range</w:t>
      </w:r>
      <w:r w:rsidRPr="009C2B10">
        <w:t xml:space="preserve"> occurs </w:t>
      </w:r>
      <w:r w:rsidR="00D12788">
        <w:t>in</w:t>
      </w:r>
      <w:r w:rsidR="00D12788" w:rsidRPr="009C2B10">
        <w:t xml:space="preserve"> </w:t>
      </w:r>
      <w:r w:rsidRPr="009C2B10">
        <w:t xml:space="preserve">areas proposed for wind farm development. </w:t>
      </w:r>
      <w:r w:rsidR="00C13358">
        <w:t>To provide certainty,</w:t>
      </w:r>
      <w:r w:rsidR="00D12788" w:rsidRPr="009C2B10">
        <w:t xml:space="preserve"> </w:t>
      </w:r>
      <w:r w:rsidRPr="009C2B10">
        <w:t xml:space="preserve">the Victorian Government issued the </w:t>
      </w:r>
      <w:r w:rsidRPr="009C2B10">
        <w:rPr>
          <w:i/>
        </w:rPr>
        <w:t xml:space="preserve">Interim Guidelines for the Assessment, Avoidance, Mitigation and Offsetting of Potential Wind Farm Impacts on the Victorian Brolga Population </w:t>
      </w:r>
      <w:r w:rsidRPr="009C2B10">
        <w:t>(DSE, 2012)</w:t>
      </w:r>
      <w:r w:rsidRPr="009C2B10">
        <w:rPr>
          <w:i/>
        </w:rPr>
        <w:t xml:space="preserve">. </w:t>
      </w:r>
      <w:r w:rsidRPr="009C2B10">
        <w:t>These guidelines outline a standard approach to assessing a wind farm project’s impact and achieving a zero net impact on the Victorian Brolga population.</w:t>
      </w:r>
    </w:p>
    <w:p w14:paraId="305DF70F" w14:textId="1BD3BFB5" w:rsidR="00D12788" w:rsidRPr="00D12788" w:rsidRDefault="00D12788" w:rsidP="00D12788">
      <w:pPr>
        <w:pStyle w:val="BodyText"/>
      </w:pPr>
      <w:r w:rsidRPr="009C2B10">
        <w:t>The Interim Brolga Guidelines detail three levels of progressively more detailed investigations required to assess impacts and design mitigation strategies.</w:t>
      </w:r>
    </w:p>
    <w:p w14:paraId="6F05B856" w14:textId="77777777" w:rsidR="009D2459" w:rsidRPr="001069F5" w:rsidRDefault="009D2459" w:rsidP="001069F5">
      <w:pPr>
        <w:pStyle w:val="Heading3"/>
      </w:pPr>
      <w:bookmarkStart w:id="21" w:name="_Toc83307401"/>
      <w:bookmarkStart w:id="22" w:name="_Toc104909269"/>
      <w:r w:rsidRPr="001069F5">
        <w:t>Level of assessment triggers</w:t>
      </w:r>
      <w:bookmarkEnd w:id="21"/>
      <w:bookmarkEnd w:id="22"/>
    </w:p>
    <w:p w14:paraId="497DB6F3" w14:textId="339AC7CF" w:rsidR="009D2459" w:rsidRPr="009C2B10" w:rsidRDefault="009D2459" w:rsidP="009D2459">
      <w:pPr>
        <w:pStyle w:val="BodyText"/>
      </w:pPr>
      <w:r w:rsidRPr="009C2B10">
        <w:t xml:space="preserve">The Interim Brolga Guideline assessment framework is broken into the </w:t>
      </w:r>
      <w:r w:rsidR="00D12788">
        <w:t>steps</w:t>
      </w:r>
      <w:r w:rsidRPr="009C2B10">
        <w:t>:</w:t>
      </w:r>
    </w:p>
    <w:p w14:paraId="76E05DEB" w14:textId="44E5B7AF" w:rsidR="009D2459" w:rsidRPr="001069F5" w:rsidRDefault="001069F5" w:rsidP="001069F5">
      <w:pPr>
        <w:pStyle w:val="ListBullet"/>
        <w:contextualSpacing/>
      </w:pPr>
      <w:r w:rsidRPr="001069F5">
        <w:t xml:space="preserve">design </w:t>
      </w:r>
      <w:r w:rsidR="009D2459" w:rsidRPr="001069F5">
        <w:t>the wind farm including all infrastructure to avoid and mitigate potential effects, to the extent that is practicable</w:t>
      </w:r>
    </w:p>
    <w:p w14:paraId="187FF1D1" w14:textId="26266BE5" w:rsidR="009D2459" w:rsidRPr="001069F5" w:rsidRDefault="001069F5" w:rsidP="001069F5">
      <w:pPr>
        <w:pStyle w:val="ListBullet"/>
        <w:contextualSpacing/>
      </w:pPr>
      <w:r w:rsidRPr="001069F5">
        <w:t xml:space="preserve">estimate </w:t>
      </w:r>
      <w:r w:rsidR="009D2459" w:rsidRPr="001069F5">
        <w:t>any remaining and unavoidable risk using tools such as collision risk modelling and population viability analysis, to ascertain likely effects on the population</w:t>
      </w:r>
    </w:p>
    <w:p w14:paraId="7F6C92B3" w14:textId="0E0AF973" w:rsidR="009D2459" w:rsidRPr="001069F5" w:rsidRDefault="001069F5" w:rsidP="001069F5">
      <w:pPr>
        <w:pStyle w:val="ListBullet"/>
        <w:contextualSpacing/>
      </w:pPr>
      <w:r w:rsidRPr="001069F5">
        <w:t xml:space="preserve">determine </w:t>
      </w:r>
      <w:r w:rsidR="009D2459" w:rsidRPr="001069F5">
        <w:t>appropriate compensatory measures to, at a minimum, completely offset unavoidable effects.</w:t>
      </w:r>
    </w:p>
    <w:p w14:paraId="74269EF7" w14:textId="627086FB" w:rsidR="00BE3F13" w:rsidRPr="009C2B10" w:rsidRDefault="009D2459" w:rsidP="00BE3F13">
      <w:pPr>
        <w:spacing w:before="0" w:after="160" w:line="259" w:lineRule="auto"/>
      </w:pPr>
      <w:r w:rsidRPr="009C2B10">
        <w:t xml:space="preserve">If all potential risks cannot be removed by the first step, then steps two and three apply. Triggers for the level of Brolga assessment required, along with their applicability to the project, are described in </w:t>
      </w:r>
      <w:r w:rsidR="00BE3F13">
        <w:fldChar w:fldCharType="begin"/>
      </w:r>
      <w:r w:rsidR="00BE3F13">
        <w:instrText xml:space="preserve"> REF _Ref99102437 \h </w:instrText>
      </w:r>
      <w:r w:rsidR="00BE3F13">
        <w:fldChar w:fldCharType="separate"/>
      </w:r>
      <w:r w:rsidR="00C053A5" w:rsidRPr="001069F5">
        <w:t xml:space="preserve">Table </w:t>
      </w:r>
      <w:r w:rsidR="00C053A5">
        <w:rPr>
          <w:noProof/>
        </w:rPr>
        <w:t>11</w:t>
      </w:r>
      <w:r w:rsidR="00C053A5" w:rsidRPr="001069F5">
        <w:t>.</w:t>
      </w:r>
      <w:r w:rsidR="00C053A5">
        <w:rPr>
          <w:noProof/>
        </w:rPr>
        <w:t>3</w:t>
      </w:r>
      <w:r w:rsidR="00BE3F13">
        <w:fldChar w:fldCharType="end"/>
      </w:r>
      <w:r w:rsidR="009949A0">
        <w:t>.</w:t>
      </w:r>
    </w:p>
    <w:p w14:paraId="011C3276" w14:textId="2916A4DB" w:rsidR="009D2459" w:rsidRPr="001069F5" w:rsidRDefault="009D2459" w:rsidP="009949A0">
      <w:pPr>
        <w:pStyle w:val="Caption"/>
        <w:pageBreakBefore/>
      </w:pPr>
      <w:bookmarkStart w:id="23" w:name="_Ref79408380"/>
      <w:bookmarkStart w:id="24" w:name="_Ref99102437"/>
      <w:bookmarkStart w:id="25" w:name="_Toc83308045"/>
      <w:bookmarkStart w:id="26" w:name="_Toc104909284"/>
      <w:r w:rsidRPr="001069F5">
        <w:lastRenderedPageBreak/>
        <w:t xml:space="preserve">Table </w:t>
      </w:r>
      <w:r w:rsidR="00EB48E9">
        <w:fldChar w:fldCharType="begin"/>
      </w:r>
      <w:r w:rsidR="00EB48E9">
        <w:instrText xml:space="preserve"> STYLEREF 1 \s </w:instrText>
      </w:r>
      <w:r w:rsidR="00EB48E9">
        <w:fldChar w:fldCharType="separate"/>
      </w:r>
      <w:r w:rsidR="00C053A5">
        <w:rPr>
          <w:noProof/>
        </w:rPr>
        <w:t>11</w:t>
      </w:r>
      <w:r w:rsidR="00EB48E9">
        <w:rPr>
          <w:noProof/>
        </w:rPr>
        <w:fldChar w:fldCharType="end"/>
      </w:r>
      <w:r w:rsidR="001069F5" w:rsidRPr="001069F5">
        <w:t>.</w:t>
      </w:r>
      <w:r w:rsidR="00EB48E9">
        <w:fldChar w:fldCharType="begin"/>
      </w:r>
      <w:r w:rsidR="00EB48E9">
        <w:instrText xml:space="preserve"> SEQ Table \* ARABIC \s 1 </w:instrText>
      </w:r>
      <w:r w:rsidR="00EB48E9">
        <w:fldChar w:fldCharType="separate"/>
      </w:r>
      <w:r w:rsidR="00C053A5">
        <w:rPr>
          <w:noProof/>
        </w:rPr>
        <w:t>3</w:t>
      </w:r>
      <w:r w:rsidR="00EB48E9">
        <w:rPr>
          <w:noProof/>
        </w:rPr>
        <w:fldChar w:fldCharType="end"/>
      </w:r>
      <w:bookmarkEnd w:id="23"/>
      <w:bookmarkEnd w:id="24"/>
      <w:r w:rsidRPr="001069F5">
        <w:tab/>
        <w:t xml:space="preserve">Interim Brolga </w:t>
      </w:r>
      <w:r w:rsidR="001069F5">
        <w:t>g</w:t>
      </w:r>
      <w:r w:rsidRPr="001069F5">
        <w:t>uidelines level of assessment triggers</w:t>
      </w:r>
      <w:bookmarkEnd w:id="25"/>
      <w:bookmarkEnd w:id="26"/>
    </w:p>
    <w:tbl>
      <w:tblPr>
        <w:tblStyle w:val="Table1"/>
        <w:tblW w:w="5000" w:type="pct"/>
        <w:tblLook w:val="0420" w:firstRow="1" w:lastRow="0" w:firstColumn="0" w:lastColumn="0" w:noHBand="0" w:noVBand="1"/>
      </w:tblPr>
      <w:tblGrid>
        <w:gridCol w:w="3702"/>
        <w:gridCol w:w="1261"/>
        <w:gridCol w:w="4107"/>
      </w:tblGrid>
      <w:tr w:rsidR="009D2459" w:rsidRPr="009C2B10" w14:paraId="274B8364" w14:textId="77777777" w:rsidTr="00C06232">
        <w:trPr>
          <w:cnfStyle w:val="100000000000" w:firstRow="1" w:lastRow="0" w:firstColumn="0" w:lastColumn="0" w:oddVBand="0" w:evenVBand="0" w:oddHBand="0" w:evenHBand="0" w:firstRowFirstColumn="0" w:firstRowLastColumn="0" w:lastRowFirstColumn="0" w:lastRowLastColumn="0"/>
          <w:tblHeader/>
        </w:trPr>
        <w:tc>
          <w:tcPr>
            <w:tcW w:w="2041" w:type="pct"/>
            <w:hideMark/>
          </w:tcPr>
          <w:p w14:paraId="31C8902B" w14:textId="77777777" w:rsidR="009D2459" w:rsidRPr="009C2B10" w:rsidRDefault="009D2459" w:rsidP="005E4C49">
            <w:pPr>
              <w:pStyle w:val="TableHeading"/>
            </w:pPr>
            <w:r w:rsidRPr="009C2B10">
              <w:t>Triggers</w:t>
            </w:r>
          </w:p>
        </w:tc>
        <w:tc>
          <w:tcPr>
            <w:tcW w:w="695" w:type="pct"/>
            <w:hideMark/>
          </w:tcPr>
          <w:p w14:paraId="764F8E0A" w14:textId="77777777" w:rsidR="009D2459" w:rsidRPr="009C2B10" w:rsidRDefault="009D2459" w:rsidP="00C06232">
            <w:pPr>
              <w:pStyle w:val="TableHeading"/>
              <w:jc w:val="center"/>
            </w:pPr>
            <w:r w:rsidRPr="009C2B10">
              <w:t>Applicable to project?</w:t>
            </w:r>
          </w:p>
        </w:tc>
        <w:tc>
          <w:tcPr>
            <w:tcW w:w="2265" w:type="pct"/>
          </w:tcPr>
          <w:p w14:paraId="65090D2E" w14:textId="77777777" w:rsidR="009D2459" w:rsidRPr="009C2B10" w:rsidRDefault="009D2459" w:rsidP="005E4C49">
            <w:pPr>
              <w:pStyle w:val="TableHeading"/>
            </w:pPr>
            <w:r w:rsidRPr="009C2B10">
              <w:t>Comments</w:t>
            </w:r>
          </w:p>
        </w:tc>
      </w:tr>
      <w:tr w:rsidR="009D2459" w:rsidRPr="009C2B10" w14:paraId="6A00DE4E" w14:textId="77777777" w:rsidTr="00C06232">
        <w:tc>
          <w:tcPr>
            <w:tcW w:w="5000" w:type="pct"/>
            <w:gridSpan w:val="3"/>
            <w:shd w:val="clear" w:color="auto" w:fill="E6EFE1"/>
          </w:tcPr>
          <w:p w14:paraId="16FC5977" w14:textId="0C7F0C79" w:rsidR="009D2459" w:rsidRPr="009C2B10" w:rsidRDefault="009D2459" w:rsidP="005E4C49">
            <w:pPr>
              <w:pStyle w:val="TableText"/>
              <w:rPr>
                <w:b/>
                <w:i/>
              </w:rPr>
            </w:pPr>
            <w:r w:rsidRPr="009C2B10">
              <w:rPr>
                <w:b/>
                <w:i/>
              </w:rPr>
              <w:t xml:space="preserve">Level 1 </w:t>
            </w:r>
            <w:r w:rsidR="00C06232">
              <w:rPr>
                <w:b/>
                <w:i/>
              </w:rPr>
              <w:t>–</w:t>
            </w:r>
            <w:r w:rsidRPr="009C2B10">
              <w:rPr>
                <w:b/>
                <w:i/>
              </w:rPr>
              <w:t xml:space="preserve"> Assessment aims to identify the potential presence, number and location of any Brolgas or potential Brolga habitat within the radius of investigation for a proposed wind farm. </w:t>
            </w:r>
          </w:p>
        </w:tc>
      </w:tr>
      <w:tr w:rsidR="009D2459" w:rsidRPr="009C2B10" w14:paraId="4263DD6B" w14:textId="77777777" w:rsidTr="00C06232">
        <w:tc>
          <w:tcPr>
            <w:tcW w:w="2041" w:type="pct"/>
            <w:hideMark/>
          </w:tcPr>
          <w:p w14:paraId="3E5D3964" w14:textId="77777777" w:rsidR="009D2459" w:rsidRPr="009C2B10" w:rsidRDefault="009D2459" w:rsidP="005E4C49">
            <w:pPr>
              <w:pStyle w:val="TableText"/>
            </w:pPr>
            <w:r w:rsidRPr="009C2B10">
              <w:t>The proposed wind farm site is situated within the Victorian range of the Brolga.</w:t>
            </w:r>
          </w:p>
        </w:tc>
        <w:tc>
          <w:tcPr>
            <w:tcW w:w="695" w:type="pct"/>
            <w:hideMark/>
          </w:tcPr>
          <w:p w14:paraId="196F901D" w14:textId="77777777" w:rsidR="009D2459" w:rsidRPr="009C2B10" w:rsidRDefault="009D2459" w:rsidP="005E4C49">
            <w:pPr>
              <w:pStyle w:val="TableText"/>
              <w:jc w:val="center"/>
            </w:pPr>
            <w:r w:rsidRPr="009C2B10">
              <w:sym w:font="Wingdings" w:char="F0FC"/>
            </w:r>
          </w:p>
        </w:tc>
        <w:tc>
          <w:tcPr>
            <w:tcW w:w="2265" w:type="pct"/>
          </w:tcPr>
          <w:p w14:paraId="67F879C1" w14:textId="77777777" w:rsidR="009D2459" w:rsidRPr="009C2B10" w:rsidRDefault="009D2459" w:rsidP="005E4C49">
            <w:pPr>
              <w:pStyle w:val="TableText"/>
            </w:pPr>
            <w:r w:rsidRPr="009C2B10">
              <w:t>The proposed wind farm site is situated within the Victorian range of the Brolga.</w:t>
            </w:r>
          </w:p>
        </w:tc>
      </w:tr>
      <w:tr w:rsidR="009D2459" w:rsidRPr="009C2B10" w14:paraId="157B19A4" w14:textId="77777777" w:rsidTr="00C06232">
        <w:tc>
          <w:tcPr>
            <w:tcW w:w="2041" w:type="pct"/>
            <w:hideMark/>
          </w:tcPr>
          <w:p w14:paraId="0C3238D3" w14:textId="68C7F4E9" w:rsidR="009D2459" w:rsidRPr="009C2B10" w:rsidRDefault="009D2459" w:rsidP="005E4C49">
            <w:pPr>
              <w:pStyle w:val="TableText"/>
            </w:pPr>
            <w:r w:rsidRPr="009C2B10">
              <w:t>The presence of Brolga within the radius of investigation (i.e.</w:t>
            </w:r>
            <w:r w:rsidR="0022442B">
              <w:t>,</w:t>
            </w:r>
            <w:r w:rsidRPr="009C2B10">
              <w:t xml:space="preserve"> within 10</w:t>
            </w:r>
            <w:r w:rsidR="00C06232">
              <w:t> </w:t>
            </w:r>
            <w:r w:rsidRPr="009C2B10">
              <w:t>km of the proposed wind farm boundary).</w:t>
            </w:r>
          </w:p>
        </w:tc>
        <w:tc>
          <w:tcPr>
            <w:tcW w:w="695" w:type="pct"/>
            <w:hideMark/>
          </w:tcPr>
          <w:p w14:paraId="7DBAC027" w14:textId="77777777" w:rsidR="009D2459" w:rsidRPr="009C2B10" w:rsidRDefault="009D2459" w:rsidP="005E4C49">
            <w:pPr>
              <w:pStyle w:val="TableText"/>
              <w:jc w:val="center"/>
            </w:pPr>
            <w:r w:rsidRPr="009C2B10">
              <w:sym w:font="Wingdings" w:char="F0FC"/>
            </w:r>
          </w:p>
        </w:tc>
        <w:tc>
          <w:tcPr>
            <w:tcW w:w="2265" w:type="pct"/>
          </w:tcPr>
          <w:p w14:paraId="006A9FA4" w14:textId="77777777" w:rsidR="009D2459" w:rsidRPr="009C2B10" w:rsidRDefault="009D2459" w:rsidP="005E4C49">
            <w:pPr>
              <w:pStyle w:val="TableText"/>
            </w:pPr>
            <w:r w:rsidRPr="009C2B10">
              <w:t>Brolga are known to occur within 10 kilometres of the project site.</w:t>
            </w:r>
          </w:p>
        </w:tc>
      </w:tr>
      <w:tr w:rsidR="009D2459" w:rsidRPr="009C2B10" w14:paraId="457AA10F" w14:textId="77777777" w:rsidTr="00C06232">
        <w:tc>
          <w:tcPr>
            <w:tcW w:w="2041" w:type="pct"/>
            <w:hideMark/>
          </w:tcPr>
          <w:p w14:paraId="2E9371DC" w14:textId="77777777" w:rsidR="009D2459" w:rsidRPr="009C2B10" w:rsidRDefault="009D2459" w:rsidP="005E4C49">
            <w:pPr>
              <w:pStyle w:val="TableText"/>
            </w:pPr>
            <w:r w:rsidRPr="009C2B10">
              <w:t>The presence of potential Brolga habitat within the radius of investigation.</w:t>
            </w:r>
          </w:p>
        </w:tc>
        <w:tc>
          <w:tcPr>
            <w:tcW w:w="695" w:type="pct"/>
            <w:hideMark/>
          </w:tcPr>
          <w:p w14:paraId="6983DCA0" w14:textId="77777777" w:rsidR="009D2459" w:rsidRPr="009C2B10" w:rsidRDefault="009D2459" w:rsidP="005E4C49">
            <w:pPr>
              <w:pStyle w:val="TableText"/>
              <w:jc w:val="center"/>
            </w:pPr>
            <w:r w:rsidRPr="009C2B10">
              <w:sym w:font="Wingdings" w:char="F0FC"/>
            </w:r>
          </w:p>
        </w:tc>
        <w:tc>
          <w:tcPr>
            <w:tcW w:w="2265" w:type="pct"/>
          </w:tcPr>
          <w:p w14:paraId="02B3C434" w14:textId="0254A0B9" w:rsidR="009D2459" w:rsidRPr="009C2B10" w:rsidRDefault="009D2459" w:rsidP="005E4C49">
            <w:pPr>
              <w:pStyle w:val="TableText"/>
            </w:pPr>
            <w:r w:rsidRPr="009C2B10">
              <w:t>There is potential Brolga breeding habitat within the radius of investigation (</w:t>
            </w:r>
            <w:r w:rsidR="00C06232">
              <w:t>i.e.</w:t>
            </w:r>
            <w:r w:rsidR="0022442B">
              <w:t>,</w:t>
            </w:r>
            <w:r w:rsidRPr="009C2B10">
              <w:t xml:space="preserve"> within 10</w:t>
            </w:r>
            <w:r w:rsidR="00C06232">
              <w:t> </w:t>
            </w:r>
            <w:r w:rsidRPr="009C2B10">
              <w:t>kilometres of the project site).</w:t>
            </w:r>
          </w:p>
        </w:tc>
      </w:tr>
      <w:tr w:rsidR="009D2459" w:rsidRPr="009C2B10" w14:paraId="455265A3" w14:textId="77777777" w:rsidTr="00C06232">
        <w:tc>
          <w:tcPr>
            <w:tcW w:w="2041" w:type="pct"/>
          </w:tcPr>
          <w:p w14:paraId="0C818FB3" w14:textId="77777777" w:rsidR="009D2459" w:rsidRPr="009C2B10" w:rsidRDefault="009D2459" w:rsidP="005E4C49">
            <w:pPr>
              <w:pStyle w:val="TableText"/>
            </w:pPr>
            <w:r w:rsidRPr="009C2B10">
              <w:t>The location of the proposed development is within an area that may be used by Brolga during seasonal</w:t>
            </w:r>
            <w:r w:rsidRPr="009C2B10">
              <w:rPr>
                <w:u w:val="single"/>
              </w:rPr>
              <w:t xml:space="preserve"> </w:t>
            </w:r>
            <w:r w:rsidRPr="009C2B10">
              <w:t>movements between breeding and flocking habitats.</w:t>
            </w:r>
          </w:p>
        </w:tc>
        <w:tc>
          <w:tcPr>
            <w:tcW w:w="695" w:type="pct"/>
          </w:tcPr>
          <w:p w14:paraId="617288F0" w14:textId="77777777" w:rsidR="009D2459" w:rsidRPr="009C2B10" w:rsidRDefault="009D2459" w:rsidP="005E4C49">
            <w:pPr>
              <w:pStyle w:val="TableText"/>
              <w:jc w:val="center"/>
            </w:pPr>
            <w:r w:rsidRPr="009C2B10">
              <w:sym w:font="Wingdings" w:char="F0FC"/>
            </w:r>
          </w:p>
        </w:tc>
        <w:tc>
          <w:tcPr>
            <w:tcW w:w="2265" w:type="pct"/>
          </w:tcPr>
          <w:p w14:paraId="01FC40E6" w14:textId="77777777" w:rsidR="009D2459" w:rsidRPr="009C2B10" w:rsidRDefault="009D2459" w:rsidP="005E4C49">
            <w:pPr>
              <w:pStyle w:val="TableText"/>
            </w:pPr>
            <w:r w:rsidRPr="009C2B10">
              <w:t>As Brolga are known to nest within and around the project site there is the possibility that the area is used for seasonal movements.</w:t>
            </w:r>
          </w:p>
        </w:tc>
      </w:tr>
      <w:tr w:rsidR="009D2459" w:rsidRPr="009C2B10" w14:paraId="1BB9CD08" w14:textId="77777777" w:rsidTr="00C06232">
        <w:tc>
          <w:tcPr>
            <w:tcW w:w="5000" w:type="pct"/>
            <w:gridSpan w:val="3"/>
            <w:shd w:val="clear" w:color="auto" w:fill="E6EFE1"/>
          </w:tcPr>
          <w:p w14:paraId="0511ECE5" w14:textId="4C3EF630" w:rsidR="009D2459" w:rsidRPr="009C2B10" w:rsidRDefault="009D2459" w:rsidP="005E4C49">
            <w:pPr>
              <w:pStyle w:val="TableText"/>
              <w:rPr>
                <w:b/>
                <w:i/>
              </w:rPr>
            </w:pPr>
            <w:r w:rsidRPr="009C2B10">
              <w:rPr>
                <w:b/>
                <w:i/>
              </w:rPr>
              <w:t xml:space="preserve">Level 2 </w:t>
            </w:r>
            <w:r w:rsidR="00C06232">
              <w:rPr>
                <w:b/>
                <w:i/>
              </w:rPr>
              <w:t>–</w:t>
            </w:r>
            <w:r w:rsidRPr="009C2B10">
              <w:rPr>
                <w:b/>
                <w:i/>
              </w:rPr>
              <w:t xml:space="preserve"> Assessment seeks to provide a comprehensive record of the location, nature and extent of Brolga habitats within the wind farm radius of investigation and to assess the potential for impacts arising from collision risk, indirect disturbance and barrier effects.</w:t>
            </w:r>
          </w:p>
        </w:tc>
      </w:tr>
      <w:tr w:rsidR="009D2459" w:rsidRPr="009C2B10" w14:paraId="380A3730" w14:textId="77777777" w:rsidTr="00C06232">
        <w:tc>
          <w:tcPr>
            <w:tcW w:w="2041" w:type="pct"/>
            <w:shd w:val="clear" w:color="auto" w:fill="auto"/>
            <w:hideMark/>
          </w:tcPr>
          <w:p w14:paraId="41FB7C74" w14:textId="77777777" w:rsidR="009D2459" w:rsidRPr="009C2B10" w:rsidRDefault="009D2459" w:rsidP="005E4C49">
            <w:pPr>
              <w:pStyle w:val="TableText"/>
            </w:pPr>
            <w:r w:rsidRPr="009C2B10">
              <w:t>Records of breeding or flocking habitat within the radius of investigation.</w:t>
            </w:r>
          </w:p>
        </w:tc>
        <w:tc>
          <w:tcPr>
            <w:tcW w:w="695" w:type="pct"/>
            <w:shd w:val="clear" w:color="auto" w:fill="auto"/>
            <w:hideMark/>
          </w:tcPr>
          <w:p w14:paraId="67E25218" w14:textId="77777777" w:rsidR="009D2459" w:rsidRPr="009C2B10" w:rsidRDefault="009D2459" w:rsidP="005E4C49">
            <w:pPr>
              <w:pStyle w:val="TableText"/>
              <w:jc w:val="center"/>
            </w:pPr>
            <w:r w:rsidRPr="009C2B10">
              <w:sym w:font="Wingdings" w:char="F0FC"/>
            </w:r>
          </w:p>
        </w:tc>
        <w:tc>
          <w:tcPr>
            <w:tcW w:w="2265" w:type="pct"/>
            <w:shd w:val="clear" w:color="auto" w:fill="auto"/>
          </w:tcPr>
          <w:p w14:paraId="70744865" w14:textId="4C3EBF44" w:rsidR="009D2459" w:rsidRPr="009C2B10" w:rsidRDefault="009D2459" w:rsidP="005E4C49">
            <w:pPr>
              <w:pStyle w:val="TableText"/>
            </w:pPr>
            <w:r w:rsidRPr="009C2B10">
              <w:t>There are records of breeding within 10</w:t>
            </w:r>
            <w:r w:rsidR="00C06232">
              <w:t> </w:t>
            </w:r>
            <w:r w:rsidRPr="009C2B10">
              <w:t>kilometres of the project site; however, no flocking sites are known to occur in this area.</w:t>
            </w:r>
          </w:p>
        </w:tc>
      </w:tr>
      <w:tr w:rsidR="009D2459" w:rsidRPr="009C2B10" w14:paraId="7CC6146C" w14:textId="77777777" w:rsidTr="00C06232">
        <w:tc>
          <w:tcPr>
            <w:tcW w:w="2041" w:type="pct"/>
            <w:hideMark/>
          </w:tcPr>
          <w:p w14:paraId="7AF406DF" w14:textId="77777777" w:rsidR="009D2459" w:rsidRPr="009C2B10" w:rsidRDefault="009D2459" w:rsidP="005E4C49">
            <w:pPr>
              <w:pStyle w:val="TableText"/>
            </w:pPr>
            <w:r w:rsidRPr="009C2B10">
              <w:t>The proposed development is in an area which may be used by Brolga moving seasonally between breeding and foraging sites, and may potentially create a barrier reducing movements between these habitats.</w:t>
            </w:r>
          </w:p>
        </w:tc>
        <w:tc>
          <w:tcPr>
            <w:tcW w:w="695" w:type="pct"/>
            <w:hideMark/>
          </w:tcPr>
          <w:p w14:paraId="7EB8A26D" w14:textId="77777777" w:rsidR="009D2459" w:rsidRPr="009C2B10" w:rsidRDefault="009D2459" w:rsidP="005E4C49">
            <w:pPr>
              <w:pStyle w:val="TableText"/>
              <w:jc w:val="center"/>
            </w:pPr>
            <w:r w:rsidRPr="009C2B10">
              <w:sym w:font="Wingdings" w:char="F0FC"/>
            </w:r>
          </w:p>
        </w:tc>
        <w:tc>
          <w:tcPr>
            <w:tcW w:w="2265" w:type="pct"/>
          </w:tcPr>
          <w:p w14:paraId="0C3C34E6" w14:textId="77777777" w:rsidR="009D2459" w:rsidRPr="009C2B10" w:rsidRDefault="009D2459" w:rsidP="005E4C49">
            <w:pPr>
              <w:pStyle w:val="TableText"/>
            </w:pPr>
            <w:r w:rsidRPr="009C2B10">
              <w:t>As Brolga are known to nest within and around the project site there is the possibility that the area is used for seasonal movements.</w:t>
            </w:r>
          </w:p>
        </w:tc>
      </w:tr>
      <w:tr w:rsidR="009D2459" w:rsidRPr="009C2B10" w14:paraId="0CDC3295" w14:textId="77777777" w:rsidTr="00C06232">
        <w:tc>
          <w:tcPr>
            <w:tcW w:w="2041" w:type="pct"/>
          </w:tcPr>
          <w:p w14:paraId="560A6E44" w14:textId="77777777" w:rsidR="009D2459" w:rsidRPr="009C2B10" w:rsidRDefault="009D2459" w:rsidP="005E4C49">
            <w:pPr>
              <w:pStyle w:val="TableText"/>
            </w:pPr>
            <w:r w:rsidRPr="009C2B10">
              <w:t>The proposed development is located in an area which may be used by Brolgas for diurnal movements between foraging and roosting site.</w:t>
            </w:r>
          </w:p>
        </w:tc>
        <w:tc>
          <w:tcPr>
            <w:tcW w:w="695" w:type="pct"/>
          </w:tcPr>
          <w:p w14:paraId="69350A6E" w14:textId="77777777" w:rsidR="009D2459" w:rsidRPr="009C2B10" w:rsidRDefault="009D2459" w:rsidP="005E4C49">
            <w:pPr>
              <w:pStyle w:val="TableText"/>
              <w:jc w:val="center"/>
            </w:pPr>
            <w:r w:rsidRPr="009C2B10">
              <w:sym w:font="Wingdings" w:char="F0FC"/>
            </w:r>
          </w:p>
        </w:tc>
        <w:tc>
          <w:tcPr>
            <w:tcW w:w="2265" w:type="pct"/>
          </w:tcPr>
          <w:p w14:paraId="32DE1519" w14:textId="77777777" w:rsidR="009D2459" w:rsidRPr="009C2B10" w:rsidRDefault="009D2459" w:rsidP="005E4C49">
            <w:pPr>
              <w:pStyle w:val="TableText"/>
            </w:pPr>
            <w:r w:rsidRPr="009C2B10">
              <w:t>As Brolga are known to nest within and around the project site there is the possibility that the area is used for diurnal movements between foraging and roosting site.</w:t>
            </w:r>
          </w:p>
        </w:tc>
      </w:tr>
      <w:tr w:rsidR="009D2459" w:rsidRPr="009C2B10" w14:paraId="055DFA15" w14:textId="77777777" w:rsidTr="00C06232">
        <w:tc>
          <w:tcPr>
            <w:tcW w:w="2041" w:type="pct"/>
          </w:tcPr>
          <w:p w14:paraId="768D3114" w14:textId="77777777" w:rsidR="009D2459" w:rsidRPr="009C2B10" w:rsidRDefault="009D2459" w:rsidP="005E4C49">
            <w:pPr>
              <w:pStyle w:val="TableText"/>
            </w:pPr>
            <w:r w:rsidRPr="009C2B10">
              <w:t>The proposed location of new powerlines associated with the development may create new collision risks for Brolga.</w:t>
            </w:r>
          </w:p>
        </w:tc>
        <w:tc>
          <w:tcPr>
            <w:tcW w:w="695" w:type="pct"/>
          </w:tcPr>
          <w:p w14:paraId="21A0B9E3" w14:textId="77777777" w:rsidR="009D2459" w:rsidRPr="009C2B10" w:rsidRDefault="009D2459" w:rsidP="005E4C49">
            <w:pPr>
              <w:pStyle w:val="TableText"/>
              <w:jc w:val="center"/>
            </w:pPr>
            <w:r w:rsidRPr="009C2B10">
              <w:sym w:font="Wingdings" w:char="F0FB"/>
            </w:r>
          </w:p>
        </w:tc>
        <w:tc>
          <w:tcPr>
            <w:tcW w:w="2265" w:type="pct"/>
          </w:tcPr>
          <w:p w14:paraId="2E08096A" w14:textId="77777777" w:rsidR="009D2459" w:rsidRPr="009C2B10" w:rsidRDefault="009D2459" w:rsidP="005E4C49">
            <w:pPr>
              <w:pStyle w:val="TableText"/>
            </w:pPr>
            <w:r w:rsidRPr="009C2B10">
              <w:t>The project design has largely removed the collision risk associated with new powerlines. Required overhead transmission lines are immediately adjacent to existing transmission lines.</w:t>
            </w:r>
          </w:p>
        </w:tc>
      </w:tr>
      <w:tr w:rsidR="009D2459" w:rsidRPr="009C2B10" w14:paraId="695B315B" w14:textId="77777777" w:rsidTr="00C06232">
        <w:tc>
          <w:tcPr>
            <w:tcW w:w="5000" w:type="pct"/>
            <w:gridSpan w:val="3"/>
            <w:shd w:val="clear" w:color="auto" w:fill="E6EFE1"/>
            <w:hideMark/>
          </w:tcPr>
          <w:p w14:paraId="014FB18D" w14:textId="62CE9BA9" w:rsidR="009D2459" w:rsidRPr="009C2B10" w:rsidRDefault="009D2459" w:rsidP="005E4C49">
            <w:pPr>
              <w:pStyle w:val="TableText"/>
              <w:rPr>
                <w:b/>
                <w:i/>
              </w:rPr>
            </w:pPr>
            <w:r w:rsidRPr="009C2B10">
              <w:rPr>
                <w:b/>
                <w:i/>
              </w:rPr>
              <w:t xml:space="preserve">Level 3 </w:t>
            </w:r>
            <w:r w:rsidR="00C06232">
              <w:rPr>
                <w:b/>
                <w:i/>
              </w:rPr>
              <w:t>–</w:t>
            </w:r>
            <w:r w:rsidRPr="009C2B10">
              <w:rPr>
                <w:b/>
                <w:i/>
              </w:rPr>
              <w:t xml:space="preserve"> Assessment has the objective of using site design and turbine placement to avoid significant impacts on breeding and non-breeding habitats and to then quantify the residual ‘unavoidable’ risk posed to Brolgas by the proposed wind farm and offsetting that measured risk to achieve a zero net impact.</w:t>
            </w:r>
          </w:p>
        </w:tc>
      </w:tr>
      <w:tr w:rsidR="009D2459" w:rsidRPr="009C2B10" w14:paraId="778EF439" w14:textId="77777777" w:rsidTr="00C06232">
        <w:tc>
          <w:tcPr>
            <w:tcW w:w="2041" w:type="pct"/>
            <w:hideMark/>
          </w:tcPr>
          <w:p w14:paraId="6A8166AB" w14:textId="6635F5D8" w:rsidR="009D2459" w:rsidRPr="009C2B10" w:rsidRDefault="009D2459" w:rsidP="005E4C49">
            <w:pPr>
              <w:pStyle w:val="TableText"/>
            </w:pPr>
            <w:r w:rsidRPr="009C2B10">
              <w:t>Qualitative risk assessment (</w:t>
            </w:r>
            <w:proofErr w:type="spellStart"/>
            <w:r w:rsidRPr="009C2B10">
              <w:t>AusWEA</w:t>
            </w:r>
            <w:proofErr w:type="spellEnd"/>
            <w:r w:rsidR="00FB104A">
              <w:t>,</w:t>
            </w:r>
            <w:r w:rsidRPr="009C2B10">
              <w:t xml:space="preserve"> 2005) of project following site design is greater than “low”.</w:t>
            </w:r>
          </w:p>
        </w:tc>
        <w:tc>
          <w:tcPr>
            <w:tcW w:w="695" w:type="pct"/>
            <w:hideMark/>
          </w:tcPr>
          <w:p w14:paraId="014CA809" w14:textId="77777777" w:rsidR="009D2459" w:rsidRPr="009C2B10" w:rsidRDefault="009D2459" w:rsidP="005E4C49">
            <w:pPr>
              <w:pStyle w:val="TableText"/>
              <w:jc w:val="center"/>
            </w:pPr>
            <w:r w:rsidRPr="009C2B10">
              <w:sym w:font="Wingdings" w:char="F0FC"/>
            </w:r>
          </w:p>
        </w:tc>
        <w:tc>
          <w:tcPr>
            <w:tcW w:w="2265" w:type="pct"/>
          </w:tcPr>
          <w:p w14:paraId="74D702AF" w14:textId="77777777" w:rsidR="009D2459" w:rsidRPr="009C2B10" w:rsidRDefault="009D2459" w:rsidP="005E4C49">
            <w:pPr>
              <w:pStyle w:val="TableText"/>
            </w:pPr>
            <w:r w:rsidRPr="009C2B10">
              <w:t xml:space="preserve">Noting the potential presence of Brolga within the site, a precautionary approach was followed and a level 3 assessment was completed. </w:t>
            </w:r>
          </w:p>
        </w:tc>
      </w:tr>
    </w:tbl>
    <w:p w14:paraId="1AE8E67F" w14:textId="77777777" w:rsidR="009D2459" w:rsidRPr="001069F5" w:rsidRDefault="009D2459" w:rsidP="009949A0">
      <w:pPr>
        <w:pStyle w:val="Heading3"/>
      </w:pPr>
      <w:bookmarkStart w:id="27" w:name="_Toc83307402"/>
      <w:bookmarkStart w:id="28" w:name="_Toc104909270"/>
      <w:bookmarkStart w:id="29" w:name="_Ref81909815"/>
      <w:r w:rsidRPr="001069F5">
        <w:t>Survey and assessment methods</w:t>
      </w:r>
      <w:bookmarkEnd w:id="27"/>
      <w:bookmarkEnd w:id="28"/>
      <w:r w:rsidRPr="001069F5">
        <w:t xml:space="preserve"> </w:t>
      </w:r>
      <w:bookmarkEnd w:id="29"/>
    </w:p>
    <w:p w14:paraId="73DF54A0" w14:textId="5ED5C73C" w:rsidR="009D2459" w:rsidRPr="009C2B10" w:rsidRDefault="009D2459" w:rsidP="009949A0">
      <w:pPr>
        <w:pStyle w:val="BodyText"/>
      </w:pPr>
      <w:r w:rsidRPr="009C2B10">
        <w:t xml:space="preserve">There has been significant effort undertaken to survey and document the presence of Brolga and assess habitat suitability within 10 kilometres of the project site over the last decade. Details of the survey and assessment methods, along with their alignment with the three levels of assessment within the Interim Brolga Guidelines assessment framework, are provided in </w:t>
      </w:r>
      <w:r w:rsidRPr="009C2B10">
        <w:fldChar w:fldCharType="begin"/>
      </w:r>
      <w:r w:rsidRPr="009C2B10">
        <w:instrText xml:space="preserve"> REF _Ref79408607 \h </w:instrText>
      </w:r>
      <w:r w:rsidRPr="009C2B10">
        <w:fldChar w:fldCharType="separate"/>
      </w:r>
      <w:r w:rsidR="00C053A5" w:rsidRPr="00C06232">
        <w:t xml:space="preserve">Table </w:t>
      </w:r>
      <w:r w:rsidR="00C053A5">
        <w:rPr>
          <w:noProof/>
        </w:rPr>
        <w:t>11</w:t>
      </w:r>
      <w:r w:rsidR="00C053A5" w:rsidRPr="00C06232">
        <w:t>.</w:t>
      </w:r>
      <w:r w:rsidR="00C053A5">
        <w:rPr>
          <w:noProof/>
        </w:rPr>
        <w:t>4</w:t>
      </w:r>
      <w:r w:rsidRPr="009C2B10">
        <w:fldChar w:fldCharType="end"/>
      </w:r>
      <w:r w:rsidRPr="009C2B10">
        <w:t>.</w:t>
      </w:r>
    </w:p>
    <w:p w14:paraId="59BE6AB2" w14:textId="47EAFF5D" w:rsidR="009D2459" w:rsidRPr="00C06232" w:rsidRDefault="009D2459" w:rsidP="00C06232">
      <w:pPr>
        <w:pStyle w:val="Caption"/>
      </w:pPr>
      <w:bookmarkStart w:id="30" w:name="_Ref79408607"/>
      <w:bookmarkStart w:id="31" w:name="_Toc83308046"/>
      <w:bookmarkStart w:id="32" w:name="_Toc104909285"/>
      <w:r w:rsidRPr="00C06232">
        <w:lastRenderedPageBreak/>
        <w:t xml:space="preserve">Table </w:t>
      </w:r>
      <w:r w:rsidR="00EB48E9">
        <w:fldChar w:fldCharType="begin"/>
      </w:r>
      <w:r w:rsidR="00EB48E9">
        <w:instrText xml:space="preserve"> STYLEREF 1 \s </w:instrText>
      </w:r>
      <w:r w:rsidR="00EB48E9">
        <w:fldChar w:fldCharType="separate"/>
      </w:r>
      <w:r w:rsidR="00C053A5">
        <w:rPr>
          <w:noProof/>
        </w:rPr>
        <w:t>11</w:t>
      </w:r>
      <w:r w:rsidR="00EB48E9">
        <w:rPr>
          <w:noProof/>
        </w:rPr>
        <w:fldChar w:fldCharType="end"/>
      </w:r>
      <w:r w:rsidR="001069F5" w:rsidRPr="00C06232">
        <w:t>.</w:t>
      </w:r>
      <w:r w:rsidR="00EB48E9">
        <w:fldChar w:fldCharType="begin"/>
      </w:r>
      <w:r w:rsidR="00EB48E9">
        <w:instrText xml:space="preserve"> SEQ Table \* </w:instrText>
      </w:r>
      <w:r w:rsidR="00EB48E9">
        <w:instrText xml:space="preserve">ARABIC \s 1 </w:instrText>
      </w:r>
      <w:r w:rsidR="00EB48E9">
        <w:fldChar w:fldCharType="separate"/>
      </w:r>
      <w:r w:rsidR="00C053A5">
        <w:rPr>
          <w:noProof/>
        </w:rPr>
        <w:t>4</w:t>
      </w:r>
      <w:r w:rsidR="00EB48E9">
        <w:rPr>
          <w:noProof/>
        </w:rPr>
        <w:fldChar w:fldCharType="end"/>
      </w:r>
      <w:bookmarkEnd w:id="30"/>
      <w:r w:rsidRPr="00C06232">
        <w:tab/>
        <w:t>Interim Brolga Guidelines recommended assessment methods</w:t>
      </w:r>
      <w:bookmarkEnd w:id="31"/>
      <w:bookmarkEnd w:id="32"/>
    </w:p>
    <w:tbl>
      <w:tblPr>
        <w:tblStyle w:val="Table1"/>
        <w:tblW w:w="5000" w:type="pct"/>
        <w:tblLook w:val="0420" w:firstRow="1" w:lastRow="0" w:firstColumn="0" w:lastColumn="0" w:noHBand="0" w:noVBand="1"/>
      </w:tblPr>
      <w:tblGrid>
        <w:gridCol w:w="770"/>
        <w:gridCol w:w="2648"/>
        <w:gridCol w:w="5652"/>
      </w:tblGrid>
      <w:tr w:rsidR="009D2459" w:rsidRPr="009C2B10" w14:paraId="18DD22E1" w14:textId="77777777" w:rsidTr="009949A0">
        <w:trPr>
          <w:cnfStyle w:val="100000000000" w:firstRow="1" w:lastRow="0" w:firstColumn="0" w:lastColumn="0" w:oddVBand="0" w:evenVBand="0" w:oddHBand="0" w:evenHBand="0" w:firstRowFirstColumn="0" w:firstRowLastColumn="0" w:lastRowFirstColumn="0" w:lastRowLastColumn="0"/>
          <w:tblHeader/>
        </w:trPr>
        <w:tc>
          <w:tcPr>
            <w:tcW w:w="424" w:type="pct"/>
          </w:tcPr>
          <w:p w14:paraId="79101025" w14:textId="77777777" w:rsidR="009D2459" w:rsidRPr="009C2B10" w:rsidRDefault="009D2459" w:rsidP="005E4C49">
            <w:pPr>
              <w:pStyle w:val="TableHeading"/>
            </w:pPr>
            <w:r w:rsidRPr="009C2B10">
              <w:t>Steps</w:t>
            </w:r>
          </w:p>
        </w:tc>
        <w:tc>
          <w:tcPr>
            <w:tcW w:w="1460" w:type="pct"/>
          </w:tcPr>
          <w:p w14:paraId="78484157" w14:textId="77777777" w:rsidR="009D2459" w:rsidRPr="009C2B10" w:rsidRDefault="009D2459" w:rsidP="005E4C49">
            <w:pPr>
              <w:pStyle w:val="TableHeading"/>
            </w:pPr>
            <w:r w:rsidRPr="009C2B10">
              <w:t xml:space="preserve">Guideline requirements </w:t>
            </w:r>
          </w:p>
        </w:tc>
        <w:tc>
          <w:tcPr>
            <w:tcW w:w="3116" w:type="pct"/>
          </w:tcPr>
          <w:p w14:paraId="06FFA803" w14:textId="77777777" w:rsidR="009D2459" w:rsidRPr="009C2B10" w:rsidRDefault="009D2459" w:rsidP="005E4C49">
            <w:pPr>
              <w:pStyle w:val="TableHeading"/>
            </w:pPr>
            <w:r w:rsidRPr="009C2B10">
              <w:t>Project investigations</w:t>
            </w:r>
          </w:p>
        </w:tc>
      </w:tr>
      <w:tr w:rsidR="009D2459" w:rsidRPr="009C2B10" w14:paraId="0725A2C8" w14:textId="77777777" w:rsidTr="00C06232">
        <w:tc>
          <w:tcPr>
            <w:tcW w:w="5000" w:type="pct"/>
            <w:gridSpan w:val="3"/>
            <w:shd w:val="clear" w:color="auto" w:fill="E6EFE1"/>
          </w:tcPr>
          <w:p w14:paraId="768FD685" w14:textId="21463BBE" w:rsidR="009D2459" w:rsidRPr="009C2B10" w:rsidRDefault="009D2459" w:rsidP="005E4C49">
            <w:pPr>
              <w:pStyle w:val="TableText"/>
              <w:rPr>
                <w:b/>
                <w:i/>
              </w:rPr>
            </w:pPr>
            <w:r w:rsidRPr="009C2B10">
              <w:rPr>
                <w:b/>
                <w:i/>
              </w:rPr>
              <w:t xml:space="preserve">Level 1 </w:t>
            </w:r>
            <w:r w:rsidR="00C06232">
              <w:rPr>
                <w:b/>
                <w:i/>
              </w:rPr>
              <w:t>–</w:t>
            </w:r>
            <w:r w:rsidRPr="009C2B10">
              <w:rPr>
                <w:b/>
                <w:i/>
              </w:rPr>
              <w:t xml:space="preserve"> Assessment aims to identify the potential presence, number and location of any Brolgas or potential Brolga habitat within the radius of investigation for a proposed wind farm.</w:t>
            </w:r>
          </w:p>
        </w:tc>
      </w:tr>
      <w:tr w:rsidR="009D2459" w:rsidRPr="009C2B10" w14:paraId="0F3E9C84" w14:textId="77777777" w:rsidTr="009949A0">
        <w:tc>
          <w:tcPr>
            <w:tcW w:w="424" w:type="pct"/>
          </w:tcPr>
          <w:p w14:paraId="49E28CE0" w14:textId="77777777" w:rsidR="009D2459" w:rsidRPr="009C2B10" w:rsidRDefault="009D2459" w:rsidP="009949A0">
            <w:pPr>
              <w:pStyle w:val="TableText"/>
              <w:spacing w:before="60" w:after="60"/>
            </w:pPr>
            <w:r w:rsidRPr="009C2B10">
              <w:t>Step 1</w:t>
            </w:r>
          </w:p>
        </w:tc>
        <w:tc>
          <w:tcPr>
            <w:tcW w:w="1460" w:type="pct"/>
          </w:tcPr>
          <w:p w14:paraId="13434C63" w14:textId="77777777" w:rsidR="009D2459" w:rsidRPr="009C2B10" w:rsidRDefault="009D2459" w:rsidP="009949A0">
            <w:pPr>
              <w:pStyle w:val="TableText"/>
              <w:spacing w:before="60" w:after="60"/>
            </w:pPr>
            <w:r w:rsidRPr="009C2B10">
              <w:t>Undertake desktop studies into known and potential habitat areas for Brolga.</w:t>
            </w:r>
          </w:p>
        </w:tc>
        <w:tc>
          <w:tcPr>
            <w:tcW w:w="3116" w:type="pct"/>
          </w:tcPr>
          <w:p w14:paraId="17D631BB" w14:textId="50B70FED" w:rsidR="009D2459" w:rsidRPr="009C2B10" w:rsidRDefault="009D2459" w:rsidP="009949A0">
            <w:pPr>
              <w:pStyle w:val="TableText"/>
              <w:spacing w:before="60" w:after="60"/>
            </w:pPr>
            <w:r w:rsidRPr="009C2B10">
              <w:t xml:space="preserve">A comprehensive desktop review was conducted of all available historical and contemporary Brolga records within the </w:t>
            </w:r>
            <w:r w:rsidR="008D672C" w:rsidRPr="009C2B10">
              <w:t>10-kilometre</w:t>
            </w:r>
            <w:r w:rsidRPr="009C2B10">
              <w:t xml:space="preserve"> radius of the project.</w:t>
            </w:r>
            <w:r>
              <w:t xml:space="preserve"> </w:t>
            </w:r>
          </w:p>
        </w:tc>
      </w:tr>
      <w:tr w:rsidR="009D2459" w:rsidRPr="009C2B10" w14:paraId="376C7746" w14:textId="77777777" w:rsidTr="009949A0">
        <w:tc>
          <w:tcPr>
            <w:tcW w:w="424" w:type="pct"/>
          </w:tcPr>
          <w:p w14:paraId="700735AA" w14:textId="77777777" w:rsidR="009D2459" w:rsidRPr="009C2B10" w:rsidRDefault="009D2459" w:rsidP="009949A0">
            <w:pPr>
              <w:pStyle w:val="TableText"/>
              <w:spacing w:before="60" w:after="60"/>
            </w:pPr>
            <w:r w:rsidRPr="009C2B10">
              <w:t>Step 2</w:t>
            </w:r>
          </w:p>
        </w:tc>
        <w:tc>
          <w:tcPr>
            <w:tcW w:w="1460" w:type="pct"/>
          </w:tcPr>
          <w:p w14:paraId="5FA2A00F" w14:textId="77777777" w:rsidR="009D2459" w:rsidRPr="009C2B10" w:rsidRDefault="009D2459" w:rsidP="009949A0">
            <w:pPr>
              <w:pStyle w:val="TableText"/>
              <w:spacing w:before="60" w:after="60"/>
            </w:pPr>
            <w:r w:rsidRPr="009C2B10">
              <w:t xml:space="preserve">Initial field inspection and local </w:t>
            </w:r>
            <w:bookmarkStart w:id="33" w:name="_Hlk80776860"/>
            <w:r w:rsidRPr="009C2B10">
              <w:t>community consultation</w:t>
            </w:r>
            <w:bookmarkEnd w:id="33"/>
            <w:r w:rsidRPr="009C2B10">
              <w:t>.</w:t>
            </w:r>
          </w:p>
        </w:tc>
        <w:tc>
          <w:tcPr>
            <w:tcW w:w="3116" w:type="pct"/>
          </w:tcPr>
          <w:p w14:paraId="7CE34F77" w14:textId="3E62D0CB" w:rsidR="009D2459" w:rsidRPr="009C2B10" w:rsidRDefault="009D2459" w:rsidP="009949A0">
            <w:pPr>
              <w:pStyle w:val="TableText"/>
              <w:spacing w:before="60" w:after="60"/>
            </w:pPr>
            <w:r w:rsidRPr="009C2B10">
              <w:t xml:space="preserve">Initial field inspections were completed to identify potential Brolga breeding habitat of the project site. Initially a </w:t>
            </w:r>
            <w:r w:rsidR="008D672C" w:rsidRPr="009C2B10">
              <w:t>20-kilometre</w:t>
            </w:r>
            <w:r w:rsidRPr="009C2B10">
              <w:t xml:space="preserve"> search radius around the project site was used, which was subsequently reduced to 10 kilometres following the Interim Brolga Guidelines recommendation. Landowner and community consultation commenced in 2009 to identify potential Brolga flocking and breeding sites that may not be recorded in the available databases or accessible during field studies. </w:t>
            </w:r>
          </w:p>
        </w:tc>
      </w:tr>
      <w:tr w:rsidR="009D2459" w:rsidRPr="009C2B10" w14:paraId="4B9FA5CE" w14:textId="77777777" w:rsidTr="00C06232">
        <w:tc>
          <w:tcPr>
            <w:tcW w:w="5000" w:type="pct"/>
            <w:gridSpan w:val="3"/>
            <w:shd w:val="clear" w:color="auto" w:fill="E6EFE1"/>
          </w:tcPr>
          <w:p w14:paraId="572899C3" w14:textId="31443EEC" w:rsidR="009D2459" w:rsidRPr="009C2B10" w:rsidRDefault="009D2459" w:rsidP="00C06232">
            <w:pPr>
              <w:pStyle w:val="TableText"/>
              <w:keepNext/>
              <w:rPr>
                <w:b/>
                <w:i/>
              </w:rPr>
            </w:pPr>
            <w:r w:rsidRPr="009C2B10">
              <w:rPr>
                <w:b/>
                <w:i/>
              </w:rPr>
              <w:t xml:space="preserve">Level 2 </w:t>
            </w:r>
            <w:r w:rsidR="00C06232">
              <w:rPr>
                <w:b/>
                <w:i/>
              </w:rPr>
              <w:t>–</w:t>
            </w:r>
            <w:r w:rsidRPr="009C2B10">
              <w:rPr>
                <w:b/>
                <w:i/>
              </w:rPr>
              <w:t xml:space="preserve"> Assessment seeks to provide a comprehensive record of the location, nature and extent of Brolga habitats within the wind farm radius of investigation and to assess the potential for impacts arising from collision risk, indirect disturbance and barrier effects.</w:t>
            </w:r>
          </w:p>
        </w:tc>
      </w:tr>
      <w:tr w:rsidR="009D2459" w:rsidRPr="009C2B10" w14:paraId="3395706E" w14:textId="77777777" w:rsidTr="009949A0">
        <w:tc>
          <w:tcPr>
            <w:tcW w:w="424" w:type="pct"/>
          </w:tcPr>
          <w:p w14:paraId="46A8B31E" w14:textId="77777777" w:rsidR="009D2459" w:rsidRPr="009C2B10" w:rsidRDefault="009D2459" w:rsidP="009949A0">
            <w:pPr>
              <w:pStyle w:val="TableText"/>
              <w:spacing w:before="60" w:after="60"/>
            </w:pPr>
            <w:r w:rsidRPr="009C2B10">
              <w:t>Step 1</w:t>
            </w:r>
          </w:p>
        </w:tc>
        <w:tc>
          <w:tcPr>
            <w:tcW w:w="1460" w:type="pct"/>
          </w:tcPr>
          <w:p w14:paraId="50EC5339" w14:textId="77777777" w:rsidR="009D2459" w:rsidRPr="009C2B10" w:rsidRDefault="009D2459" w:rsidP="009949A0">
            <w:pPr>
              <w:pStyle w:val="TableText"/>
              <w:spacing w:before="60" w:after="60"/>
            </w:pPr>
            <w:r w:rsidRPr="009C2B10">
              <w:t xml:space="preserve">Aerial surveys can be used to identify Brolga breeding sites. </w:t>
            </w:r>
          </w:p>
        </w:tc>
        <w:tc>
          <w:tcPr>
            <w:tcW w:w="3116" w:type="pct"/>
          </w:tcPr>
          <w:p w14:paraId="15419CEF" w14:textId="77777777" w:rsidR="009D2459" w:rsidRPr="009C2B10" w:rsidRDefault="009D2459" w:rsidP="009949A0">
            <w:pPr>
              <w:pStyle w:val="TableText"/>
              <w:spacing w:before="60" w:after="60"/>
            </w:pPr>
            <w:r w:rsidRPr="009C2B10">
              <w:t>In October 2010, an aerial survey was conducted to record potential Brolga nests within 20 kilometres of the project. Nest locations were recorded and visited on the ground where possible.</w:t>
            </w:r>
          </w:p>
          <w:p w14:paraId="112E2D88" w14:textId="77777777" w:rsidR="009D2459" w:rsidRPr="009C2B10" w:rsidRDefault="009D2459" w:rsidP="009949A0">
            <w:pPr>
              <w:pStyle w:val="TableText"/>
              <w:spacing w:before="60" w:after="60"/>
            </w:pPr>
            <w:r w:rsidRPr="009C2B10">
              <w:t>A second aerial survey of wetlands was undertaken in October 2018. The aerial survey enabled an assessment of all wetlands within 10 kilometres of the project not visible from public roads.</w:t>
            </w:r>
          </w:p>
        </w:tc>
      </w:tr>
      <w:tr w:rsidR="009D2459" w:rsidRPr="009C2B10" w14:paraId="25DDE892" w14:textId="77777777" w:rsidTr="009949A0">
        <w:tc>
          <w:tcPr>
            <w:tcW w:w="424" w:type="pct"/>
          </w:tcPr>
          <w:p w14:paraId="07070461" w14:textId="77777777" w:rsidR="009D2459" w:rsidRPr="009C2B10" w:rsidRDefault="009D2459" w:rsidP="009949A0">
            <w:pPr>
              <w:pStyle w:val="TableText"/>
              <w:spacing w:before="60" w:after="60"/>
            </w:pPr>
            <w:r w:rsidRPr="009C2B10">
              <w:t>Step 2</w:t>
            </w:r>
          </w:p>
        </w:tc>
        <w:tc>
          <w:tcPr>
            <w:tcW w:w="1460" w:type="pct"/>
          </w:tcPr>
          <w:p w14:paraId="333FBD9A" w14:textId="77777777" w:rsidR="009D2459" w:rsidRPr="009C2B10" w:rsidRDefault="009D2459" w:rsidP="009949A0">
            <w:pPr>
              <w:pStyle w:val="TableText"/>
              <w:spacing w:before="60" w:after="60"/>
            </w:pPr>
            <w:r w:rsidRPr="009C2B10">
              <w:t>Detailed community consultation.</w:t>
            </w:r>
          </w:p>
        </w:tc>
        <w:tc>
          <w:tcPr>
            <w:tcW w:w="3116" w:type="pct"/>
          </w:tcPr>
          <w:p w14:paraId="2F5997E9" w14:textId="77777777" w:rsidR="009D2459" w:rsidRPr="009C2B10" w:rsidRDefault="009D2459" w:rsidP="009949A0">
            <w:pPr>
              <w:pStyle w:val="TableText"/>
              <w:spacing w:before="60" w:after="60"/>
            </w:pPr>
            <w:r w:rsidRPr="009C2B10">
              <w:t>In December 2018, community consultation was conducted by Nature Advisory</w:t>
            </w:r>
            <w:r w:rsidRPr="009C2B10" w:rsidDel="00B26559">
              <w:t xml:space="preserve"> </w:t>
            </w:r>
            <w:r w:rsidRPr="009C2B10">
              <w:t xml:space="preserve">involving face-to-face and telephone interviews with landowners and special interest groups. </w:t>
            </w:r>
          </w:p>
          <w:p w14:paraId="1B258CC1" w14:textId="14CF812C" w:rsidR="009D2459" w:rsidRPr="009C2B10" w:rsidRDefault="009D2459" w:rsidP="009949A0">
            <w:pPr>
              <w:pStyle w:val="TableText"/>
              <w:spacing w:before="60" w:after="60"/>
            </w:pPr>
            <w:r w:rsidRPr="009C2B10">
              <w:t>All landowners within 10 kilometres were invited to participate via a mailout with further attempts to contact all landowners within 5</w:t>
            </w:r>
            <w:r w:rsidR="00C06232">
              <w:t> </w:t>
            </w:r>
            <w:r w:rsidRPr="009C2B10">
              <w:t>kilometres of the project site by telephone. In addition to farming landowners, representatives from Australian Blue Gum Plantations who have plantations to the west and south-west of the project site, and Pallisters Reserve which is also an area south-west of the project site were interviewed, along with Trust for Nature and Basalt to Bay Landcare Network.</w:t>
            </w:r>
          </w:p>
          <w:p w14:paraId="0A958A0E" w14:textId="77777777" w:rsidR="009D2459" w:rsidRPr="009C2B10" w:rsidRDefault="009D2459" w:rsidP="009949A0">
            <w:pPr>
              <w:pStyle w:val="TableText"/>
              <w:spacing w:before="60" w:after="60"/>
            </w:pPr>
            <w:r w:rsidRPr="009C2B10">
              <w:t>A total of 38 landowners and organisation representatives participated in the interviews, building upon previous information gained from community consultations conducted in 2010.</w:t>
            </w:r>
          </w:p>
        </w:tc>
      </w:tr>
      <w:tr w:rsidR="009D2459" w:rsidRPr="009C2B10" w14:paraId="54DD2572" w14:textId="77777777" w:rsidTr="009949A0">
        <w:tc>
          <w:tcPr>
            <w:tcW w:w="424" w:type="pct"/>
          </w:tcPr>
          <w:p w14:paraId="4D2FE654" w14:textId="77777777" w:rsidR="009D2459" w:rsidRPr="009C2B10" w:rsidRDefault="009D2459" w:rsidP="009949A0">
            <w:pPr>
              <w:pStyle w:val="TableText"/>
              <w:spacing w:before="60" w:after="60"/>
            </w:pPr>
            <w:r w:rsidRPr="009C2B10">
              <w:t>Step 3</w:t>
            </w:r>
          </w:p>
        </w:tc>
        <w:tc>
          <w:tcPr>
            <w:tcW w:w="1460" w:type="pct"/>
          </w:tcPr>
          <w:p w14:paraId="41A414AF" w14:textId="77777777" w:rsidR="009D2459" w:rsidRPr="009C2B10" w:rsidRDefault="009D2459" w:rsidP="009949A0">
            <w:pPr>
              <w:pStyle w:val="TableText"/>
              <w:spacing w:before="60" w:after="60"/>
            </w:pPr>
            <w:r w:rsidRPr="009C2B10">
              <w:t>Roaming surveys are a good method to detect Brolga which typically occur at low densities. Roaming surveys in winter and spring should search all potential breeding habitat, and in December to June should search potential flocking roosts at dawn and dusk and potential foraging areas during the day.</w:t>
            </w:r>
          </w:p>
        </w:tc>
        <w:tc>
          <w:tcPr>
            <w:tcW w:w="3116" w:type="pct"/>
          </w:tcPr>
          <w:p w14:paraId="4EBA5431" w14:textId="43E5076B" w:rsidR="009D2459" w:rsidRPr="009C2B10" w:rsidRDefault="009D2459" w:rsidP="009949A0">
            <w:pPr>
              <w:pStyle w:val="TableText"/>
              <w:spacing w:before="60" w:after="60"/>
            </w:pPr>
            <w:bookmarkStart w:id="34" w:name="_Hlk80278424"/>
            <w:r w:rsidRPr="009C2B10">
              <w:t xml:space="preserve">Site-specific field investigations have been undertaken during breeding and non-breeding periods in 2009, 2010, 2011, 2013, 2018, 2019, 2020 </w:t>
            </w:r>
            <w:r w:rsidR="00B86FBD">
              <w:t xml:space="preserve">and 2021 </w:t>
            </w:r>
            <w:r w:rsidRPr="009C2B10">
              <w:t>to document the extent of Brolga activity as well as current and historical spatial patterns of activity in the radius of investigation. The roaming field surveys occurred during various weather conditions, including high and low rainfall seasons.</w:t>
            </w:r>
            <w:bookmarkEnd w:id="34"/>
          </w:p>
          <w:p w14:paraId="5D3CB4BD" w14:textId="77777777" w:rsidR="009D2459" w:rsidRPr="009C2B10" w:rsidRDefault="009D2459" w:rsidP="009949A0">
            <w:pPr>
              <w:pStyle w:val="TableText"/>
              <w:spacing w:before="60" w:after="60"/>
            </w:pPr>
            <w:r w:rsidRPr="009C2B10">
              <w:t xml:space="preserve">Field surveys were undertaken monthly during the non-breeding seasons in 2018, 2019 and 2020 by Nature Advisory to identify any wetland or waterbodies used for flocking within 10 kilometres of the project. </w:t>
            </w:r>
            <w:bookmarkStart w:id="35" w:name="_Hlk80261271"/>
            <w:r w:rsidRPr="009C2B10">
              <w:t>A total of 15 survey events (totalling 48 days of survey effort) were conducted during the non-breeding (flocking) period.</w:t>
            </w:r>
          </w:p>
          <w:bookmarkEnd w:id="35"/>
          <w:p w14:paraId="7CEEA7CC" w14:textId="77777777" w:rsidR="009D2459" w:rsidRPr="009C2B10" w:rsidRDefault="009D2459" w:rsidP="009949A0">
            <w:pPr>
              <w:pStyle w:val="TableText"/>
              <w:spacing w:before="60" w:after="60"/>
            </w:pPr>
            <w:r w:rsidRPr="009C2B10">
              <w:t>In the 2012/2013 Brolga breeding season searches of five wetland areas within 2 kilometres of the project site were undertaken to identify Brolga breeding nests.</w:t>
            </w:r>
          </w:p>
          <w:p w14:paraId="6AA847F3" w14:textId="77777777" w:rsidR="009D2459" w:rsidRPr="009C2B10" w:rsidRDefault="009D2459" w:rsidP="009949A0">
            <w:pPr>
              <w:pStyle w:val="TableText"/>
              <w:spacing w:before="60" w:after="60"/>
            </w:pPr>
            <w:r w:rsidRPr="009C2B10">
              <w:t>Roaming field surveys were undertaken over several days in each month of the Brolga breeding seasons of 2018, 2019 and 2020. A single survey was completed in 2021. A</w:t>
            </w:r>
            <w:bookmarkStart w:id="36" w:name="_Hlk80261203"/>
            <w:r w:rsidRPr="009C2B10">
              <w:t xml:space="preserve"> total of 18 survey events (totalling 67 days of survey effort) were conducted during the breeding season between 2018 and 2021.</w:t>
            </w:r>
            <w:bookmarkEnd w:id="36"/>
            <w:r w:rsidRPr="009C2B10">
              <w:t xml:space="preserve"> The roaming field surveys focused on wetlands within 5 kilometres of the project site. A total of 112 wetlands were surveyed for active Brolga breeding and for suitability as breeding habitat. </w:t>
            </w:r>
          </w:p>
        </w:tc>
      </w:tr>
      <w:tr w:rsidR="009D2459" w:rsidRPr="009C2B10" w14:paraId="1A6F9035" w14:textId="77777777" w:rsidTr="009949A0">
        <w:trPr>
          <w:cantSplit/>
        </w:trPr>
        <w:tc>
          <w:tcPr>
            <w:tcW w:w="424" w:type="pct"/>
          </w:tcPr>
          <w:p w14:paraId="42F25D08" w14:textId="77777777" w:rsidR="009D2459" w:rsidRPr="009C2B10" w:rsidRDefault="009D2459" w:rsidP="005E4C49">
            <w:pPr>
              <w:pStyle w:val="TableText"/>
            </w:pPr>
            <w:r w:rsidRPr="009C2B10">
              <w:lastRenderedPageBreak/>
              <w:t>Step 4</w:t>
            </w:r>
          </w:p>
        </w:tc>
        <w:tc>
          <w:tcPr>
            <w:tcW w:w="1460" w:type="pct"/>
          </w:tcPr>
          <w:p w14:paraId="66E7D4D8" w14:textId="77777777" w:rsidR="009D2459" w:rsidRPr="009C2B10" w:rsidRDefault="009D2459" w:rsidP="005E4C49">
            <w:pPr>
              <w:pStyle w:val="TableText"/>
            </w:pPr>
            <w:r w:rsidRPr="009C2B10">
              <w:t>Wetland habitat assessment</w:t>
            </w:r>
          </w:p>
        </w:tc>
        <w:tc>
          <w:tcPr>
            <w:tcW w:w="3116" w:type="pct"/>
          </w:tcPr>
          <w:p w14:paraId="66DD539C" w14:textId="30A0076F" w:rsidR="009D2459" w:rsidRPr="009C2B10" w:rsidRDefault="009D2459" w:rsidP="005E4C49">
            <w:pPr>
              <w:pStyle w:val="TableText"/>
            </w:pPr>
            <w:r w:rsidRPr="009C2B10">
              <w:t>All wetlands mapped within the DELWP Victorian Wetland Inventory (‘current wetlands’) layer within 10 kilometres of the project site were assessed by Nature Advisory.</w:t>
            </w:r>
            <w:r>
              <w:t xml:space="preserve"> </w:t>
            </w:r>
            <w:r w:rsidRPr="009C2B10">
              <w:t>Each of these wetlands were assessed for their suitability to support Brolga reproduction focussing on vegetation presence, physical attributes and their condition.</w:t>
            </w:r>
          </w:p>
          <w:p w14:paraId="53DD6C26" w14:textId="40E678B1" w:rsidR="009D2459" w:rsidRPr="009C2B10" w:rsidRDefault="009D2459" w:rsidP="005E4C49">
            <w:pPr>
              <w:pStyle w:val="TableText"/>
            </w:pPr>
            <w:r w:rsidRPr="009C2B10">
              <w:t>To predict potential Brolga breeding habitat more accurately, hydrology investigations were undertaken by Water Technology to develop a surface water model to accurately assess which wetlands can hold water for a 120–day period</w:t>
            </w:r>
            <w:r w:rsidR="009B4F20">
              <w:t xml:space="preserve"> once every ten years</w:t>
            </w:r>
            <w:r w:rsidRPr="009C2B10">
              <w:t xml:space="preserve">, which is the period of wetland inundation Brolga require to breed successfully. Hydraulic modelling simulated runoff generated from local rainfall and site topography. Identified suitable wetland areas then underwent a more detailed hydrological assessment, which involved water balance modelling of each wetland individually or as a series of connected wetlands. </w:t>
            </w:r>
          </w:p>
          <w:p w14:paraId="3DB5CBE8" w14:textId="77777777" w:rsidR="009D2459" w:rsidRDefault="009D2459" w:rsidP="005E4C49">
            <w:pPr>
              <w:pStyle w:val="TableText"/>
            </w:pPr>
            <w:r w:rsidRPr="009C2B10">
              <w:t>Further ecological field surveys of these wetlands were completed to also assess other features that are known to be of importance to Brolga including the presence of aquatic or semi aquatic vegetation.</w:t>
            </w:r>
          </w:p>
          <w:p w14:paraId="708ADDE5" w14:textId="7636A2DC" w:rsidR="003F76B5" w:rsidRPr="009C2B10" w:rsidRDefault="003F76B5" w:rsidP="005E4C49">
            <w:pPr>
              <w:pStyle w:val="TableText"/>
            </w:pPr>
            <w:r>
              <w:t xml:space="preserve">Hydrological modelling combined with field assessment identified areas capable of supporting Brolga breeding. </w:t>
            </w:r>
          </w:p>
        </w:tc>
      </w:tr>
      <w:tr w:rsidR="009D2459" w:rsidRPr="009C2B10" w14:paraId="1189E42D" w14:textId="77777777" w:rsidTr="009949A0">
        <w:tc>
          <w:tcPr>
            <w:tcW w:w="424" w:type="pct"/>
          </w:tcPr>
          <w:p w14:paraId="44FBF807" w14:textId="77777777" w:rsidR="009D2459" w:rsidRPr="009C2B10" w:rsidRDefault="009D2459" w:rsidP="005E4C49">
            <w:pPr>
              <w:pStyle w:val="TableText"/>
            </w:pPr>
            <w:r w:rsidRPr="009C2B10">
              <w:t>Step 5</w:t>
            </w:r>
          </w:p>
        </w:tc>
        <w:tc>
          <w:tcPr>
            <w:tcW w:w="1460" w:type="pct"/>
          </w:tcPr>
          <w:p w14:paraId="1166F5EB" w14:textId="77777777" w:rsidR="009D2459" w:rsidRPr="009C2B10" w:rsidRDefault="009D2459" w:rsidP="005E4C49">
            <w:pPr>
              <w:pStyle w:val="TableText"/>
            </w:pPr>
            <w:r w:rsidRPr="009C2B10">
              <w:t>Flight behaviour studies aim to describe Brolga flight paths and movement patterns to determine buffer location and design and for use in a collision risk model.</w:t>
            </w:r>
          </w:p>
        </w:tc>
        <w:tc>
          <w:tcPr>
            <w:tcW w:w="3116" w:type="pct"/>
          </w:tcPr>
          <w:p w14:paraId="35F4F5E3" w14:textId="77777777" w:rsidR="009D2459" w:rsidRPr="009C2B10" w:rsidRDefault="009D2459" w:rsidP="005E4C49">
            <w:pPr>
              <w:pStyle w:val="TableText"/>
            </w:pPr>
            <w:r w:rsidRPr="009C2B10">
              <w:t>Flight behaviour and movement data was gathered for two breeding pairs within 10 kilometres of the project site during the 2018 breeding season. Due to the limited number of breeding nests, the data gathered was not considered statistically robust enough to inform buffer location and design. Observations of flight movements of Brolga around Victorian breeding sites from past studies undertaken by Nature Advisory were used as a basis for determining movement patterns of Brolga.</w:t>
            </w:r>
          </w:p>
        </w:tc>
      </w:tr>
      <w:tr w:rsidR="009D2459" w:rsidRPr="009C2B10" w14:paraId="06045A03" w14:textId="77777777" w:rsidTr="00C06232">
        <w:tc>
          <w:tcPr>
            <w:tcW w:w="5000" w:type="pct"/>
            <w:gridSpan w:val="3"/>
            <w:shd w:val="clear" w:color="auto" w:fill="E6EFE1"/>
          </w:tcPr>
          <w:p w14:paraId="72035C99" w14:textId="639E3E50" w:rsidR="009D2459" w:rsidRPr="009C2B10" w:rsidRDefault="009D2459" w:rsidP="009949A0">
            <w:pPr>
              <w:pStyle w:val="TableText"/>
              <w:keepNext/>
              <w:rPr>
                <w:b/>
                <w:i/>
              </w:rPr>
            </w:pPr>
            <w:r w:rsidRPr="009C2B10">
              <w:rPr>
                <w:b/>
                <w:i/>
              </w:rPr>
              <w:t xml:space="preserve">Level 3 </w:t>
            </w:r>
            <w:r w:rsidR="00C06232">
              <w:rPr>
                <w:b/>
                <w:i/>
              </w:rPr>
              <w:t>–</w:t>
            </w:r>
            <w:r w:rsidRPr="009C2B10">
              <w:rPr>
                <w:b/>
                <w:i/>
              </w:rPr>
              <w:t xml:space="preserve"> Assessment has the objective of using site design and turbine placement to avoid significant impacts on breeding and non-breeding habitats and to then quantify the residual ‘unavoidable’ risk posed to Brolgas by the proposed wind farm and offsetting that measured risk to achieve a zero net impact.</w:t>
            </w:r>
          </w:p>
        </w:tc>
      </w:tr>
      <w:tr w:rsidR="009D2459" w:rsidRPr="009C2B10" w14:paraId="5A22611F" w14:textId="77777777" w:rsidTr="009949A0">
        <w:trPr>
          <w:cantSplit/>
        </w:trPr>
        <w:tc>
          <w:tcPr>
            <w:tcW w:w="424" w:type="pct"/>
          </w:tcPr>
          <w:p w14:paraId="6FFDE573" w14:textId="1C57E81A" w:rsidR="009D2459" w:rsidRPr="009C2B10" w:rsidRDefault="00CC2F1A" w:rsidP="005E4C49">
            <w:pPr>
              <w:pStyle w:val="TableText"/>
            </w:pPr>
            <w:r w:rsidRPr="009C2B10">
              <w:t xml:space="preserve">Step </w:t>
            </w:r>
            <w:r w:rsidR="009D2459" w:rsidRPr="009C2B10">
              <w:t>1</w:t>
            </w:r>
          </w:p>
        </w:tc>
        <w:tc>
          <w:tcPr>
            <w:tcW w:w="1460" w:type="pct"/>
          </w:tcPr>
          <w:p w14:paraId="7A586E1A" w14:textId="77777777" w:rsidR="009D2459" w:rsidRPr="009C2B10" w:rsidRDefault="009D2459" w:rsidP="005E4C49">
            <w:pPr>
              <w:pStyle w:val="TableText"/>
            </w:pPr>
            <w:r w:rsidRPr="009C2B10">
              <w:t>Avoid or mitigate all potential impacts to Brolga breeding and flocking home ranges within the radius of investigation with turbine-free buffer areas.</w:t>
            </w:r>
          </w:p>
        </w:tc>
        <w:tc>
          <w:tcPr>
            <w:tcW w:w="3116" w:type="pct"/>
          </w:tcPr>
          <w:p w14:paraId="2D84C911" w14:textId="77777777" w:rsidR="009D2459" w:rsidRPr="009C2B10" w:rsidRDefault="009D2459" w:rsidP="005E4C49">
            <w:pPr>
              <w:pStyle w:val="TableText"/>
            </w:pPr>
            <w:r w:rsidRPr="009C2B10">
              <w:t>Turbine free buffers were developed using Nature Advisory’s observational flight movements of Brolga, Brolga home range mapping published at other wind farm projects as well as recent published research.</w:t>
            </w:r>
          </w:p>
        </w:tc>
      </w:tr>
      <w:tr w:rsidR="009D2459" w:rsidRPr="009C2B10" w14:paraId="67101C20" w14:textId="77777777" w:rsidTr="009949A0">
        <w:tc>
          <w:tcPr>
            <w:tcW w:w="424" w:type="pct"/>
          </w:tcPr>
          <w:p w14:paraId="73F4DB31" w14:textId="1020A681" w:rsidR="009D2459" w:rsidRPr="009C2B10" w:rsidRDefault="00CC2F1A" w:rsidP="005E4C49">
            <w:pPr>
              <w:pStyle w:val="TableText"/>
            </w:pPr>
            <w:r w:rsidRPr="009C2B10">
              <w:t xml:space="preserve">Step </w:t>
            </w:r>
            <w:r w:rsidR="009D2459" w:rsidRPr="009C2B10">
              <w:t>2</w:t>
            </w:r>
          </w:p>
        </w:tc>
        <w:tc>
          <w:tcPr>
            <w:tcW w:w="1460" w:type="pct"/>
          </w:tcPr>
          <w:p w14:paraId="1389ED73" w14:textId="77777777" w:rsidR="009D2459" w:rsidRPr="009C2B10" w:rsidRDefault="009D2459" w:rsidP="005E4C49">
            <w:pPr>
              <w:pStyle w:val="TableText"/>
            </w:pPr>
            <w:r w:rsidRPr="009C2B10">
              <w:t>Develop a site-specific collision risk model for Brolga utilising or moving through the radius of investigation.</w:t>
            </w:r>
          </w:p>
        </w:tc>
        <w:tc>
          <w:tcPr>
            <w:tcW w:w="3116" w:type="pct"/>
          </w:tcPr>
          <w:p w14:paraId="2D6717FD" w14:textId="77777777" w:rsidR="009D2459" w:rsidRPr="009C2B10" w:rsidRDefault="009D2459" w:rsidP="005E4C49">
            <w:pPr>
              <w:pStyle w:val="TableText"/>
            </w:pPr>
            <w:r w:rsidRPr="009C2B10">
              <w:t>A site-specific collision risk model for Brolga was developed to estimate turbine collision risk for the life of the project based on findings of earlier field and desktop studies.</w:t>
            </w:r>
          </w:p>
        </w:tc>
      </w:tr>
      <w:tr w:rsidR="009D2459" w:rsidRPr="009C2B10" w14:paraId="10E4F747" w14:textId="77777777" w:rsidTr="009949A0">
        <w:tc>
          <w:tcPr>
            <w:tcW w:w="424" w:type="pct"/>
          </w:tcPr>
          <w:p w14:paraId="7013E1F2" w14:textId="7462B714" w:rsidR="009D2459" w:rsidRPr="009C2B10" w:rsidRDefault="00CC2F1A" w:rsidP="005E4C49">
            <w:pPr>
              <w:pStyle w:val="TableText"/>
            </w:pPr>
            <w:r w:rsidRPr="009C2B10">
              <w:t xml:space="preserve">Step </w:t>
            </w:r>
            <w:r w:rsidR="009D2459" w:rsidRPr="009C2B10">
              <w:t>3</w:t>
            </w:r>
          </w:p>
        </w:tc>
        <w:tc>
          <w:tcPr>
            <w:tcW w:w="1460" w:type="pct"/>
          </w:tcPr>
          <w:p w14:paraId="45CFF773" w14:textId="77777777" w:rsidR="009D2459" w:rsidRPr="009C2B10" w:rsidRDefault="009D2459" w:rsidP="005E4C49">
            <w:pPr>
              <w:pStyle w:val="TableText"/>
            </w:pPr>
            <w:r w:rsidRPr="009C2B10">
              <w:t>Use DELWP (Melbourne University) Brolga Population Viability Assessment to estimate the impact of the proposed development on the population.</w:t>
            </w:r>
          </w:p>
        </w:tc>
        <w:tc>
          <w:tcPr>
            <w:tcW w:w="3116" w:type="pct"/>
          </w:tcPr>
          <w:p w14:paraId="5654DE67" w14:textId="77777777" w:rsidR="009D2459" w:rsidRPr="009C2B10" w:rsidRDefault="009D2459" w:rsidP="005E4C49">
            <w:pPr>
              <w:pStyle w:val="TableText"/>
            </w:pPr>
            <w:r w:rsidRPr="009C2B10">
              <w:t>Melbourne University Brolga Population Viability Assessment was used to estimate the impact of the proposed development on the population.</w:t>
            </w:r>
          </w:p>
        </w:tc>
      </w:tr>
      <w:tr w:rsidR="009D2459" w:rsidRPr="009C2B10" w14:paraId="05F93612" w14:textId="77777777" w:rsidTr="009949A0">
        <w:tc>
          <w:tcPr>
            <w:tcW w:w="424" w:type="pct"/>
          </w:tcPr>
          <w:p w14:paraId="3AEF1AD0" w14:textId="4B7BD11D" w:rsidR="009D2459" w:rsidRPr="009C2B10" w:rsidRDefault="00CC2F1A" w:rsidP="005E4C49">
            <w:pPr>
              <w:pStyle w:val="TableText"/>
            </w:pPr>
            <w:r w:rsidRPr="009C2B10">
              <w:t xml:space="preserve">Step </w:t>
            </w:r>
            <w:r w:rsidR="009D2459" w:rsidRPr="009C2B10">
              <w:t>4</w:t>
            </w:r>
          </w:p>
        </w:tc>
        <w:tc>
          <w:tcPr>
            <w:tcW w:w="1460" w:type="pct"/>
          </w:tcPr>
          <w:p w14:paraId="01E46400" w14:textId="77777777" w:rsidR="009D2459" w:rsidRPr="009C2B10" w:rsidRDefault="009D2459" w:rsidP="005E4C49">
            <w:pPr>
              <w:pStyle w:val="TableText"/>
            </w:pPr>
            <w:r w:rsidRPr="009C2B10">
              <w:t>Identify appropriate compensation strategies to ensure a zero net impact on the Victorian Brolga Population.</w:t>
            </w:r>
          </w:p>
        </w:tc>
        <w:tc>
          <w:tcPr>
            <w:tcW w:w="3116" w:type="pct"/>
          </w:tcPr>
          <w:p w14:paraId="31DCFD96" w14:textId="6948604E" w:rsidR="009D2459" w:rsidRPr="009C2B10" w:rsidRDefault="008D672C" w:rsidP="005E4C49">
            <w:pPr>
              <w:pStyle w:val="TableText"/>
            </w:pPr>
            <w:r>
              <w:t>A framework for the proposed Brolga compensation was developed with t</w:t>
            </w:r>
            <w:r w:rsidRPr="008D672C">
              <w:t>he aim o</w:t>
            </w:r>
            <w:r>
              <w:t>f</w:t>
            </w:r>
            <w:r w:rsidRPr="008D672C">
              <w:t xml:space="preserve"> replac</w:t>
            </w:r>
            <w:r>
              <w:t>ing</w:t>
            </w:r>
            <w:r w:rsidRPr="008D672C">
              <w:t xml:space="preserve"> the estimated number of Brolga affected by the project (worst case 4 individuals over 25 years)</w:t>
            </w:r>
            <w:r>
              <w:t>. This would be achieve</w:t>
            </w:r>
            <w:r w:rsidR="00AE244B">
              <w:t>d</w:t>
            </w:r>
            <w:r>
              <w:t xml:space="preserve"> </w:t>
            </w:r>
            <w:r w:rsidRPr="008D672C">
              <w:t xml:space="preserve">through the restoration of </w:t>
            </w:r>
            <w:r>
              <w:t xml:space="preserve">Brolga nesting </w:t>
            </w:r>
            <w:r w:rsidRPr="008D672C">
              <w:t>habitat so that additional breeding pairs can produce increased numbers of young that survive to become breeding adults.</w:t>
            </w:r>
          </w:p>
        </w:tc>
      </w:tr>
    </w:tbl>
    <w:p w14:paraId="7056925D" w14:textId="764DBBE8" w:rsidR="00502066" w:rsidRDefault="009D2459" w:rsidP="009949A0">
      <w:pPr>
        <w:pStyle w:val="BodyText"/>
      </w:pPr>
      <w:r w:rsidRPr="009C2B10">
        <w:t>A summary</w:t>
      </w:r>
      <w:r w:rsidR="002A6B91">
        <w:t xml:space="preserve"> is provided below (</w:t>
      </w:r>
      <w:r w:rsidR="002A6B91">
        <w:fldChar w:fldCharType="begin"/>
      </w:r>
      <w:r w:rsidR="002A6B91">
        <w:instrText xml:space="preserve"> REF _Ref88554500 \h </w:instrText>
      </w:r>
      <w:r w:rsidR="002A6B91">
        <w:fldChar w:fldCharType="separate"/>
      </w:r>
      <w:r w:rsidR="00C053A5" w:rsidRPr="00C06232">
        <w:t xml:space="preserve">Figure </w:t>
      </w:r>
      <w:r w:rsidR="00C053A5">
        <w:rPr>
          <w:noProof/>
        </w:rPr>
        <w:t>11</w:t>
      </w:r>
      <w:r w:rsidR="00C053A5" w:rsidRPr="00C06232">
        <w:t>.</w:t>
      </w:r>
      <w:r w:rsidR="00C053A5">
        <w:rPr>
          <w:noProof/>
        </w:rPr>
        <w:t>1</w:t>
      </w:r>
      <w:r w:rsidR="002A6B91">
        <w:fldChar w:fldCharType="end"/>
      </w:r>
      <w:r w:rsidR="002A6B91">
        <w:t>)</w:t>
      </w:r>
      <w:r w:rsidRPr="009C2B10">
        <w:t xml:space="preserve"> of how the different methods described above were used to determine</w:t>
      </w:r>
      <w:r w:rsidR="008D672C">
        <w:t xml:space="preserve"> </w:t>
      </w:r>
      <w:r w:rsidRPr="009C2B10">
        <w:t xml:space="preserve">Brolga breeding </w:t>
      </w:r>
      <w:r w:rsidR="002A6B91">
        <w:t xml:space="preserve">wetlands </w:t>
      </w:r>
      <w:r w:rsidR="008D672C">
        <w:t>and other functional wetland habitat</w:t>
      </w:r>
      <w:r w:rsidR="002A6B91">
        <w:t>. These wetlands then formed the basis for</w:t>
      </w:r>
      <w:r w:rsidRPr="009C2B10">
        <w:t xml:space="preserve"> turbine free buffers</w:t>
      </w:r>
      <w:r w:rsidR="00A558EF">
        <w:t xml:space="preserve"> zones</w:t>
      </w:r>
      <w:r w:rsidR="002A6B91">
        <w:t xml:space="preserve"> and the final</w:t>
      </w:r>
      <w:r w:rsidRPr="009C2B10">
        <w:t xml:space="preserve"> project design.</w:t>
      </w:r>
    </w:p>
    <w:p w14:paraId="05F00C89" w14:textId="128391B3" w:rsidR="009D2459" w:rsidRPr="005C1C2A" w:rsidRDefault="009D2459" w:rsidP="009949A0">
      <w:pPr>
        <w:pStyle w:val="Image"/>
      </w:pPr>
      <w:bookmarkStart w:id="37" w:name="_Ref81922574"/>
      <w:r w:rsidRPr="005C1C2A">
        <w:rPr>
          <w:noProof/>
        </w:rPr>
        <w:lastRenderedPageBreak/>
        <w:drawing>
          <wp:inline distT="0" distB="0" distL="0" distR="0" wp14:anchorId="3D0928FF" wp14:editId="4F4E287D">
            <wp:extent cx="5760000" cy="4833542"/>
            <wp:effectExtent l="0" t="0" r="0" b="5715"/>
            <wp:docPr id="7" name="Picture 7" descr="Graphic showing the process undertaken to assess Brolga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 showing the process undertaken to assess Brolga habita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000" cy="4833542"/>
                    </a:xfrm>
                    <a:prstGeom prst="rect">
                      <a:avLst/>
                    </a:prstGeom>
                  </pic:spPr>
                </pic:pic>
              </a:graphicData>
            </a:graphic>
          </wp:inline>
        </w:drawing>
      </w:r>
    </w:p>
    <w:p w14:paraId="4D88B218" w14:textId="027C8940" w:rsidR="00CC2F1A" w:rsidRDefault="009D2459" w:rsidP="007D58CD">
      <w:pPr>
        <w:pStyle w:val="Caption"/>
        <w:keepNext w:val="0"/>
        <w:ind w:left="0" w:firstLine="0"/>
      </w:pPr>
      <w:bookmarkStart w:id="38" w:name="_Ref88554500"/>
      <w:bookmarkStart w:id="39" w:name="_Hlk99368513"/>
      <w:bookmarkStart w:id="40" w:name="_Toc83307473"/>
      <w:bookmarkStart w:id="41" w:name="_Hlk99368465"/>
      <w:bookmarkStart w:id="42" w:name="_Toc104909289"/>
      <w:r w:rsidRPr="00C06232">
        <w:t xml:space="preserve">Figure </w:t>
      </w:r>
      <w:r w:rsidR="00EB48E9">
        <w:fldChar w:fldCharType="begin"/>
      </w:r>
      <w:r w:rsidR="00EB48E9">
        <w:instrText xml:space="preserve"> STYLEREF 1 \s </w:instrText>
      </w:r>
      <w:r w:rsidR="00EB48E9">
        <w:fldChar w:fldCharType="separate"/>
      </w:r>
      <w:r w:rsidR="00C053A5">
        <w:rPr>
          <w:noProof/>
        </w:rPr>
        <w:t>11</w:t>
      </w:r>
      <w:r w:rsidR="00EB48E9">
        <w:rPr>
          <w:noProof/>
        </w:rPr>
        <w:fldChar w:fldCharType="end"/>
      </w:r>
      <w:r w:rsidRPr="00C06232">
        <w:t>.</w:t>
      </w:r>
      <w:r w:rsidR="00EB48E9">
        <w:fldChar w:fldCharType="begin"/>
      </w:r>
      <w:r w:rsidR="00EB48E9">
        <w:instrText xml:space="preserve"> SEQ Figure \* ARABIC \s 1 </w:instrText>
      </w:r>
      <w:r w:rsidR="00EB48E9">
        <w:fldChar w:fldCharType="separate"/>
      </w:r>
      <w:r w:rsidR="00C053A5">
        <w:rPr>
          <w:noProof/>
        </w:rPr>
        <w:t>1</w:t>
      </w:r>
      <w:r w:rsidR="00EB48E9">
        <w:rPr>
          <w:noProof/>
        </w:rPr>
        <w:fldChar w:fldCharType="end"/>
      </w:r>
      <w:bookmarkEnd w:id="37"/>
      <w:bookmarkEnd w:id="38"/>
      <w:r w:rsidRPr="00C06232">
        <w:tab/>
        <w:t>Brolga assessment method</w:t>
      </w:r>
      <w:bookmarkEnd w:id="39"/>
      <w:r w:rsidRPr="00C06232">
        <w:t>s</w:t>
      </w:r>
      <w:bookmarkStart w:id="43" w:name="_Toc83307403"/>
      <w:bookmarkEnd w:id="40"/>
      <w:bookmarkEnd w:id="41"/>
      <w:bookmarkEnd w:id="42"/>
    </w:p>
    <w:p w14:paraId="43B7EEB2" w14:textId="44C17A96" w:rsidR="009D2459" w:rsidRPr="001069F5" w:rsidRDefault="009D2459" w:rsidP="00CC2F1A">
      <w:pPr>
        <w:pStyle w:val="Heading2"/>
      </w:pPr>
      <w:bookmarkStart w:id="44" w:name="_Toc104909271"/>
      <w:r w:rsidRPr="001069F5">
        <w:t>Existing conditions</w:t>
      </w:r>
      <w:bookmarkEnd w:id="43"/>
      <w:bookmarkEnd w:id="44"/>
    </w:p>
    <w:p w14:paraId="024CFCF5" w14:textId="77777777" w:rsidR="009D2459" w:rsidRPr="001069F5" w:rsidRDefault="009D2459" w:rsidP="001069F5">
      <w:pPr>
        <w:pStyle w:val="Heading3"/>
      </w:pPr>
      <w:bookmarkStart w:id="45" w:name="_Toc83307404"/>
      <w:bookmarkStart w:id="46" w:name="_Toc104909272"/>
      <w:r w:rsidRPr="001069F5">
        <w:t>Life history and reproduction</w:t>
      </w:r>
      <w:bookmarkEnd w:id="45"/>
      <w:bookmarkEnd w:id="46"/>
    </w:p>
    <w:p w14:paraId="5E90F1C2" w14:textId="38F7DD7A" w:rsidR="009D2459" w:rsidRPr="00C9325D" w:rsidRDefault="009D2459" w:rsidP="009D2459">
      <w:pPr>
        <w:pStyle w:val="BodyText"/>
      </w:pPr>
      <w:r w:rsidRPr="00C9325D">
        <w:t>Brolga (</w:t>
      </w:r>
      <w:r w:rsidRPr="00C9325D">
        <w:rPr>
          <w:i/>
        </w:rPr>
        <w:t xml:space="preserve">Antigone </w:t>
      </w:r>
      <w:proofErr w:type="spellStart"/>
      <w:r w:rsidRPr="00C9325D">
        <w:rPr>
          <w:i/>
        </w:rPr>
        <w:t>rubicunda</w:t>
      </w:r>
      <w:proofErr w:type="spellEnd"/>
      <w:r w:rsidRPr="00C9325D">
        <w:t>) are large, iconic wetland birds known for their elaborate courtship dance. Brolga belong to the crane family (</w:t>
      </w:r>
      <w:proofErr w:type="spellStart"/>
      <w:r w:rsidRPr="00C9325D">
        <w:t>Gruidae</w:t>
      </w:r>
      <w:proofErr w:type="spellEnd"/>
      <w:r w:rsidRPr="00C9325D">
        <w:t xml:space="preserve">), of which two species (including the Brolga) occur in Australia. Adult birds range in weight between four and eight kilograms and stand up to 1.8 metres with a wingspan of 2 metres. During the non-breeding season, Brolga form large flocks occasionally as large as 200 birds but are typically in groups of around 10 to 20 individuals. Breeding pairs form long-term bonds and if one of the pair dies, the remaining individual can take several seasons to find another mate. </w:t>
      </w:r>
    </w:p>
    <w:p w14:paraId="79978681" w14:textId="0EF34E71" w:rsidR="009D2459" w:rsidRPr="00C9325D" w:rsidRDefault="009D2459" w:rsidP="009D2459">
      <w:pPr>
        <w:pStyle w:val="BodyText"/>
      </w:pPr>
      <w:r w:rsidRPr="00C9325D">
        <w:t>Brolga breed once a year and pairs typically produce one or two offspring. The Brolga’s behaviour and distribution differs between the breeding period and non-breeding or flocking period. The breeding period occurs between July to December, during the which territorial pairs nest in shallow freshwater wetlands that are often ephemeral, holding water only in winter and spring. During this period, they use stems, flowers and leaves to build nests above the water line, and this provides a food source (</w:t>
      </w:r>
      <w:r w:rsidR="00C06232">
        <w:t>e.g.</w:t>
      </w:r>
      <w:r w:rsidR="0022442B">
        <w:t>,</w:t>
      </w:r>
      <w:r w:rsidRPr="00C9325D">
        <w:t xml:space="preserve"> tubers) and habitat for vertebrate and invertebrate food sources. The non-breeding (or flocking) period is between January to June, when Brolga disperse from drying breeding wetlands to larger, often permanent wetlands to congregate with others to form flocks that roost at the wetland and move out to forage in adjacent terrestrial and wetland habitats (DSE, 2012). In between the breeding and flocking seasons, Brolga move between breeding and flocking sites or vice versa during two migration periods that can overlap with the months above.</w:t>
      </w:r>
    </w:p>
    <w:p w14:paraId="450FEA57" w14:textId="77777777" w:rsidR="009D2459" w:rsidRPr="001069F5" w:rsidRDefault="009D2459" w:rsidP="001069F5">
      <w:pPr>
        <w:pStyle w:val="Heading3"/>
      </w:pPr>
      <w:bookmarkStart w:id="47" w:name="_Ref81832724"/>
      <w:bookmarkStart w:id="48" w:name="_Toc83307405"/>
      <w:bookmarkStart w:id="49" w:name="_Toc104909273"/>
      <w:r w:rsidRPr="001069F5">
        <w:lastRenderedPageBreak/>
        <w:t>Population size and distribution</w:t>
      </w:r>
      <w:bookmarkEnd w:id="47"/>
      <w:bookmarkEnd w:id="48"/>
      <w:bookmarkEnd w:id="49"/>
      <w:r w:rsidRPr="001069F5">
        <w:t xml:space="preserve"> </w:t>
      </w:r>
    </w:p>
    <w:p w14:paraId="0E9DDF9A" w14:textId="77777777" w:rsidR="009D2459" w:rsidRPr="00C9325D" w:rsidRDefault="009D2459" w:rsidP="009D2459">
      <w:pPr>
        <w:pStyle w:val="BodyText"/>
      </w:pPr>
      <w:bookmarkStart w:id="50" w:name="_Hlk79412719"/>
      <w:r w:rsidRPr="00C9325D">
        <w:t xml:space="preserve">The Brolga is not considered as a threatened species nationally, with an estimated population of between 20,000 to 100,000 birds in northern Australia (Marchant and Higgins, 1993). In Victoria, the population of Brolga has declined since European settlement because of habitat loss from agriculture and wetland drainage, predation from foxes and collisions with fences and powerlines </w:t>
      </w:r>
      <w:bookmarkEnd w:id="50"/>
      <w:r w:rsidRPr="00C9325D">
        <w:t>(</w:t>
      </w:r>
      <w:proofErr w:type="spellStart"/>
      <w:r w:rsidRPr="00C9325D">
        <w:t>DuGuesclin</w:t>
      </w:r>
      <w:proofErr w:type="spellEnd"/>
      <w:r w:rsidRPr="00C9325D">
        <w:t>, 2003). The Brolga is listed as endangered in Victoria under the FFG Act Threats include ongoing habitat loss, wetland drainage and alteration of flooding regimes, habitat degradation from stock grazing, and collisions with fences and powerlines. Predation on eggs and chicks by the Red Fox is also thought to be a cause of nest failure (DSE, 2003).</w:t>
      </w:r>
    </w:p>
    <w:p w14:paraId="5997E22C" w14:textId="0D633C89" w:rsidR="009D2459" w:rsidRPr="00C9325D" w:rsidRDefault="009D2459" w:rsidP="009D2459">
      <w:pPr>
        <w:pStyle w:val="BodyText"/>
      </w:pPr>
      <w:r w:rsidRPr="00C9325D">
        <w:t xml:space="preserve">The most recent </w:t>
      </w:r>
      <w:r w:rsidR="006A6AFE">
        <w:t>census</w:t>
      </w:r>
      <w:r w:rsidR="006A6AFE" w:rsidRPr="00C9325D">
        <w:t xml:space="preserve"> </w:t>
      </w:r>
      <w:r w:rsidRPr="00C9325D">
        <w:t xml:space="preserve">of the Brolga population in southwest Victoria </w:t>
      </w:r>
      <w:r w:rsidR="006A6AFE">
        <w:t>occurred in 2019</w:t>
      </w:r>
      <w:r w:rsidR="006A6AFE" w:rsidRPr="00C9325D">
        <w:t xml:space="preserve"> </w:t>
      </w:r>
      <w:r w:rsidRPr="00C9325D">
        <w:t xml:space="preserve">(SWIFFT, 2021). </w:t>
      </w:r>
      <w:r w:rsidR="006A6AFE">
        <w:t>The population was estimated to be at least 635 individuals</w:t>
      </w:r>
      <w:r w:rsidRPr="00C9325D">
        <w:t>.</w:t>
      </w:r>
      <w:r>
        <w:t xml:space="preserve"> </w:t>
      </w:r>
      <w:r w:rsidRPr="00C9325D">
        <w:t xml:space="preserve">This is similar to the estimate from 1984 of between 550 and 600 individuals. </w:t>
      </w:r>
    </w:p>
    <w:p w14:paraId="32CC99E9" w14:textId="77777777" w:rsidR="009D2459" w:rsidRPr="00C9325D" w:rsidRDefault="009D2459" w:rsidP="009D2459">
      <w:pPr>
        <w:pStyle w:val="BodyText"/>
      </w:pPr>
      <w:r w:rsidRPr="00C9325D">
        <w:t>The populations in Victoria and South Australia may now be isolated from the northern populations as there appear to be only scattered birds in New South Wales (DSE, 2003).</w:t>
      </w:r>
      <w:r w:rsidRPr="00C9325D">
        <w:rPr>
          <w:highlight w:val="yellow"/>
        </w:rPr>
        <w:t xml:space="preserve"> </w:t>
      </w:r>
    </w:p>
    <w:p w14:paraId="6E395702" w14:textId="77777777" w:rsidR="009D2459" w:rsidRPr="00C9325D" w:rsidRDefault="009D2459" w:rsidP="009D2459">
      <w:pPr>
        <w:pStyle w:val="BodyText"/>
      </w:pPr>
      <w:r w:rsidRPr="00C9325D">
        <w:t>Brolgas generally return to traditional flocking sites each year, and numbers at flocking sites have declined significantly over the past century. Consistent flocking sites in southwest Victoria account for a significant proportion of the southern population. These sites include:</w:t>
      </w:r>
    </w:p>
    <w:p w14:paraId="28CBDFFD" w14:textId="77777777" w:rsidR="009D2459" w:rsidRPr="001069F5" w:rsidRDefault="009D2459" w:rsidP="001069F5">
      <w:pPr>
        <w:pStyle w:val="ListBullet"/>
        <w:contextualSpacing/>
      </w:pPr>
      <w:r w:rsidRPr="001069F5">
        <w:t>The Grampians region</w:t>
      </w:r>
    </w:p>
    <w:p w14:paraId="305CB4EB" w14:textId="77777777" w:rsidR="009D2459" w:rsidRPr="001069F5" w:rsidRDefault="009D2459" w:rsidP="001069F5">
      <w:pPr>
        <w:pStyle w:val="ListBullet"/>
        <w:contextualSpacing/>
      </w:pPr>
      <w:r w:rsidRPr="001069F5">
        <w:t>Strathdownie</w:t>
      </w:r>
    </w:p>
    <w:p w14:paraId="6F956433" w14:textId="77777777" w:rsidR="009D2459" w:rsidRPr="001069F5" w:rsidRDefault="009D2459" w:rsidP="001069F5">
      <w:pPr>
        <w:pStyle w:val="ListBullet"/>
        <w:contextualSpacing/>
      </w:pPr>
      <w:r w:rsidRPr="001069F5">
        <w:t>Cressy</w:t>
      </w:r>
    </w:p>
    <w:p w14:paraId="5131E7A5" w14:textId="77777777" w:rsidR="009D2459" w:rsidRPr="001069F5" w:rsidRDefault="009D2459" w:rsidP="001069F5">
      <w:pPr>
        <w:pStyle w:val="ListBullet"/>
        <w:contextualSpacing/>
      </w:pPr>
      <w:r w:rsidRPr="001069F5">
        <w:t xml:space="preserve">Streatham (mainly on Lake </w:t>
      </w:r>
      <w:proofErr w:type="spellStart"/>
      <w:r w:rsidRPr="001069F5">
        <w:t>Wongan</w:t>
      </w:r>
      <w:proofErr w:type="spellEnd"/>
      <w:r w:rsidRPr="001069F5">
        <w:t xml:space="preserve"> and the Skipton area)</w:t>
      </w:r>
    </w:p>
    <w:p w14:paraId="02908D2C" w14:textId="77777777" w:rsidR="009D2459" w:rsidRPr="001069F5" w:rsidRDefault="009D2459" w:rsidP="001069F5">
      <w:pPr>
        <w:pStyle w:val="ListBullet"/>
        <w:contextualSpacing/>
      </w:pPr>
      <w:r w:rsidRPr="001069F5">
        <w:t>Hamilton, Dunkeld and Penshurst areas</w:t>
      </w:r>
    </w:p>
    <w:p w14:paraId="7E84777E" w14:textId="77777777" w:rsidR="009D2459" w:rsidRPr="001069F5" w:rsidRDefault="009D2459" w:rsidP="001069F5">
      <w:pPr>
        <w:pStyle w:val="ListBullet"/>
        <w:contextualSpacing/>
      </w:pPr>
      <w:r w:rsidRPr="001069F5">
        <w:t>Edenhope area</w:t>
      </w:r>
    </w:p>
    <w:p w14:paraId="3AE92AEA" w14:textId="77777777" w:rsidR="009D2459" w:rsidRPr="001069F5" w:rsidRDefault="009D2459" w:rsidP="001069F5">
      <w:pPr>
        <w:pStyle w:val="ListBullet"/>
        <w:contextualSpacing/>
      </w:pPr>
      <w:r w:rsidRPr="001069F5">
        <w:t>Toolondo</w:t>
      </w:r>
    </w:p>
    <w:p w14:paraId="1E203371" w14:textId="77777777" w:rsidR="009D2459" w:rsidRPr="001069F5" w:rsidRDefault="009D2459" w:rsidP="001069F5">
      <w:pPr>
        <w:pStyle w:val="ListBullet"/>
        <w:contextualSpacing/>
      </w:pPr>
      <w:r w:rsidRPr="001069F5">
        <w:t>Willaura and Stavely areas</w:t>
      </w:r>
    </w:p>
    <w:p w14:paraId="5462471F" w14:textId="77777777" w:rsidR="009D2459" w:rsidRPr="001069F5" w:rsidRDefault="009D2459" w:rsidP="001069F5">
      <w:pPr>
        <w:pStyle w:val="ListBullet"/>
        <w:contextualSpacing/>
      </w:pPr>
      <w:r w:rsidRPr="001069F5">
        <w:t>Darlington.</w:t>
      </w:r>
    </w:p>
    <w:p w14:paraId="43A59992" w14:textId="55D02F65" w:rsidR="00D30168" w:rsidRPr="00D30168" w:rsidRDefault="009D2459" w:rsidP="00137A75">
      <w:pPr>
        <w:pStyle w:val="BodyText"/>
      </w:pPr>
      <w:bookmarkStart w:id="51" w:name="_Hlk99369096"/>
      <w:r w:rsidRPr="00C9325D">
        <w:t>A review of existing databases for records of Brolga breeding, flocking and sighting records were analysed by Nature Advisory. Information provided by local landowners and land managers (not recorded in databases) was also considered and incorporated into the assessment.</w:t>
      </w:r>
      <w:bookmarkEnd w:id="51"/>
      <w:r w:rsidRPr="00C9325D">
        <w:t xml:space="preserve"> </w:t>
      </w:r>
    </w:p>
    <w:p w14:paraId="54EE35AE" w14:textId="77777777" w:rsidR="009D2459" w:rsidRPr="00C9325D" w:rsidRDefault="009D2459" w:rsidP="009D2459">
      <w:pPr>
        <w:pStyle w:val="BodyText"/>
      </w:pPr>
      <w:r w:rsidRPr="00C9325D">
        <w:t>The desktop review found no historical Brolga flocking sites within 10 kilometres of the project site. Based on consultation with more than 40 landowners and representatives from Birdlife Australia, Friends of Pallisters Reserve Inc, Trust for Nature and Basalt to Bay Landcare Network, there were no reported sightings of Brolga in numbers that would indicate flocking activity within 10 kilometres of the project.</w:t>
      </w:r>
    </w:p>
    <w:p w14:paraId="57066C7C" w14:textId="77C20C75" w:rsidR="00D30168" w:rsidRDefault="009D2459" w:rsidP="009D2459">
      <w:pPr>
        <w:pStyle w:val="BodyText"/>
      </w:pPr>
      <w:r w:rsidRPr="00C9325D">
        <w:t>The project is</w:t>
      </w:r>
      <w:r w:rsidR="002317A9">
        <w:t xml:space="preserve"> located</w:t>
      </w:r>
      <w:r w:rsidRPr="00C9325D">
        <w:t xml:space="preserve"> in an area of relatively few, scattered Brolga records. Higher densities of </w:t>
      </w:r>
      <w:r w:rsidR="0076695D">
        <w:t xml:space="preserve">Brolga </w:t>
      </w:r>
      <w:r w:rsidRPr="00C9325D">
        <w:t>records occur to the north, northeast, northwest and to a lesser extent, west of the project</w:t>
      </w:r>
      <w:r w:rsidR="00D30168">
        <w:t xml:space="preserve"> (</w:t>
      </w:r>
      <w:r w:rsidR="00D30168">
        <w:fldChar w:fldCharType="begin"/>
      </w:r>
      <w:r w:rsidR="00D30168">
        <w:instrText xml:space="preserve"> REF _Ref99010934 \h </w:instrText>
      </w:r>
      <w:r w:rsidR="00D30168">
        <w:fldChar w:fldCharType="separate"/>
      </w:r>
      <w:r w:rsidR="00C053A5" w:rsidRPr="00305E4E">
        <w:t xml:space="preserve">Figure </w:t>
      </w:r>
      <w:r w:rsidR="00C053A5">
        <w:rPr>
          <w:noProof/>
        </w:rPr>
        <w:t>11</w:t>
      </w:r>
      <w:r w:rsidR="00C053A5" w:rsidRPr="00305E4E">
        <w:t>.</w:t>
      </w:r>
      <w:r w:rsidR="00C053A5">
        <w:rPr>
          <w:noProof/>
        </w:rPr>
        <w:t>2</w:t>
      </w:r>
      <w:r w:rsidR="00D30168">
        <w:fldChar w:fldCharType="end"/>
      </w:r>
      <w:r w:rsidR="00D30168">
        <w:t>)</w:t>
      </w:r>
      <w:r w:rsidRPr="00C9325D">
        <w:t xml:space="preserve">. </w:t>
      </w:r>
    </w:p>
    <w:p w14:paraId="6230CA1A" w14:textId="3A0ACDB6" w:rsidR="00D30168" w:rsidRDefault="009D2459" w:rsidP="009D2459">
      <w:pPr>
        <w:pStyle w:val="BodyText"/>
      </w:pPr>
      <w:r w:rsidRPr="00C9325D">
        <w:t xml:space="preserve">A total of </w:t>
      </w:r>
      <w:r w:rsidR="007134A7">
        <w:t xml:space="preserve">28 </w:t>
      </w:r>
      <w:r w:rsidR="00F80BF3">
        <w:t xml:space="preserve">Brolga breeding </w:t>
      </w:r>
      <w:r w:rsidR="007134A7">
        <w:t>records were identified within 10 kilometres of the project site and 23 of these could be attributed a functioning wetland (</w:t>
      </w:r>
      <w:r w:rsidR="00D30168">
        <w:fldChar w:fldCharType="begin"/>
      </w:r>
      <w:r w:rsidR="00D30168">
        <w:instrText xml:space="preserve"> REF _Ref99010752 \h </w:instrText>
      </w:r>
      <w:r w:rsidR="00D30168">
        <w:fldChar w:fldCharType="separate"/>
      </w:r>
      <w:r w:rsidR="00C053A5" w:rsidRPr="00DA6358">
        <w:t xml:space="preserve">Figure </w:t>
      </w:r>
      <w:r w:rsidR="00C053A5">
        <w:rPr>
          <w:noProof/>
        </w:rPr>
        <w:t>11</w:t>
      </w:r>
      <w:r w:rsidR="00C053A5" w:rsidRPr="00DA6358">
        <w:t>.</w:t>
      </w:r>
      <w:r w:rsidR="00C053A5">
        <w:rPr>
          <w:noProof/>
        </w:rPr>
        <w:t>3</w:t>
      </w:r>
      <w:r w:rsidR="00D30168">
        <w:fldChar w:fldCharType="end"/>
      </w:r>
      <w:r w:rsidR="007134A7">
        <w:t>)</w:t>
      </w:r>
      <w:r w:rsidR="004C2AC6" w:rsidRPr="00C9325D">
        <w:t>.</w:t>
      </w:r>
      <w:r w:rsidR="004C2AC6">
        <w:t xml:space="preserve"> </w:t>
      </w:r>
      <w:r w:rsidR="004C2AC6" w:rsidRPr="00C9325D">
        <w:t xml:space="preserve">Breeding sites documented included </w:t>
      </w:r>
      <w:r w:rsidR="00D30168">
        <w:t>five</w:t>
      </w:r>
      <w:r w:rsidR="004C2AC6" w:rsidRPr="00C9325D">
        <w:t xml:space="preserve"> locations within</w:t>
      </w:r>
      <w:r w:rsidR="004C2AC6">
        <w:t xml:space="preserve"> or nearby</w:t>
      </w:r>
      <w:r w:rsidR="004C2AC6" w:rsidRPr="00C9325D">
        <w:t xml:space="preserve"> the Cockatoo Swamp complex </w:t>
      </w:r>
      <w:r w:rsidR="004C2AC6">
        <w:t>adjacent to the project site</w:t>
      </w:r>
      <w:r w:rsidR="004C2AC6" w:rsidRPr="00C9325D">
        <w:t xml:space="preserve">, </w:t>
      </w:r>
      <w:r w:rsidR="00D30168">
        <w:t>multiple locations</w:t>
      </w:r>
      <w:r w:rsidR="004C2AC6" w:rsidRPr="00C9325D">
        <w:t xml:space="preserve"> </w:t>
      </w:r>
      <w:r w:rsidR="00D30168">
        <w:t>near the</w:t>
      </w:r>
      <w:r w:rsidR="004C2AC6" w:rsidRPr="00C9325D">
        <w:t xml:space="preserve"> Macarthur Wind Farm</w:t>
      </w:r>
      <w:r w:rsidR="00D30168">
        <w:t xml:space="preserve"> to the north</w:t>
      </w:r>
      <w:r w:rsidR="004C2AC6" w:rsidRPr="00C9325D">
        <w:t xml:space="preserve"> and</w:t>
      </w:r>
      <w:r w:rsidR="004C2AC6">
        <w:t xml:space="preserve"> </w:t>
      </w:r>
      <w:r w:rsidR="004C2AC6" w:rsidRPr="00C9325D">
        <w:t xml:space="preserve">Pallisters Reserve </w:t>
      </w:r>
      <w:r w:rsidR="00D30168">
        <w:t>to the southwest</w:t>
      </w:r>
      <w:r w:rsidR="00D30168" w:rsidRPr="00D30168">
        <w:t xml:space="preserve"> </w:t>
      </w:r>
      <w:r w:rsidR="00D30168">
        <w:t xml:space="preserve">between 5 and 10 kilometres from the project site. </w:t>
      </w:r>
      <w:r w:rsidR="00D30168" w:rsidRPr="003F496E">
        <w:t>In addition</w:t>
      </w:r>
      <w:r w:rsidR="00D30168">
        <w:t xml:space="preserve">, there were </w:t>
      </w:r>
      <w:r w:rsidR="00D30168" w:rsidRPr="003F496E">
        <w:t xml:space="preserve">records to the west of the </w:t>
      </w:r>
      <w:r w:rsidR="00D30168">
        <w:t>site</w:t>
      </w:r>
      <w:r w:rsidR="00D30168" w:rsidRPr="003F496E">
        <w:t xml:space="preserve"> extending from Bessiebelle southwards, including Broadwater and Orford to St. Helens. </w:t>
      </w:r>
      <w:r w:rsidR="00D30168">
        <w:t>Three</w:t>
      </w:r>
      <w:r w:rsidR="00D30168" w:rsidRPr="003F496E">
        <w:t xml:space="preserve"> records occurred to the north-east </w:t>
      </w:r>
      <w:r w:rsidR="00D30168">
        <w:t xml:space="preserve">and east </w:t>
      </w:r>
      <w:r w:rsidR="00D30168" w:rsidRPr="003F496E">
        <w:t xml:space="preserve">of the </w:t>
      </w:r>
      <w:r w:rsidR="00D30168">
        <w:t>site.</w:t>
      </w:r>
    </w:p>
    <w:p w14:paraId="66DCF5C9" w14:textId="06616A1F" w:rsidR="009949A0" w:rsidRPr="009949A0" w:rsidRDefault="009949A0" w:rsidP="009949A0">
      <w:pPr>
        <w:sectPr w:rsidR="009949A0" w:rsidRPr="009949A0" w:rsidSect="00632BD3">
          <w:headerReference w:type="even" r:id="rId12"/>
          <w:headerReference w:type="default" r:id="rId13"/>
          <w:footerReference w:type="even" r:id="rId14"/>
          <w:footerReference w:type="default" r:id="rId15"/>
          <w:headerReference w:type="first" r:id="rId16"/>
          <w:footerReference w:type="first" r:id="rId17"/>
          <w:pgSz w:w="11906" w:h="16838" w:code="9"/>
          <w:pgMar w:top="1276" w:right="1418" w:bottom="1134" w:left="1418" w:header="709" w:footer="284" w:gutter="0"/>
          <w:pgNumType w:start="1" w:chapStyle="1"/>
          <w:cols w:space="708"/>
          <w:docGrid w:linePitch="360"/>
        </w:sectPr>
      </w:pPr>
    </w:p>
    <w:p w14:paraId="41D86CDF" w14:textId="77777777" w:rsidR="00D30168" w:rsidRPr="006F282B" w:rsidRDefault="00D30168" w:rsidP="00D30168">
      <w:pPr>
        <w:pStyle w:val="BodyText"/>
      </w:pPr>
      <w:r>
        <w:rPr>
          <w:noProof/>
        </w:rPr>
        <w:lastRenderedPageBreak/>
        <w:drawing>
          <wp:anchor distT="0" distB="0" distL="114300" distR="114300" simplePos="0" relativeHeight="251660288" behindDoc="0" locked="0" layoutInCell="1" allowOverlap="1" wp14:anchorId="001A2FEC" wp14:editId="2DAE9CAD">
            <wp:simplePos x="0" y="0"/>
            <wp:positionH relativeFrom="column">
              <wp:posOffset>-890905</wp:posOffset>
            </wp:positionH>
            <wp:positionV relativeFrom="paragraph">
              <wp:posOffset>-800735</wp:posOffset>
            </wp:positionV>
            <wp:extent cx="10692000" cy="7560738"/>
            <wp:effectExtent l="0" t="0" r="0" b="2540"/>
            <wp:wrapNone/>
            <wp:docPr id="9" name="Picture 9" descr="Aerial map showing the location of the project site in relation to Brolga records and modelled habitat within the wider western Victoria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erial map showing the location of the project site in relation to Brolga records and modelled habitat within the wider western Victoria region"/>
                    <pic:cNvPicPr/>
                  </pic:nvPicPr>
                  <pic:blipFill>
                    <a:blip r:embed="rId18">
                      <a:extLst>
                        <a:ext uri="{28A0092B-C50C-407E-A947-70E740481C1C}">
                          <a14:useLocalDpi xmlns:a14="http://schemas.microsoft.com/office/drawing/2010/main" val="0"/>
                        </a:ext>
                      </a:extLst>
                    </a:blip>
                    <a:stretch>
                      <a:fillRect/>
                    </a:stretch>
                  </pic:blipFill>
                  <pic:spPr>
                    <a:xfrm>
                      <a:off x="0" y="0"/>
                      <a:ext cx="10692000" cy="7560738"/>
                    </a:xfrm>
                    <a:prstGeom prst="rect">
                      <a:avLst/>
                    </a:prstGeom>
                  </pic:spPr>
                </pic:pic>
              </a:graphicData>
            </a:graphic>
            <wp14:sizeRelH relativeFrom="page">
              <wp14:pctWidth>0</wp14:pctWidth>
            </wp14:sizeRelH>
            <wp14:sizeRelV relativeFrom="page">
              <wp14:pctHeight>0</wp14:pctHeight>
            </wp14:sizeRelV>
          </wp:anchor>
        </w:drawing>
      </w:r>
    </w:p>
    <w:p w14:paraId="26D56DBF" w14:textId="5D3412A9" w:rsidR="00D30168" w:rsidRPr="00305E4E" w:rsidRDefault="00D30168" w:rsidP="00D30168">
      <w:pPr>
        <w:pStyle w:val="Caption"/>
      </w:pPr>
      <w:bookmarkStart w:id="103" w:name="_Ref99010934"/>
      <w:bookmarkStart w:id="104" w:name="_Toc104909290"/>
      <w:r w:rsidRPr="00305E4E">
        <w:t xml:space="preserve">Figure </w:t>
      </w:r>
      <w:r w:rsidR="00EB48E9">
        <w:fldChar w:fldCharType="begin"/>
      </w:r>
      <w:r w:rsidR="00EB48E9">
        <w:instrText xml:space="preserve"> STYLEREF 1 \s </w:instrText>
      </w:r>
      <w:r w:rsidR="00EB48E9">
        <w:fldChar w:fldCharType="separate"/>
      </w:r>
      <w:r w:rsidR="00C053A5">
        <w:rPr>
          <w:noProof/>
        </w:rPr>
        <w:t>11</w:t>
      </w:r>
      <w:r w:rsidR="00EB48E9">
        <w:rPr>
          <w:noProof/>
        </w:rPr>
        <w:fldChar w:fldCharType="end"/>
      </w:r>
      <w:r w:rsidRPr="00305E4E">
        <w:t>.</w:t>
      </w:r>
      <w:r w:rsidR="00EB48E9">
        <w:fldChar w:fldCharType="begin"/>
      </w:r>
      <w:r w:rsidR="00EB48E9">
        <w:instrText xml:space="preserve"> SEQ Figure \* ARABIC \s 1 </w:instrText>
      </w:r>
      <w:r w:rsidR="00EB48E9">
        <w:fldChar w:fldCharType="separate"/>
      </w:r>
      <w:r w:rsidR="00C053A5">
        <w:rPr>
          <w:noProof/>
        </w:rPr>
        <w:t>2</w:t>
      </w:r>
      <w:r w:rsidR="00EB48E9">
        <w:rPr>
          <w:noProof/>
        </w:rPr>
        <w:fldChar w:fldCharType="end"/>
      </w:r>
      <w:bookmarkEnd w:id="103"/>
      <w:r w:rsidRPr="00305E4E">
        <w:tab/>
        <w:t>Brolga records and modelled habitat</w:t>
      </w:r>
      <w:bookmarkEnd w:id="104"/>
    </w:p>
    <w:p w14:paraId="5502BE1F" w14:textId="52232A43" w:rsidR="009949A0" w:rsidRDefault="009949A0">
      <w:pPr>
        <w:spacing w:before="0" w:after="160" w:line="259" w:lineRule="auto"/>
        <w:rPr>
          <w:b/>
          <w:bCs/>
          <w:sz w:val="18"/>
          <w:szCs w:val="20"/>
          <w:lang w:eastAsia="fr-CA"/>
        </w:rPr>
      </w:pPr>
      <w:r>
        <w:br w:type="page"/>
      </w:r>
    </w:p>
    <w:p w14:paraId="374AA560" w14:textId="5F5A3CA2" w:rsidR="00D30168" w:rsidRPr="0046370C" w:rsidRDefault="00E04EDB" w:rsidP="00D30168">
      <w:pPr>
        <w:pStyle w:val="Image"/>
        <w:rPr>
          <w:highlight w:val="green"/>
        </w:rPr>
      </w:pPr>
      <w:r>
        <w:rPr>
          <w:noProof/>
        </w:rPr>
        <w:lastRenderedPageBreak/>
        <w:drawing>
          <wp:anchor distT="0" distB="0" distL="114300" distR="114300" simplePos="0" relativeHeight="251661312" behindDoc="0" locked="0" layoutInCell="1" allowOverlap="1" wp14:anchorId="23D50D8C" wp14:editId="202EE84F">
            <wp:simplePos x="0" y="0"/>
            <wp:positionH relativeFrom="column">
              <wp:posOffset>-900430</wp:posOffset>
            </wp:positionH>
            <wp:positionV relativeFrom="paragraph">
              <wp:posOffset>-800734</wp:posOffset>
            </wp:positionV>
            <wp:extent cx="10692000" cy="7560738"/>
            <wp:effectExtent l="0" t="0" r="0" b="2540"/>
            <wp:wrapNone/>
            <wp:docPr id="20" name="Picture 20" descr="Map showing Brolga breeding records obtained from field surveys, landholders, Trust for Nature and Victoria Biodiversity Atlas records within 10 kilometres of the project site bound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 showing Brolga breeding records obtained from field surveys, landholders, Trust for Nature and Victoria Biodiversity Atlas records within 10 kilometres of the project site boundary"/>
                    <pic:cNvPicPr/>
                  </pic:nvPicPr>
                  <pic:blipFill>
                    <a:blip r:embed="rId19">
                      <a:extLst>
                        <a:ext uri="{28A0092B-C50C-407E-A947-70E740481C1C}">
                          <a14:useLocalDpi xmlns:a14="http://schemas.microsoft.com/office/drawing/2010/main" val="0"/>
                        </a:ext>
                      </a:extLst>
                    </a:blip>
                    <a:stretch>
                      <a:fillRect/>
                    </a:stretch>
                  </pic:blipFill>
                  <pic:spPr>
                    <a:xfrm>
                      <a:off x="0" y="0"/>
                      <a:ext cx="10692000" cy="7560738"/>
                    </a:xfrm>
                    <a:prstGeom prst="rect">
                      <a:avLst/>
                    </a:prstGeom>
                  </pic:spPr>
                </pic:pic>
              </a:graphicData>
            </a:graphic>
            <wp14:sizeRelH relativeFrom="page">
              <wp14:pctWidth>0</wp14:pctWidth>
            </wp14:sizeRelH>
            <wp14:sizeRelV relativeFrom="page">
              <wp14:pctHeight>0</wp14:pctHeight>
            </wp14:sizeRelV>
          </wp:anchor>
        </w:drawing>
      </w:r>
    </w:p>
    <w:p w14:paraId="663D6470" w14:textId="529CD6F5" w:rsidR="00E04EDB" w:rsidRPr="00E04EDB" w:rsidRDefault="00D30168" w:rsidP="00E04EDB">
      <w:pPr>
        <w:pStyle w:val="Caption"/>
      </w:pPr>
      <w:bookmarkStart w:id="105" w:name="_Ref99010752"/>
      <w:bookmarkStart w:id="106" w:name="_Hlk99368637"/>
      <w:bookmarkStart w:id="107" w:name="_Toc104909291"/>
      <w:r w:rsidRPr="00DA6358">
        <w:t xml:space="preserve">Figure </w:t>
      </w:r>
      <w:r w:rsidR="00EB48E9">
        <w:fldChar w:fldCharType="begin"/>
      </w:r>
      <w:r w:rsidR="00EB48E9">
        <w:instrText xml:space="preserve"> STYLEREF 1 \s </w:instrText>
      </w:r>
      <w:r w:rsidR="00EB48E9">
        <w:fldChar w:fldCharType="separate"/>
      </w:r>
      <w:r w:rsidR="00C053A5">
        <w:rPr>
          <w:noProof/>
        </w:rPr>
        <w:t>11</w:t>
      </w:r>
      <w:r w:rsidR="00EB48E9">
        <w:rPr>
          <w:noProof/>
        </w:rPr>
        <w:fldChar w:fldCharType="end"/>
      </w:r>
      <w:r w:rsidRPr="00DA6358">
        <w:t>.</w:t>
      </w:r>
      <w:r w:rsidR="00EB48E9">
        <w:fldChar w:fldCharType="begin"/>
      </w:r>
      <w:r w:rsidR="00EB48E9">
        <w:instrText xml:space="preserve"> SEQ Figure \* ARABIC \s 1 </w:instrText>
      </w:r>
      <w:r w:rsidR="00EB48E9">
        <w:fldChar w:fldCharType="separate"/>
      </w:r>
      <w:r w:rsidR="00C053A5">
        <w:rPr>
          <w:noProof/>
        </w:rPr>
        <w:t>3</w:t>
      </w:r>
      <w:r w:rsidR="00EB48E9">
        <w:rPr>
          <w:noProof/>
        </w:rPr>
        <w:fldChar w:fldCharType="end"/>
      </w:r>
      <w:bookmarkEnd w:id="105"/>
      <w:r w:rsidRPr="00DA6358">
        <w:tab/>
        <w:t xml:space="preserve">Brolga breeding </w:t>
      </w:r>
      <w:r>
        <w:t>record</w:t>
      </w:r>
      <w:bookmarkEnd w:id="106"/>
      <w:r>
        <w:t>s</w:t>
      </w:r>
      <w:bookmarkEnd w:id="107"/>
    </w:p>
    <w:p w14:paraId="378A2E12" w14:textId="77777777" w:rsidR="00E04EDB" w:rsidRDefault="00E04EDB" w:rsidP="00D30168">
      <w:pPr>
        <w:sectPr w:rsidR="00E04EDB" w:rsidSect="009D2459">
          <w:pgSz w:w="16839" w:h="11907" w:orient="landscape" w:code="9"/>
          <w:pgMar w:top="1276" w:right="1418" w:bottom="1134" w:left="1418" w:header="709" w:footer="284" w:gutter="0"/>
          <w:pgNumType w:chapStyle="1"/>
          <w:cols w:space="708"/>
          <w:docGrid w:linePitch="360"/>
        </w:sectPr>
      </w:pPr>
    </w:p>
    <w:p w14:paraId="59B9D5AA" w14:textId="527E0F6A" w:rsidR="009D2459" w:rsidRPr="00C9325D" w:rsidRDefault="002317A9" w:rsidP="009D2459">
      <w:pPr>
        <w:pStyle w:val="BodyText"/>
      </w:pPr>
      <w:bookmarkStart w:id="108" w:name="_Hlk80278376"/>
      <w:bookmarkStart w:id="109" w:name="_Hlk79412614"/>
      <w:bookmarkStart w:id="110" w:name="_Hlk99368560"/>
      <w:r>
        <w:lastRenderedPageBreak/>
        <w:t>Roaming f</w:t>
      </w:r>
      <w:r w:rsidR="009D2459" w:rsidRPr="00C9325D">
        <w:t xml:space="preserve">ield surveys </w:t>
      </w:r>
      <w:r>
        <w:t xml:space="preserve">were </w:t>
      </w:r>
      <w:r w:rsidR="009D2459" w:rsidRPr="00C9325D">
        <w:t>conducted for the project between 2010 and 2021</w:t>
      </w:r>
      <w:r>
        <w:t xml:space="preserve">. These </w:t>
      </w:r>
      <w:r w:rsidR="009D2459" w:rsidRPr="00C9325D">
        <w:t xml:space="preserve">observed five pairs of Brolga breeding within 10 kilometres of the project site. </w:t>
      </w:r>
      <w:bookmarkEnd w:id="108"/>
      <w:r w:rsidR="009D2459" w:rsidRPr="00C9325D">
        <w:t>One pair of Brolga were repeatedly </w:t>
      </w:r>
      <w:r>
        <w:t xml:space="preserve">recorded </w:t>
      </w:r>
      <w:r w:rsidR="009D2459" w:rsidRPr="00C9325D">
        <w:t xml:space="preserve">nesting at one wetland within the Cockatoo Swamp complex (wetland 4; DELWP wetland 25721) </w:t>
      </w:r>
      <w:r w:rsidR="009949A0">
        <w:br/>
      </w:r>
      <w:r w:rsidR="009D2459" w:rsidRPr="00C9325D">
        <w:t>(</w:t>
      </w:r>
      <w:r w:rsidR="009D2459" w:rsidRPr="00C9325D">
        <w:fldChar w:fldCharType="begin"/>
      </w:r>
      <w:r w:rsidR="009D2459" w:rsidRPr="00C9325D">
        <w:instrText xml:space="preserve"> REF _Ref82783210 \h </w:instrText>
      </w:r>
      <w:r w:rsidR="009D2459" w:rsidRPr="00C9325D">
        <w:fldChar w:fldCharType="separate"/>
      </w:r>
      <w:r w:rsidR="00C053A5" w:rsidRPr="00305E4E">
        <w:t xml:space="preserve">Figure </w:t>
      </w:r>
      <w:r w:rsidR="00C053A5">
        <w:rPr>
          <w:noProof/>
        </w:rPr>
        <w:t>11</w:t>
      </w:r>
      <w:r w:rsidR="00C053A5" w:rsidRPr="00305E4E">
        <w:t>.</w:t>
      </w:r>
      <w:r w:rsidR="00C053A5">
        <w:rPr>
          <w:noProof/>
        </w:rPr>
        <w:t>5</w:t>
      </w:r>
      <w:r w:rsidR="009D2459" w:rsidRPr="00C9325D">
        <w:fldChar w:fldCharType="end"/>
      </w:r>
      <w:r w:rsidR="009D2459" w:rsidRPr="00C9325D">
        <w:t>). </w:t>
      </w:r>
      <w:bookmarkEnd w:id="109"/>
      <w:r w:rsidR="009D2459" w:rsidRPr="00C9325D">
        <w:t>B</w:t>
      </w:r>
      <w:r>
        <w:t xml:space="preserve">rolga nesting </w:t>
      </w:r>
      <w:r w:rsidR="009D2459" w:rsidRPr="00C9325D">
        <w:t xml:space="preserve">was also observed at Macarthur Wind Farm (wetland 25650), a felled plantation area (wetland 25867) and at St Helens (wetland 25894). Pairs of Brolga were also observed in the areas of Pallisters Reserve. </w:t>
      </w:r>
      <w:bookmarkEnd w:id="110"/>
      <w:r w:rsidR="009D2459" w:rsidRPr="00C9325D">
        <w:t xml:space="preserve">A summary of the survey results is provided in </w:t>
      </w:r>
      <w:r w:rsidR="009D2459" w:rsidRPr="00C9325D">
        <w:fldChar w:fldCharType="begin"/>
      </w:r>
      <w:r w:rsidR="009D2459" w:rsidRPr="00C9325D">
        <w:instrText xml:space="preserve"> REF _Ref80785786 \h  \* MERGEFORMAT </w:instrText>
      </w:r>
      <w:r w:rsidR="009D2459" w:rsidRPr="00C9325D">
        <w:fldChar w:fldCharType="separate"/>
      </w:r>
      <w:r w:rsidR="00C053A5" w:rsidRPr="00305E4E">
        <w:t>Table</w:t>
      </w:r>
      <w:r w:rsidR="00C053A5">
        <w:t> 11</w:t>
      </w:r>
      <w:r w:rsidR="00C053A5" w:rsidRPr="00305E4E">
        <w:t>.</w:t>
      </w:r>
      <w:r w:rsidR="00C053A5">
        <w:t>5</w:t>
      </w:r>
      <w:r w:rsidR="009D2459" w:rsidRPr="00C9325D">
        <w:fldChar w:fldCharType="end"/>
      </w:r>
      <w:r w:rsidR="009D2459" w:rsidRPr="00C9325D">
        <w:t>.</w:t>
      </w:r>
    </w:p>
    <w:p w14:paraId="4946C707" w14:textId="5B6E15D8" w:rsidR="009D2459" w:rsidRPr="00305E4E" w:rsidRDefault="009D2459" w:rsidP="00305E4E">
      <w:pPr>
        <w:pStyle w:val="Caption"/>
      </w:pPr>
      <w:bookmarkStart w:id="111" w:name="_Ref80785786"/>
      <w:bookmarkStart w:id="112" w:name="_Toc83308047"/>
      <w:bookmarkStart w:id="113" w:name="_Toc104909286"/>
      <w:r w:rsidRPr="00305E4E">
        <w:t>Table</w:t>
      </w:r>
      <w:r w:rsidR="00305E4E">
        <w:t> </w:t>
      </w:r>
      <w:r w:rsidR="00EB48E9">
        <w:fldChar w:fldCharType="begin"/>
      </w:r>
      <w:r w:rsidR="00EB48E9">
        <w:instrText xml:space="preserve"> STYLEREF 1 \s </w:instrText>
      </w:r>
      <w:r w:rsidR="00EB48E9">
        <w:fldChar w:fldCharType="separate"/>
      </w:r>
      <w:r w:rsidR="00C053A5">
        <w:rPr>
          <w:noProof/>
        </w:rPr>
        <w:t>11</w:t>
      </w:r>
      <w:r w:rsidR="00EB48E9">
        <w:rPr>
          <w:noProof/>
        </w:rPr>
        <w:fldChar w:fldCharType="end"/>
      </w:r>
      <w:r w:rsidR="001069F5" w:rsidRPr="00305E4E">
        <w:t>.</w:t>
      </w:r>
      <w:r w:rsidR="00EB48E9">
        <w:fldChar w:fldCharType="begin"/>
      </w:r>
      <w:r w:rsidR="00EB48E9">
        <w:instrText xml:space="preserve"> SEQ Table \* ARABIC \s 1 </w:instrText>
      </w:r>
      <w:r w:rsidR="00EB48E9">
        <w:fldChar w:fldCharType="separate"/>
      </w:r>
      <w:r w:rsidR="00C053A5">
        <w:rPr>
          <w:noProof/>
        </w:rPr>
        <w:t>5</w:t>
      </w:r>
      <w:r w:rsidR="00EB48E9">
        <w:rPr>
          <w:noProof/>
        </w:rPr>
        <w:fldChar w:fldCharType="end"/>
      </w:r>
      <w:bookmarkEnd w:id="111"/>
      <w:r w:rsidRPr="00305E4E">
        <w:tab/>
        <w:t>Summary of Brolga roaming surveys</w:t>
      </w:r>
      <w:bookmarkEnd w:id="112"/>
      <w:bookmarkEnd w:id="113"/>
    </w:p>
    <w:tbl>
      <w:tblPr>
        <w:tblStyle w:val="Table1"/>
        <w:tblW w:w="5000" w:type="pct"/>
        <w:tblLook w:val="04A0" w:firstRow="1" w:lastRow="0" w:firstColumn="1" w:lastColumn="0" w:noHBand="0" w:noVBand="1"/>
      </w:tblPr>
      <w:tblGrid>
        <w:gridCol w:w="851"/>
        <w:gridCol w:w="4136"/>
        <w:gridCol w:w="4084"/>
      </w:tblGrid>
      <w:tr w:rsidR="00305E4E" w:rsidRPr="00C9325D" w14:paraId="7BE64361" w14:textId="77777777" w:rsidTr="005E4C4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69" w:type="pct"/>
          </w:tcPr>
          <w:p w14:paraId="3B4E4371" w14:textId="77777777" w:rsidR="009D2459" w:rsidRPr="00C9325D" w:rsidRDefault="009D2459" w:rsidP="005E4C49">
            <w:pPr>
              <w:pStyle w:val="TableHeading"/>
            </w:pPr>
            <w:r w:rsidRPr="00C9325D">
              <w:t>Year</w:t>
            </w:r>
          </w:p>
        </w:tc>
        <w:tc>
          <w:tcPr>
            <w:tcW w:w="2280" w:type="pct"/>
          </w:tcPr>
          <w:p w14:paraId="447E0F1B" w14:textId="77777777" w:rsidR="009D2459" w:rsidRPr="00C9325D" w:rsidRDefault="009D2459" w:rsidP="005E4C49">
            <w:pPr>
              <w:pStyle w:val="TableHeading"/>
              <w:cnfStyle w:val="100000000000" w:firstRow="1" w:lastRow="0" w:firstColumn="0" w:lastColumn="0" w:oddVBand="0" w:evenVBand="0" w:oddHBand="0" w:evenHBand="0" w:firstRowFirstColumn="0" w:firstRowLastColumn="0" w:lastRowFirstColumn="0" w:lastRowLastColumn="0"/>
            </w:pPr>
            <w:r w:rsidRPr="00C9325D">
              <w:t>Field survey Brolga observations</w:t>
            </w:r>
          </w:p>
        </w:tc>
        <w:tc>
          <w:tcPr>
            <w:tcW w:w="2251" w:type="pct"/>
          </w:tcPr>
          <w:p w14:paraId="33165C78" w14:textId="77777777" w:rsidR="009D2459" w:rsidRPr="00C9325D" w:rsidRDefault="009D2459" w:rsidP="005E4C49">
            <w:pPr>
              <w:pStyle w:val="TableHeading"/>
              <w:cnfStyle w:val="100000000000" w:firstRow="1" w:lastRow="0" w:firstColumn="0" w:lastColumn="0" w:oddVBand="0" w:evenVBand="0" w:oddHBand="0" w:evenHBand="0" w:firstRowFirstColumn="0" w:firstRowLastColumn="0" w:lastRowFirstColumn="0" w:lastRowLastColumn="0"/>
            </w:pPr>
            <w:r w:rsidRPr="00C9325D">
              <w:t xml:space="preserve">Community observations </w:t>
            </w:r>
          </w:p>
        </w:tc>
      </w:tr>
      <w:tr w:rsidR="009D2459" w:rsidRPr="00C9325D" w14:paraId="2C68D856" w14:textId="77777777" w:rsidTr="005E4C49">
        <w:tc>
          <w:tcPr>
            <w:cnfStyle w:val="001000000000" w:firstRow="0" w:lastRow="0" w:firstColumn="1" w:lastColumn="0" w:oddVBand="0" w:evenVBand="0" w:oddHBand="0" w:evenHBand="0" w:firstRowFirstColumn="0" w:firstRowLastColumn="0" w:lastRowFirstColumn="0" w:lastRowLastColumn="0"/>
            <w:tcW w:w="469" w:type="pct"/>
          </w:tcPr>
          <w:p w14:paraId="4BB3CDA2" w14:textId="75E43642" w:rsidR="009D2459" w:rsidRPr="00C9325D" w:rsidRDefault="009D2459" w:rsidP="009949A0">
            <w:pPr>
              <w:pStyle w:val="TableText"/>
              <w:spacing w:before="40" w:after="40"/>
            </w:pPr>
            <w:r w:rsidRPr="00C9325D">
              <w:t>2009</w:t>
            </w:r>
            <w:r w:rsidR="00305E4E">
              <w:t>–</w:t>
            </w:r>
            <w:r w:rsidRPr="00C9325D">
              <w:t>2017</w:t>
            </w:r>
          </w:p>
        </w:tc>
        <w:tc>
          <w:tcPr>
            <w:tcW w:w="2280" w:type="pct"/>
          </w:tcPr>
          <w:p w14:paraId="1D08600B" w14:textId="5CA36582" w:rsidR="009D2459" w:rsidRPr="00C9325D" w:rsidRDefault="009D2459" w:rsidP="009949A0">
            <w:pPr>
              <w:pStyle w:val="TableText"/>
              <w:spacing w:before="40" w:after="40"/>
              <w:cnfStyle w:val="000000000000" w:firstRow="0" w:lastRow="0" w:firstColumn="0" w:lastColumn="0" w:oddVBand="0" w:evenVBand="0" w:oddHBand="0" w:evenHBand="0" w:firstRowFirstColumn="0" w:firstRowLastColumn="0" w:lastRowFirstColumn="0" w:lastRowLastColumn="0"/>
              <w:rPr>
                <w:highlight w:val="cyan"/>
              </w:rPr>
            </w:pPr>
            <w:r w:rsidRPr="00C9325D">
              <w:t>One Brolga pair was observed nesting at wetland (wetland 4) (DELWP wetland</w:t>
            </w:r>
            <w:r w:rsidR="00B86FBD">
              <w:t xml:space="preserve"> </w:t>
            </w:r>
            <w:r w:rsidRPr="00C9325D">
              <w:t xml:space="preserve">25721) in the Cockatoo Swamp complex in 2010. </w:t>
            </w:r>
          </w:p>
        </w:tc>
        <w:tc>
          <w:tcPr>
            <w:tcW w:w="2251" w:type="pct"/>
          </w:tcPr>
          <w:p w14:paraId="655942E9" w14:textId="77777777" w:rsidR="009D2459" w:rsidRPr="00C9325D" w:rsidRDefault="009D2459" w:rsidP="009949A0">
            <w:pPr>
              <w:pStyle w:val="TableText"/>
              <w:spacing w:before="40" w:after="40"/>
              <w:cnfStyle w:val="000000000000" w:firstRow="0" w:lastRow="0" w:firstColumn="0" w:lastColumn="0" w:oddVBand="0" w:evenVBand="0" w:oddHBand="0" w:evenHBand="0" w:firstRowFirstColumn="0" w:firstRowLastColumn="0" w:lastRowFirstColumn="0" w:lastRowLastColumn="0"/>
              <w:rPr>
                <w:highlight w:val="cyan"/>
              </w:rPr>
            </w:pPr>
            <w:r w:rsidRPr="00C9325D">
              <w:t>Information provided on the location of regular Brolga sightings including observed Brolga with chicks and potential nesting wetlands along Muddy Dam Road, Broadwater.</w:t>
            </w:r>
          </w:p>
        </w:tc>
      </w:tr>
      <w:tr w:rsidR="009D2459" w:rsidRPr="00C9325D" w14:paraId="423557A5" w14:textId="77777777" w:rsidTr="005E4C49">
        <w:tc>
          <w:tcPr>
            <w:cnfStyle w:val="001000000000" w:firstRow="0" w:lastRow="0" w:firstColumn="1" w:lastColumn="0" w:oddVBand="0" w:evenVBand="0" w:oddHBand="0" w:evenHBand="0" w:firstRowFirstColumn="0" w:firstRowLastColumn="0" w:lastRowFirstColumn="0" w:lastRowLastColumn="0"/>
            <w:tcW w:w="469" w:type="pct"/>
          </w:tcPr>
          <w:p w14:paraId="4D40201A" w14:textId="77777777" w:rsidR="009D2459" w:rsidRPr="00C9325D" w:rsidRDefault="009D2459" w:rsidP="009949A0">
            <w:pPr>
              <w:pStyle w:val="TableText"/>
              <w:spacing w:before="40" w:after="40"/>
            </w:pPr>
            <w:r w:rsidRPr="00C9325D">
              <w:t>2018</w:t>
            </w:r>
          </w:p>
        </w:tc>
        <w:tc>
          <w:tcPr>
            <w:tcW w:w="2280" w:type="pct"/>
          </w:tcPr>
          <w:p w14:paraId="301C5C83" w14:textId="3AFDC002" w:rsidR="009D2459" w:rsidRPr="00C9325D" w:rsidRDefault="009D2459" w:rsidP="009949A0">
            <w:pPr>
              <w:pStyle w:val="TableText"/>
              <w:spacing w:before="40" w:after="40"/>
              <w:cnfStyle w:val="000000000000" w:firstRow="0" w:lastRow="0" w:firstColumn="0" w:lastColumn="0" w:oddVBand="0" w:evenVBand="0" w:oddHBand="0" w:evenHBand="0" w:firstRowFirstColumn="0" w:firstRowLastColumn="0" w:lastRowFirstColumn="0" w:lastRowLastColumn="0"/>
            </w:pPr>
            <w:r w:rsidRPr="00C9325D">
              <w:t>One Brolga pair was observed nesting at wetland 4</w:t>
            </w:r>
            <w:r w:rsidR="002B6B86">
              <w:t xml:space="preserve"> </w:t>
            </w:r>
            <w:r w:rsidRPr="00C9325D">
              <w:t>(DELWP wetland</w:t>
            </w:r>
            <w:r w:rsidR="003530B5">
              <w:t xml:space="preserve"> </w:t>
            </w:r>
            <w:r w:rsidRPr="00C9325D">
              <w:t xml:space="preserve">25721) in the Cockatoo Swamp complex. Nesting was abandoned due to the flooding of the nest. </w:t>
            </w:r>
          </w:p>
          <w:p w14:paraId="4B15E9FA" w14:textId="77777777" w:rsidR="009D2459" w:rsidRPr="00C9325D" w:rsidRDefault="009D2459" w:rsidP="009949A0">
            <w:pPr>
              <w:pStyle w:val="TableText"/>
              <w:spacing w:before="40" w:after="40"/>
              <w:cnfStyle w:val="000000000000" w:firstRow="0" w:lastRow="0" w:firstColumn="0" w:lastColumn="0" w:oddVBand="0" w:evenVBand="0" w:oddHBand="0" w:evenHBand="0" w:firstRowFirstColumn="0" w:firstRowLastColumn="0" w:lastRowFirstColumn="0" w:lastRowLastColumn="0"/>
            </w:pPr>
            <w:r w:rsidRPr="00C9325D">
              <w:t>One pair nested at Macarthur wind farm wetland 25650 and successfully raised a chick.</w:t>
            </w:r>
          </w:p>
          <w:p w14:paraId="22BDF43D" w14:textId="77777777" w:rsidR="009D2459" w:rsidRPr="00C9325D" w:rsidRDefault="009D2459" w:rsidP="009949A0">
            <w:pPr>
              <w:pStyle w:val="TableText"/>
              <w:spacing w:before="40" w:after="40"/>
              <w:cnfStyle w:val="000000000000" w:firstRow="0" w:lastRow="0" w:firstColumn="0" w:lastColumn="0" w:oddVBand="0" w:evenVBand="0" w:oddHBand="0" w:evenHBand="0" w:firstRowFirstColumn="0" w:firstRowLastColumn="0" w:lastRowFirstColumn="0" w:lastRowLastColumn="0"/>
            </w:pPr>
            <w:r w:rsidRPr="00C9325D">
              <w:t>One pair nested at a felled Blue Gum plantation in wetland 25867 during 2018 where they successfully raised a chick.</w:t>
            </w:r>
          </w:p>
        </w:tc>
        <w:tc>
          <w:tcPr>
            <w:tcW w:w="2251" w:type="pct"/>
          </w:tcPr>
          <w:p w14:paraId="6C4F8885" w14:textId="49552B27" w:rsidR="009D2459" w:rsidRPr="00C9325D" w:rsidRDefault="009D2459" w:rsidP="009949A0">
            <w:pPr>
              <w:pStyle w:val="TableText"/>
              <w:spacing w:before="40" w:after="40"/>
              <w:cnfStyle w:val="000000000000" w:firstRow="0" w:lastRow="0" w:firstColumn="0" w:lastColumn="0" w:oddVBand="0" w:evenVBand="0" w:oddHBand="0" w:evenHBand="0" w:firstRowFirstColumn="0" w:firstRowLastColumn="0" w:lastRowFirstColumn="0" w:lastRowLastColumn="0"/>
            </w:pPr>
            <w:r w:rsidRPr="00C9325D">
              <w:t xml:space="preserve">Local landowners advised of historical Brolga breeding locations at wetland 25741 east of </w:t>
            </w:r>
            <w:proofErr w:type="spellStart"/>
            <w:r w:rsidRPr="00C9325D">
              <w:t>Nagorckas</w:t>
            </w:r>
            <w:proofErr w:type="spellEnd"/>
            <w:r w:rsidRPr="00C9325D">
              <w:t xml:space="preserve"> Road and wetland 2 approximately 6</w:t>
            </w:r>
            <w:r w:rsidR="00305E4E">
              <w:t> </w:t>
            </w:r>
            <w:r w:rsidRPr="00C9325D">
              <w:t>kilometres west of the project site just north of the Woolsthorpe-Heywood Road.</w:t>
            </w:r>
          </w:p>
        </w:tc>
      </w:tr>
      <w:tr w:rsidR="009D2459" w:rsidRPr="00C9325D" w14:paraId="456436E2" w14:textId="77777777" w:rsidTr="005E4C49">
        <w:tc>
          <w:tcPr>
            <w:cnfStyle w:val="001000000000" w:firstRow="0" w:lastRow="0" w:firstColumn="1" w:lastColumn="0" w:oddVBand="0" w:evenVBand="0" w:oddHBand="0" w:evenHBand="0" w:firstRowFirstColumn="0" w:firstRowLastColumn="0" w:lastRowFirstColumn="0" w:lastRowLastColumn="0"/>
            <w:tcW w:w="469" w:type="pct"/>
          </w:tcPr>
          <w:p w14:paraId="13701C34" w14:textId="77777777" w:rsidR="009D2459" w:rsidRPr="00C9325D" w:rsidRDefault="009D2459" w:rsidP="009949A0">
            <w:pPr>
              <w:pStyle w:val="TableText"/>
              <w:spacing w:before="40" w:after="40"/>
            </w:pPr>
            <w:r w:rsidRPr="00C9325D">
              <w:t>2019</w:t>
            </w:r>
          </w:p>
        </w:tc>
        <w:tc>
          <w:tcPr>
            <w:tcW w:w="2280" w:type="pct"/>
          </w:tcPr>
          <w:p w14:paraId="4EF6A066" w14:textId="12725AFC" w:rsidR="009D2459" w:rsidRPr="00C9325D" w:rsidRDefault="009D2459" w:rsidP="009949A0">
            <w:pPr>
              <w:pStyle w:val="TableText"/>
              <w:spacing w:before="40" w:after="40"/>
              <w:cnfStyle w:val="000000000000" w:firstRow="0" w:lastRow="0" w:firstColumn="0" w:lastColumn="0" w:oddVBand="0" w:evenVBand="0" w:oddHBand="0" w:evenHBand="0" w:firstRowFirstColumn="0" w:firstRowLastColumn="0" w:lastRowFirstColumn="0" w:lastRowLastColumn="0"/>
            </w:pPr>
            <w:r w:rsidRPr="00C9325D">
              <w:t>One Brolga pair was observed nesting at wetland 4</w:t>
            </w:r>
            <w:r w:rsidR="002B6B86">
              <w:t xml:space="preserve"> </w:t>
            </w:r>
            <w:r w:rsidRPr="00C9325D">
              <w:t>(DELWP wetland</w:t>
            </w:r>
            <w:r w:rsidR="00305E4E">
              <w:t xml:space="preserve"> </w:t>
            </w:r>
            <w:r w:rsidRPr="00C9325D">
              <w:t>25721</w:t>
            </w:r>
            <w:r w:rsidR="002855B8">
              <w:t xml:space="preserve">; </w:t>
            </w:r>
            <w:r w:rsidR="002855B8">
              <w:fldChar w:fldCharType="begin"/>
            </w:r>
            <w:r w:rsidR="002855B8">
              <w:instrText xml:space="preserve"> REF _Ref82783181 \h </w:instrText>
            </w:r>
            <w:r w:rsidR="002855B8">
              <w:fldChar w:fldCharType="separate"/>
            </w:r>
            <w:r w:rsidR="00C053A5" w:rsidRPr="00305E4E">
              <w:t xml:space="preserve">Figure </w:t>
            </w:r>
            <w:r w:rsidR="00C053A5">
              <w:rPr>
                <w:noProof/>
              </w:rPr>
              <w:t>11</w:t>
            </w:r>
            <w:r w:rsidR="00C053A5" w:rsidRPr="00305E4E">
              <w:t>.</w:t>
            </w:r>
            <w:r w:rsidR="00C053A5">
              <w:rPr>
                <w:noProof/>
              </w:rPr>
              <w:t>4</w:t>
            </w:r>
            <w:r w:rsidR="002855B8">
              <w:fldChar w:fldCharType="end"/>
            </w:r>
            <w:r w:rsidRPr="00C9325D">
              <w:t>). Two chicks hatched and assumed to have fledged.</w:t>
            </w:r>
          </w:p>
          <w:p w14:paraId="66745B05" w14:textId="77777777" w:rsidR="009D2459" w:rsidRPr="00C9325D" w:rsidRDefault="009D2459" w:rsidP="009949A0">
            <w:pPr>
              <w:pStyle w:val="TableText"/>
              <w:spacing w:before="40" w:after="40"/>
              <w:cnfStyle w:val="000000000000" w:firstRow="0" w:lastRow="0" w:firstColumn="0" w:lastColumn="0" w:oddVBand="0" w:evenVBand="0" w:oddHBand="0" w:evenHBand="0" w:firstRowFirstColumn="0" w:firstRowLastColumn="0" w:lastRowFirstColumn="0" w:lastRowLastColumn="0"/>
            </w:pPr>
            <w:r w:rsidRPr="00C9325D">
              <w:t>One pair observed at Macarthur wind farm wetland 25650 later in the breeding season and assumed to have nested nearby.</w:t>
            </w:r>
          </w:p>
          <w:p w14:paraId="18D4B339" w14:textId="77777777" w:rsidR="009D2459" w:rsidRPr="00C9325D" w:rsidRDefault="009D2459" w:rsidP="009949A0">
            <w:pPr>
              <w:pStyle w:val="TableText"/>
              <w:spacing w:before="40" w:after="40"/>
              <w:cnfStyle w:val="000000000000" w:firstRow="0" w:lastRow="0" w:firstColumn="0" w:lastColumn="0" w:oddVBand="0" w:evenVBand="0" w:oddHBand="0" w:evenHBand="0" w:firstRowFirstColumn="0" w:firstRowLastColumn="0" w:lastRowFirstColumn="0" w:lastRowLastColumn="0"/>
            </w:pPr>
            <w:r w:rsidRPr="00C9325D">
              <w:t>One pair of Brolga seen foraging at wetland 25841 near Mt Misery Road in August and November.</w:t>
            </w:r>
          </w:p>
        </w:tc>
        <w:tc>
          <w:tcPr>
            <w:tcW w:w="2251" w:type="pct"/>
          </w:tcPr>
          <w:p w14:paraId="32EC5478" w14:textId="77777777" w:rsidR="009D2459" w:rsidRPr="00C9325D" w:rsidRDefault="009D2459" w:rsidP="009949A0">
            <w:pPr>
              <w:pStyle w:val="TableText"/>
              <w:spacing w:before="40" w:after="40"/>
              <w:cnfStyle w:val="000000000000" w:firstRow="0" w:lastRow="0" w:firstColumn="0" w:lastColumn="0" w:oddVBand="0" w:evenVBand="0" w:oddHBand="0" w:evenHBand="0" w:firstRowFirstColumn="0" w:firstRowLastColumn="0" w:lastRowFirstColumn="0" w:lastRowLastColumn="0"/>
            </w:pPr>
            <w:r w:rsidRPr="00C9325D">
              <w:t>A pair of Brolga were regularly seen in the St. Helens area. Residents reported seeing a chick.</w:t>
            </w:r>
          </w:p>
          <w:p w14:paraId="2F71535D" w14:textId="687C9D1A" w:rsidR="009D2459" w:rsidRDefault="009D2459" w:rsidP="009949A0">
            <w:pPr>
              <w:pStyle w:val="TableText"/>
              <w:spacing w:before="40" w:after="40"/>
              <w:cnfStyle w:val="000000000000" w:firstRow="0" w:lastRow="0" w:firstColumn="0" w:lastColumn="0" w:oddVBand="0" w:evenVBand="0" w:oddHBand="0" w:evenHBand="0" w:firstRowFirstColumn="0" w:firstRowLastColumn="0" w:lastRowFirstColumn="0" w:lastRowLastColumn="0"/>
            </w:pPr>
            <w:r w:rsidRPr="00C9325D">
              <w:t xml:space="preserve">A pair of Brolga were seen foraging at wetlands </w:t>
            </w:r>
            <w:r w:rsidR="002B6B86">
              <w:t>(</w:t>
            </w:r>
            <w:r w:rsidR="002B6B86" w:rsidRPr="002B6B86">
              <w:t>25784 and 25788</w:t>
            </w:r>
            <w:r w:rsidR="002B6B86">
              <w:t xml:space="preserve">) </w:t>
            </w:r>
            <w:r w:rsidRPr="00C9325D">
              <w:t>on Muddy Dam Road, Broadwater on two occasions.</w:t>
            </w:r>
            <w:r w:rsidR="002B6B86">
              <w:t xml:space="preserve"> </w:t>
            </w:r>
          </w:p>
          <w:p w14:paraId="0FA3D22E" w14:textId="5EA1BAB5" w:rsidR="002B6B86" w:rsidRDefault="002B6B86" w:rsidP="009949A0">
            <w:pPr>
              <w:pStyle w:val="TableText"/>
              <w:spacing w:before="40" w:after="40"/>
              <w:cnfStyle w:val="000000000000" w:firstRow="0" w:lastRow="0" w:firstColumn="0" w:lastColumn="0" w:oddVBand="0" w:evenVBand="0" w:oddHBand="0" w:evenHBand="0" w:firstRowFirstColumn="0" w:firstRowLastColumn="0" w:lastRowFirstColumn="0" w:lastRowLastColumn="0"/>
            </w:pPr>
            <w:r w:rsidRPr="002B6B86">
              <w:t xml:space="preserve">A single Brolga was reported by a local landholder at </w:t>
            </w:r>
            <w:r>
              <w:t>w</w:t>
            </w:r>
            <w:r w:rsidRPr="002B6B86">
              <w:t>etland 25906 in July. No Brolga were observed here for the rest of the year.</w:t>
            </w:r>
          </w:p>
          <w:p w14:paraId="18572AE8" w14:textId="7D9757A3" w:rsidR="002B6B86" w:rsidRPr="00C9325D" w:rsidRDefault="002B6B86" w:rsidP="009949A0">
            <w:pPr>
              <w:pStyle w:val="TableText"/>
              <w:spacing w:before="40" w:after="40"/>
              <w:cnfStyle w:val="000000000000" w:firstRow="0" w:lastRow="0" w:firstColumn="0" w:lastColumn="0" w:oddVBand="0" w:evenVBand="0" w:oddHBand="0" w:evenHBand="0" w:firstRowFirstColumn="0" w:firstRowLastColumn="0" w:lastRowFirstColumn="0" w:lastRowLastColumn="0"/>
            </w:pPr>
            <w:r w:rsidRPr="002B6B86">
              <w:t>A pair of Brolga were observed by a local landholder foraging in the floodplain of the Moyne River early in the breeding season. No</w:t>
            </w:r>
            <w:r w:rsidR="009949A0">
              <w:t> </w:t>
            </w:r>
            <w:r w:rsidRPr="002B6B86">
              <w:t>breeding activity was reported.</w:t>
            </w:r>
          </w:p>
          <w:p w14:paraId="2997F379" w14:textId="77777777" w:rsidR="009D2459" w:rsidRPr="00C9325D" w:rsidRDefault="009D2459" w:rsidP="009949A0">
            <w:pPr>
              <w:pStyle w:val="TableText"/>
              <w:spacing w:before="40" w:after="40"/>
              <w:cnfStyle w:val="000000000000" w:firstRow="0" w:lastRow="0" w:firstColumn="0" w:lastColumn="0" w:oddVBand="0" w:evenVBand="0" w:oddHBand="0" w:evenHBand="0" w:firstRowFirstColumn="0" w:firstRowLastColumn="0" w:lastRowFirstColumn="0" w:lastRowLastColumn="0"/>
            </w:pPr>
            <w:r w:rsidRPr="00C9325D">
              <w:t>Five Statutory Declaration were submitted in 2019. Four stated observing Brolga breeding, at wetlands 25729, 25741, 25932 and Wild Dog Swamp 25816. The fifth Statutory Declaration stated historically observing Brolga on a property previously owned within the project site.</w:t>
            </w:r>
          </w:p>
        </w:tc>
      </w:tr>
      <w:tr w:rsidR="009D2459" w:rsidRPr="00C9325D" w14:paraId="1288E6A1" w14:textId="77777777" w:rsidTr="005E4C49">
        <w:tc>
          <w:tcPr>
            <w:cnfStyle w:val="001000000000" w:firstRow="0" w:lastRow="0" w:firstColumn="1" w:lastColumn="0" w:oddVBand="0" w:evenVBand="0" w:oddHBand="0" w:evenHBand="0" w:firstRowFirstColumn="0" w:firstRowLastColumn="0" w:lastRowFirstColumn="0" w:lastRowLastColumn="0"/>
            <w:tcW w:w="469" w:type="pct"/>
          </w:tcPr>
          <w:p w14:paraId="309A5258" w14:textId="77777777" w:rsidR="009D2459" w:rsidRPr="00C9325D" w:rsidRDefault="009D2459" w:rsidP="009949A0">
            <w:pPr>
              <w:pStyle w:val="TableText"/>
              <w:spacing w:before="40" w:after="40"/>
            </w:pPr>
            <w:r w:rsidRPr="00C9325D">
              <w:t>2020</w:t>
            </w:r>
          </w:p>
        </w:tc>
        <w:tc>
          <w:tcPr>
            <w:tcW w:w="2280" w:type="pct"/>
          </w:tcPr>
          <w:p w14:paraId="17101959" w14:textId="49CEBACB" w:rsidR="009D2459" w:rsidRDefault="009D2459" w:rsidP="009949A0">
            <w:pPr>
              <w:pStyle w:val="TableText"/>
              <w:spacing w:before="40" w:after="40"/>
              <w:cnfStyle w:val="000000000000" w:firstRow="0" w:lastRow="0" w:firstColumn="0" w:lastColumn="0" w:oddVBand="0" w:evenVBand="0" w:oddHBand="0" w:evenHBand="0" w:firstRowFirstColumn="0" w:firstRowLastColumn="0" w:lastRowFirstColumn="0" w:lastRowLastColumn="0"/>
            </w:pPr>
            <w:r w:rsidRPr="00C9325D">
              <w:t>One Brolga pair was observed nesting at wetland 4 (DELWP wetland</w:t>
            </w:r>
            <w:r w:rsidR="002B6B86">
              <w:t xml:space="preserve"> </w:t>
            </w:r>
            <w:r w:rsidRPr="00C9325D">
              <w:t>25721)</w:t>
            </w:r>
            <w:r w:rsidR="002B6B86">
              <w:t>. They were observed foraging at W12w and W12e prior to nesting</w:t>
            </w:r>
            <w:r w:rsidRPr="00C9325D">
              <w:t>. Chicks hatched and assumed to have fledged.</w:t>
            </w:r>
            <w:r w:rsidR="00E04EDB">
              <w:t xml:space="preserve"> </w:t>
            </w:r>
            <w:r w:rsidRPr="00C9325D">
              <w:t xml:space="preserve">A pair was observed in the Pallisters Reserve area, although nesting was not confirmed. </w:t>
            </w:r>
          </w:p>
          <w:p w14:paraId="28ECC442" w14:textId="4EF6EDE3" w:rsidR="002B6B86" w:rsidRPr="00C9325D" w:rsidRDefault="002B6B86" w:rsidP="009949A0">
            <w:pPr>
              <w:pStyle w:val="TableText"/>
              <w:spacing w:before="40" w:after="40"/>
              <w:cnfStyle w:val="000000000000" w:firstRow="0" w:lastRow="0" w:firstColumn="0" w:lastColumn="0" w:oddVBand="0" w:evenVBand="0" w:oddHBand="0" w:evenHBand="0" w:firstRowFirstColumn="0" w:firstRowLastColumn="0" w:lastRowFirstColumn="0" w:lastRowLastColumn="0"/>
            </w:pPr>
            <w:r w:rsidRPr="002B6B86">
              <w:t xml:space="preserve">A pair of Brolga with young chick observed in December in the St Helens area near </w:t>
            </w:r>
            <w:r>
              <w:t>w</w:t>
            </w:r>
            <w:r w:rsidRPr="002B6B86">
              <w:t>etland 25913. Breeding site was not confirmed.</w:t>
            </w:r>
          </w:p>
          <w:p w14:paraId="5FA92793" w14:textId="77777777" w:rsidR="009D2459" w:rsidRPr="00C9325D" w:rsidRDefault="009D2459" w:rsidP="009949A0">
            <w:pPr>
              <w:pStyle w:val="TableText"/>
              <w:spacing w:before="40" w:after="40"/>
              <w:cnfStyle w:val="000000000000" w:firstRow="0" w:lastRow="0" w:firstColumn="0" w:lastColumn="0" w:oddVBand="0" w:evenVBand="0" w:oddHBand="0" w:evenHBand="0" w:firstRowFirstColumn="0" w:firstRowLastColumn="0" w:lastRowFirstColumn="0" w:lastRowLastColumn="0"/>
            </w:pPr>
            <w:r w:rsidRPr="00C9325D">
              <w:t>A pair of Brolga were observed foraging at Wild Dog Swamp (wetland 25816) at Willatook on one occasion in 2020.</w:t>
            </w:r>
          </w:p>
          <w:p w14:paraId="77600DBD" w14:textId="77777777" w:rsidR="009D2459" w:rsidRPr="00C9325D" w:rsidRDefault="009D2459" w:rsidP="009949A0">
            <w:pPr>
              <w:pStyle w:val="TableText"/>
              <w:spacing w:before="40" w:after="40"/>
              <w:cnfStyle w:val="000000000000" w:firstRow="0" w:lastRow="0" w:firstColumn="0" w:lastColumn="0" w:oddVBand="0" w:evenVBand="0" w:oddHBand="0" w:evenHBand="0" w:firstRowFirstColumn="0" w:firstRowLastColumn="0" w:lastRowFirstColumn="0" w:lastRowLastColumn="0"/>
            </w:pPr>
            <w:r w:rsidRPr="00C9325D">
              <w:t>A pair was observed foraging at wetland 25797 along Muddy Dam Road in June, but no breeding activity was observed.</w:t>
            </w:r>
          </w:p>
          <w:p w14:paraId="3AFBF59C" w14:textId="77777777" w:rsidR="009D2459" w:rsidRPr="00C9325D" w:rsidRDefault="009D2459" w:rsidP="009949A0">
            <w:pPr>
              <w:pStyle w:val="TableText"/>
              <w:spacing w:before="40" w:after="40"/>
              <w:cnfStyle w:val="000000000000" w:firstRow="0" w:lastRow="0" w:firstColumn="0" w:lastColumn="0" w:oddVBand="0" w:evenVBand="0" w:oddHBand="0" w:evenHBand="0" w:firstRowFirstColumn="0" w:firstRowLastColumn="0" w:lastRowFirstColumn="0" w:lastRowLastColumn="0"/>
            </w:pPr>
            <w:r w:rsidRPr="00C9325D">
              <w:t xml:space="preserve">A pair was observed foraging at wetland 25698 along the </w:t>
            </w:r>
            <w:proofErr w:type="spellStart"/>
            <w:r w:rsidRPr="00C9325D">
              <w:t>Tarrone</w:t>
            </w:r>
            <w:proofErr w:type="spellEnd"/>
            <w:r w:rsidRPr="00C9325D">
              <w:t xml:space="preserve"> North Road in July, but no breeding activity observed.</w:t>
            </w:r>
          </w:p>
          <w:p w14:paraId="6F0A3584" w14:textId="77777777" w:rsidR="009D2459" w:rsidRPr="00C9325D" w:rsidRDefault="009D2459" w:rsidP="009949A0">
            <w:pPr>
              <w:pStyle w:val="TableText"/>
              <w:spacing w:before="40" w:after="40"/>
              <w:cnfStyle w:val="000000000000" w:firstRow="0" w:lastRow="0" w:firstColumn="0" w:lastColumn="0" w:oddVBand="0" w:evenVBand="0" w:oddHBand="0" w:evenHBand="0" w:firstRowFirstColumn="0" w:firstRowLastColumn="0" w:lastRowFirstColumn="0" w:lastRowLastColumn="0"/>
            </w:pPr>
            <w:r w:rsidRPr="00C9325D">
              <w:t>A pair was observed foraging near wetland 25868 near Mt Misery Road in July, but no breeding activity observed.</w:t>
            </w:r>
          </w:p>
        </w:tc>
        <w:tc>
          <w:tcPr>
            <w:tcW w:w="2251" w:type="pct"/>
          </w:tcPr>
          <w:p w14:paraId="75B3EC9B" w14:textId="77777777" w:rsidR="009D2459" w:rsidRPr="00C9325D" w:rsidRDefault="009D2459" w:rsidP="009949A0">
            <w:pPr>
              <w:pStyle w:val="TableText"/>
              <w:spacing w:before="40" w:after="40"/>
              <w:cnfStyle w:val="000000000000" w:firstRow="0" w:lastRow="0" w:firstColumn="0" w:lastColumn="0" w:oddVBand="0" w:evenVBand="0" w:oddHBand="0" w:evenHBand="0" w:firstRowFirstColumn="0" w:firstRowLastColumn="0" w:lastRowFirstColumn="0" w:lastRowLastColumn="0"/>
            </w:pPr>
            <w:r w:rsidRPr="00C9325D">
              <w:t>Local landowners also reported a pair of Brolga foraging in the floodplain of the Moyne River south of Wild Dog Swamp prior to 2020.</w:t>
            </w:r>
          </w:p>
        </w:tc>
      </w:tr>
      <w:tr w:rsidR="009D2459" w:rsidRPr="00C9325D" w14:paraId="14C3AD34" w14:textId="77777777" w:rsidTr="005E4C49">
        <w:tc>
          <w:tcPr>
            <w:cnfStyle w:val="001000000000" w:firstRow="0" w:lastRow="0" w:firstColumn="1" w:lastColumn="0" w:oddVBand="0" w:evenVBand="0" w:oddHBand="0" w:evenHBand="0" w:firstRowFirstColumn="0" w:firstRowLastColumn="0" w:lastRowFirstColumn="0" w:lastRowLastColumn="0"/>
            <w:tcW w:w="469" w:type="pct"/>
          </w:tcPr>
          <w:p w14:paraId="29046CC1" w14:textId="77777777" w:rsidR="009D2459" w:rsidRPr="00C9325D" w:rsidRDefault="009D2459" w:rsidP="005E4C49">
            <w:pPr>
              <w:pStyle w:val="TableText"/>
            </w:pPr>
            <w:r w:rsidRPr="00C9325D">
              <w:lastRenderedPageBreak/>
              <w:t>2021</w:t>
            </w:r>
          </w:p>
        </w:tc>
        <w:tc>
          <w:tcPr>
            <w:tcW w:w="2280" w:type="pct"/>
          </w:tcPr>
          <w:p w14:paraId="29CCFFC8" w14:textId="07DF15F4" w:rsidR="009D2459" w:rsidRPr="00C9325D" w:rsidRDefault="009D2459" w:rsidP="005E4C49">
            <w:pPr>
              <w:pStyle w:val="TableText"/>
              <w:cnfStyle w:val="000000000000" w:firstRow="0" w:lastRow="0" w:firstColumn="0" w:lastColumn="0" w:oddVBand="0" w:evenVBand="0" w:oddHBand="0" w:evenHBand="0" w:firstRowFirstColumn="0" w:firstRowLastColumn="0" w:lastRowFirstColumn="0" w:lastRowLastColumn="0"/>
            </w:pPr>
            <w:r w:rsidRPr="00C9325D">
              <w:t>One Brolga pair was observed nesting at wetland 4 (DELWP wetland</w:t>
            </w:r>
            <w:r w:rsidR="003530B5">
              <w:t xml:space="preserve"> </w:t>
            </w:r>
            <w:r w:rsidRPr="00C9325D">
              <w:t xml:space="preserve">25721). </w:t>
            </w:r>
          </w:p>
          <w:p w14:paraId="387D6310" w14:textId="77777777" w:rsidR="009D2459" w:rsidRPr="00C9325D" w:rsidRDefault="009D2459" w:rsidP="005E4C49">
            <w:pPr>
              <w:pStyle w:val="TableText"/>
              <w:cnfStyle w:val="000000000000" w:firstRow="0" w:lastRow="0" w:firstColumn="0" w:lastColumn="0" w:oddVBand="0" w:evenVBand="0" w:oddHBand="0" w:evenHBand="0" w:firstRowFirstColumn="0" w:firstRowLastColumn="0" w:lastRowFirstColumn="0" w:lastRowLastColumn="0"/>
            </w:pPr>
            <w:r w:rsidRPr="00C9325D">
              <w:t>One pair observed at Macarthur wind farm wetland 25650 incubating eggs on a nest.</w:t>
            </w:r>
          </w:p>
          <w:p w14:paraId="3D4E3AA0" w14:textId="77777777" w:rsidR="009D2459" w:rsidRPr="00C9325D" w:rsidRDefault="009D2459" w:rsidP="005E4C49">
            <w:pPr>
              <w:pStyle w:val="TableText"/>
              <w:cnfStyle w:val="000000000000" w:firstRow="0" w:lastRow="0" w:firstColumn="0" w:lastColumn="0" w:oddVBand="0" w:evenVBand="0" w:oddHBand="0" w:evenHBand="0" w:firstRowFirstColumn="0" w:firstRowLastColumn="0" w:lastRowFirstColumn="0" w:lastRowLastColumn="0"/>
            </w:pPr>
            <w:r w:rsidRPr="00C9325D">
              <w:t xml:space="preserve">Brolga pair observed nesting in wetland 25894 at St Helens. </w:t>
            </w:r>
          </w:p>
        </w:tc>
        <w:tc>
          <w:tcPr>
            <w:tcW w:w="2251" w:type="pct"/>
          </w:tcPr>
          <w:p w14:paraId="7D2BCF7B" w14:textId="58080C3C" w:rsidR="009D2459" w:rsidRPr="00C9325D" w:rsidRDefault="009D2459" w:rsidP="005E4C49">
            <w:pPr>
              <w:pStyle w:val="TableText"/>
              <w:cnfStyle w:val="000000000000" w:firstRow="0" w:lastRow="0" w:firstColumn="0" w:lastColumn="0" w:oddVBand="0" w:evenVBand="0" w:oddHBand="0" w:evenHBand="0" w:firstRowFirstColumn="0" w:firstRowLastColumn="0" w:lastRowFirstColumn="0" w:lastRowLastColumn="0"/>
            </w:pPr>
            <w:r w:rsidRPr="00C9325D">
              <w:t xml:space="preserve">A landowner observed a pair of Brolga foraging on their property south of </w:t>
            </w:r>
            <w:proofErr w:type="spellStart"/>
            <w:r w:rsidRPr="00C9325D">
              <w:t>Riordans</w:t>
            </w:r>
            <w:proofErr w:type="spellEnd"/>
            <w:r w:rsidRPr="00C9325D">
              <w:t xml:space="preserve"> Road in June.</w:t>
            </w:r>
            <w:r w:rsidR="005820FC">
              <w:t xml:space="preserve"> </w:t>
            </w:r>
            <w:r w:rsidR="005820FC" w:rsidRPr="005820FC">
              <w:t xml:space="preserve">This pair </w:t>
            </w:r>
            <w:r w:rsidR="005820FC">
              <w:t xml:space="preserve">was </w:t>
            </w:r>
            <w:r w:rsidR="005820FC" w:rsidRPr="005820FC">
              <w:t>likely to be the same pair breeding at Wetland W4.</w:t>
            </w:r>
          </w:p>
        </w:tc>
      </w:tr>
    </w:tbl>
    <w:p w14:paraId="01408F04" w14:textId="08D91214" w:rsidR="009D2459" w:rsidRDefault="009D2459" w:rsidP="00DA6358">
      <w:pPr>
        <w:pStyle w:val="BodyText"/>
      </w:pPr>
      <w:r w:rsidRPr="00C9325D">
        <w:t xml:space="preserve">Wetlands with verified breeding records were assumed to indicate future breeding wetlands. The exception to this is where wetlands did not meet suitable habitat criteria and had been drained, as identified from the high-resolution digital terrain model, hydrological modelling and verified by field visits. Two wetlands </w:t>
      </w:r>
      <w:r w:rsidRPr="005820FC">
        <w:t>(wetland 1</w:t>
      </w:r>
      <w:r w:rsidRPr="00C9325D">
        <w:t xml:space="preserve"> and 25932) were excluded as Brolga breeding sites due to being </w:t>
      </w:r>
      <w:r w:rsidR="002B6B86">
        <w:t xml:space="preserve">permanently </w:t>
      </w:r>
      <w:r w:rsidRPr="00C9325D">
        <w:t>drained</w:t>
      </w:r>
      <w:r w:rsidR="000C5E8B">
        <w:t xml:space="preserve"> based on both field investigation and hydrological modelling</w:t>
      </w:r>
      <w:r w:rsidR="002B6B86">
        <w:t xml:space="preserve"> of these sites</w:t>
      </w:r>
      <w:r w:rsidRPr="00C9325D">
        <w:t>.</w:t>
      </w:r>
    </w:p>
    <w:p w14:paraId="5E58B5F5" w14:textId="77777777" w:rsidR="009D2459" w:rsidRPr="001069F5" w:rsidRDefault="009D2459" w:rsidP="001069F5">
      <w:pPr>
        <w:pStyle w:val="Heading3"/>
      </w:pPr>
      <w:bookmarkStart w:id="114" w:name="_Ref81915350"/>
      <w:bookmarkStart w:id="115" w:name="_Toc83307406"/>
      <w:bookmarkStart w:id="116" w:name="_Toc104909274"/>
      <w:r w:rsidRPr="001069F5">
        <w:t>Brolga habitat</w:t>
      </w:r>
      <w:bookmarkEnd w:id="114"/>
      <w:bookmarkEnd w:id="115"/>
      <w:bookmarkEnd w:id="116"/>
      <w:r w:rsidRPr="001069F5">
        <w:t xml:space="preserve"> </w:t>
      </w:r>
    </w:p>
    <w:p w14:paraId="0C495538" w14:textId="77777777" w:rsidR="009D2459" w:rsidRPr="004C5E50" w:rsidRDefault="009D2459" w:rsidP="009D2459">
      <w:pPr>
        <w:pStyle w:val="BodyText"/>
      </w:pPr>
      <w:bookmarkStart w:id="117" w:name="_Hlk80183119"/>
      <w:r w:rsidRPr="004C5E50">
        <w:t>Several features influence the suitability of wetland habitat for Brolga breeding. These include the:</w:t>
      </w:r>
    </w:p>
    <w:p w14:paraId="7456F751" w14:textId="77777777" w:rsidR="009D2459" w:rsidRPr="001069F5" w:rsidRDefault="009D2459" w:rsidP="001069F5">
      <w:pPr>
        <w:pStyle w:val="ListBullet"/>
        <w:contextualSpacing/>
      </w:pPr>
      <w:r w:rsidRPr="001069F5">
        <w:t>type and cover of vegetation and biological productivity</w:t>
      </w:r>
    </w:p>
    <w:p w14:paraId="475AE48C" w14:textId="6951E614" w:rsidR="009D2459" w:rsidRPr="001069F5" w:rsidRDefault="009D2459" w:rsidP="001069F5">
      <w:pPr>
        <w:pStyle w:val="ListBullet"/>
        <w:contextualSpacing/>
      </w:pPr>
      <w:r w:rsidRPr="001069F5">
        <w:t>hydrological features such as rainfall inflow and outflow features including deep seepage to groundwater, as well as inundation depth and duration (</w:t>
      </w:r>
      <w:r w:rsidR="00C06232">
        <w:t>i.e.</w:t>
      </w:r>
      <w:r w:rsidR="000C5E8B">
        <w:t>,</w:t>
      </w:r>
      <w:r w:rsidRPr="001069F5">
        <w:t xml:space="preserve"> how long the wetland retains water)</w:t>
      </w:r>
    </w:p>
    <w:p w14:paraId="04FEAE19" w14:textId="77777777" w:rsidR="009D2459" w:rsidRPr="001069F5" w:rsidRDefault="009D2459" w:rsidP="001069F5">
      <w:pPr>
        <w:pStyle w:val="ListBullet"/>
        <w:contextualSpacing/>
      </w:pPr>
      <w:r w:rsidRPr="001069F5">
        <w:t>physical features of wetlands including the size and bank steepness.</w:t>
      </w:r>
    </w:p>
    <w:p w14:paraId="3969A363" w14:textId="5643EA30" w:rsidR="009D2459" w:rsidRPr="004C5E50" w:rsidRDefault="009D2459" w:rsidP="009D2459">
      <w:pPr>
        <w:pStyle w:val="BodyText"/>
      </w:pPr>
      <w:bookmarkStart w:id="118" w:name="_Hlk99368982"/>
      <w:bookmarkEnd w:id="117"/>
      <w:r w:rsidRPr="004C5E50">
        <w:t xml:space="preserve">The Victorian Brolga population occupies different habitats during the non-breeding season (January to June) and breeding season (July to December). In the non-breeding season habitat comprises deep freshwater marshes, vegetated areas in permanent open water, and feeding areas in pasture, seed and stubble crops. </w:t>
      </w:r>
      <w:r w:rsidR="002317A9">
        <w:t>Since</w:t>
      </w:r>
      <w:r w:rsidRPr="004C5E50">
        <w:t xml:space="preserve"> no flocking sites </w:t>
      </w:r>
      <w:r w:rsidR="002317A9">
        <w:t xml:space="preserve">were assessed to </w:t>
      </w:r>
      <w:r w:rsidRPr="004C5E50">
        <w:t>occur within 10 kilometres of the project</w:t>
      </w:r>
      <w:r w:rsidR="005820FC">
        <w:t xml:space="preserve"> (see Appendix C1 – </w:t>
      </w:r>
      <w:r w:rsidR="005820FC" w:rsidRPr="00E04EDB">
        <w:rPr>
          <w:i/>
          <w:iCs/>
        </w:rPr>
        <w:t>Brolga</w:t>
      </w:r>
      <w:r w:rsidR="005820FC">
        <w:t>)</w:t>
      </w:r>
      <w:r w:rsidRPr="004C5E50">
        <w:t xml:space="preserve">, the remainder of this chapter focusses on potential Brolga breeding habitats. </w:t>
      </w:r>
    </w:p>
    <w:p w14:paraId="24ADF08C" w14:textId="635106C0" w:rsidR="009D2459" w:rsidRPr="004C5E50" w:rsidRDefault="009D2459" w:rsidP="009D2459">
      <w:pPr>
        <w:pStyle w:val="BodyText"/>
      </w:pPr>
      <w:r w:rsidRPr="004C5E50">
        <w:t xml:space="preserve">Suitable breeding wetlands consist of shallow freshwater marshes and meadows, with emergent vegetation that provides Brolga with </w:t>
      </w:r>
      <w:r w:rsidR="00DE4623">
        <w:t>vegetation with which to build a nest, and plants,</w:t>
      </w:r>
      <w:r w:rsidRPr="004C5E50">
        <w:t xml:space="preserve"> amphibians, sometimes small fish, and a wide range of invertebrates </w:t>
      </w:r>
      <w:r w:rsidR="00DE4623">
        <w:t>on which to feed</w:t>
      </w:r>
      <w:r w:rsidRPr="004C5E50">
        <w:t xml:space="preserve"> (SWIFFT, 2021). Suitable breeding habitat is dominated by aquatic vegetation including sedges, rushes, annual herbs, Tussock Grass (</w:t>
      </w:r>
      <w:r w:rsidRPr="004C5E50">
        <w:rPr>
          <w:i/>
        </w:rPr>
        <w:t>Poa</w:t>
      </w:r>
      <w:r w:rsidRPr="004C5E50">
        <w:t xml:space="preserve"> sp.), Sweet Grass (</w:t>
      </w:r>
      <w:proofErr w:type="spellStart"/>
      <w:r w:rsidRPr="004C5E50">
        <w:rPr>
          <w:i/>
        </w:rPr>
        <w:t>Glyceria</w:t>
      </w:r>
      <w:proofErr w:type="spellEnd"/>
      <w:r w:rsidRPr="004C5E50">
        <w:t xml:space="preserve"> sp.), Spike Rush (</w:t>
      </w:r>
      <w:proofErr w:type="spellStart"/>
      <w:r w:rsidRPr="004C5E50">
        <w:rPr>
          <w:i/>
        </w:rPr>
        <w:t>Elocharis</w:t>
      </w:r>
      <w:proofErr w:type="spellEnd"/>
      <w:r w:rsidRPr="004C5E50">
        <w:t xml:space="preserve"> sp.) or Common Sword Sedge (</w:t>
      </w:r>
      <w:proofErr w:type="spellStart"/>
      <w:r w:rsidRPr="004C5E50">
        <w:rPr>
          <w:i/>
        </w:rPr>
        <w:t>Gahnia</w:t>
      </w:r>
      <w:proofErr w:type="spellEnd"/>
      <w:r w:rsidRPr="004C5E50">
        <w:rPr>
          <w:i/>
        </w:rPr>
        <w:t>)</w:t>
      </w:r>
      <w:r w:rsidRPr="004C5E50">
        <w:t xml:space="preserve"> (Marchant and Higgins, 1993). Brolga construct nests within the shallows of wetlands from a variety of plant matter where a platform of vegetation is constructed approximately 1.5</w:t>
      </w:r>
      <w:r w:rsidR="00B86FBD">
        <w:t>-</w:t>
      </w:r>
      <w:r w:rsidRPr="004C5E50">
        <w:t>m</w:t>
      </w:r>
      <w:r w:rsidR="00B86FBD">
        <w:t>etre</w:t>
      </w:r>
      <w:r w:rsidRPr="004C5E50">
        <w:t xml:space="preserve"> wide (White, 1987</w:t>
      </w:r>
      <w:r w:rsidR="002317A9">
        <w:t xml:space="preserve">; </w:t>
      </w:r>
      <w:r w:rsidR="002855B8">
        <w:fldChar w:fldCharType="begin"/>
      </w:r>
      <w:r w:rsidR="002855B8">
        <w:instrText xml:space="preserve"> REF _Ref82783210 \h </w:instrText>
      </w:r>
      <w:r w:rsidR="002855B8">
        <w:fldChar w:fldCharType="separate"/>
      </w:r>
      <w:r w:rsidR="00C053A5" w:rsidRPr="00305E4E">
        <w:t xml:space="preserve">Figure </w:t>
      </w:r>
      <w:r w:rsidR="00C053A5">
        <w:rPr>
          <w:noProof/>
        </w:rPr>
        <w:t>11</w:t>
      </w:r>
      <w:r w:rsidR="00C053A5" w:rsidRPr="00305E4E">
        <w:t>.</w:t>
      </w:r>
      <w:r w:rsidR="00C053A5">
        <w:rPr>
          <w:noProof/>
        </w:rPr>
        <w:t>5</w:t>
      </w:r>
      <w:r w:rsidR="002855B8">
        <w:fldChar w:fldCharType="end"/>
      </w:r>
      <w:r w:rsidR="002855B8">
        <w:t>)</w:t>
      </w:r>
      <w:r w:rsidRPr="004C5E50">
        <w:t xml:space="preserve">. </w:t>
      </w:r>
      <w:proofErr w:type="spellStart"/>
      <w:r w:rsidRPr="004C5E50">
        <w:t>Veltheim</w:t>
      </w:r>
      <w:proofErr w:type="spellEnd"/>
      <w:r w:rsidR="009949A0">
        <w:t> </w:t>
      </w:r>
      <w:r w:rsidRPr="004C5E50">
        <w:t>et</w:t>
      </w:r>
      <w:r w:rsidR="009949A0">
        <w:t> </w:t>
      </w:r>
      <w:r w:rsidRPr="004C5E50">
        <w:t>al., (2019) note that individual wetland condition and quality is thus most likely to be the most important habitat feature for brolga breeding success.</w:t>
      </w:r>
    </w:p>
    <w:p w14:paraId="3FF1EDB2" w14:textId="6459E1FC" w:rsidR="009D2459" w:rsidRPr="004C5E50" w:rsidRDefault="009D2459" w:rsidP="009D2459">
      <w:pPr>
        <w:pStyle w:val="BodyText"/>
      </w:pPr>
      <w:r w:rsidRPr="004C5E50">
        <w:t>Brolga require shallow wetlands to breed in water about 0.3 metres deep (</w:t>
      </w:r>
      <w:r w:rsidR="00C06232">
        <w:t>e.g.</w:t>
      </w:r>
      <w:r w:rsidR="000C5E8B">
        <w:t>,</w:t>
      </w:r>
      <w:r w:rsidRPr="004C5E50">
        <w:t xml:space="preserve"> see </w:t>
      </w:r>
      <w:r w:rsidRPr="004C5E50">
        <w:fldChar w:fldCharType="begin"/>
      </w:r>
      <w:r w:rsidRPr="004C5E50">
        <w:instrText xml:space="preserve"> REF _Ref82783444 \h </w:instrText>
      </w:r>
      <w:r w:rsidRPr="004C5E50">
        <w:fldChar w:fldCharType="separate"/>
      </w:r>
      <w:r w:rsidR="00C053A5" w:rsidRPr="00305E4E">
        <w:t xml:space="preserve">Figure </w:t>
      </w:r>
      <w:r w:rsidR="00C053A5">
        <w:rPr>
          <w:noProof/>
        </w:rPr>
        <w:t>11</w:t>
      </w:r>
      <w:r w:rsidR="00C053A5" w:rsidRPr="00305E4E">
        <w:t>.</w:t>
      </w:r>
      <w:r w:rsidR="00C053A5">
        <w:rPr>
          <w:noProof/>
        </w:rPr>
        <w:t>6</w:t>
      </w:r>
      <w:r w:rsidRPr="004C5E50">
        <w:fldChar w:fldCharType="end"/>
      </w:r>
      <w:r w:rsidRPr="004C5E50">
        <w:t>). The Brolga breeding cycle involves a 30-day incubation period followed by a 95-day chick raising period. Therefore, an individual wetland needs to remain suitable for Brolga for at least 4 months to support a successful breeding attempt. This is the minimum duration required for Brolga to build a nest, lay eggs, incubate the eggs, and for chicks to grow to an age where they can walk to nearby wetlands and to avoid predation, particularly from foxes. Brolga are also unlikely to breed in drainage lines flowing into and out of wetlands as they prefer larger expanses of water to protect them from ground predators. Brolga are known to avoid flowing creeks and rivers (</w:t>
      </w:r>
      <w:proofErr w:type="spellStart"/>
      <w:r w:rsidRPr="004C5E50">
        <w:t>Veltheim</w:t>
      </w:r>
      <w:proofErr w:type="spellEnd"/>
      <w:r w:rsidRPr="004C5E50">
        <w:t xml:space="preserve"> </w:t>
      </w:r>
      <w:r w:rsidRPr="00007903">
        <w:rPr>
          <w:iCs/>
        </w:rPr>
        <w:t>et al</w:t>
      </w:r>
      <w:r w:rsidRPr="004C5E50">
        <w:t>., 2019).</w:t>
      </w:r>
    </w:p>
    <w:p w14:paraId="3F38A067" w14:textId="0432ACDC" w:rsidR="009D2459" w:rsidRPr="004C5E50" w:rsidRDefault="009D2459" w:rsidP="009D2459">
      <w:pPr>
        <w:pStyle w:val="BodyText"/>
      </w:pPr>
      <w:r w:rsidRPr="004C5E50">
        <w:t xml:space="preserve">Brolga are </w:t>
      </w:r>
      <w:r w:rsidR="00D30168">
        <w:t xml:space="preserve">also </w:t>
      </w:r>
      <w:r w:rsidRPr="004C5E50">
        <w:t>unlikely to breed successfully in wetlands that are less than 0.6 hectares. Nature Advisory reviewed sizes of published and unpublished Brolga breeding sites and concluded that the smallest size wetland used by Brolga was 0.6 hectares used for night roosting (</w:t>
      </w:r>
      <w:proofErr w:type="spellStart"/>
      <w:r w:rsidRPr="004C5E50">
        <w:t>Veltheim</w:t>
      </w:r>
      <w:proofErr w:type="spellEnd"/>
      <w:r w:rsidRPr="004C5E50">
        <w:t xml:space="preserve"> et al., 2019), or 1.3 hectares for confirmed breeding (Sheldon, 2005).</w:t>
      </w:r>
    </w:p>
    <w:bookmarkEnd w:id="118"/>
    <w:p w14:paraId="7A6E67FB" w14:textId="77777777" w:rsidR="009D2459" w:rsidRPr="004C5E50" w:rsidRDefault="009D2459" w:rsidP="009D2459">
      <w:pPr>
        <w:pStyle w:val="BodyText"/>
      </w:pPr>
      <w:proofErr w:type="spellStart"/>
      <w:r w:rsidRPr="004C5E50">
        <w:t>Veltheim</w:t>
      </w:r>
      <w:proofErr w:type="spellEnd"/>
      <w:r w:rsidRPr="004C5E50">
        <w:t xml:space="preserve"> et al., (2019) identified that wetlands also act as night roosts, particularly once the adults and chicks have left the nest. These wetlands may or may not have been where the nest was originally constructed. Once nests are not used, these night roosts become the focus of activity for Brolga families. </w:t>
      </w:r>
    </w:p>
    <w:tbl>
      <w:tblPr>
        <w:tblW w:w="5000" w:type="pct"/>
        <w:tblLook w:val="04A0" w:firstRow="1" w:lastRow="0" w:firstColumn="1" w:lastColumn="0" w:noHBand="0" w:noVBand="1"/>
      </w:tblPr>
      <w:tblGrid>
        <w:gridCol w:w="3753"/>
        <w:gridCol w:w="5318"/>
      </w:tblGrid>
      <w:tr w:rsidR="002855B8" w:rsidRPr="004C5E50" w14:paraId="0F273FEB" w14:textId="77777777" w:rsidTr="003A3AA7">
        <w:tc>
          <w:tcPr>
            <w:tcW w:w="2069" w:type="pct"/>
            <w:vAlign w:val="bottom"/>
          </w:tcPr>
          <w:p w14:paraId="03FC0FED" w14:textId="42E339DF" w:rsidR="002855B8" w:rsidRPr="00305E4E" w:rsidRDefault="002855B8" w:rsidP="003A3AA7">
            <w:pPr>
              <w:pStyle w:val="Caption"/>
              <w:tabs>
                <w:tab w:val="clear" w:pos="1418"/>
              </w:tabs>
              <w:spacing w:after="80"/>
              <w:ind w:left="0" w:firstLine="0"/>
              <w:jc w:val="right"/>
            </w:pPr>
            <w:bookmarkStart w:id="119" w:name="_Ref82783181"/>
            <w:bookmarkStart w:id="120" w:name="_Toc83307476"/>
            <w:bookmarkStart w:id="121" w:name="_Toc104909292"/>
            <w:bookmarkStart w:id="122" w:name="_Hlk99368708"/>
            <w:r w:rsidRPr="00305E4E">
              <w:lastRenderedPageBreak/>
              <w:t xml:space="preserve">Figure </w:t>
            </w:r>
            <w:r w:rsidR="00EB48E9">
              <w:fldChar w:fldCharType="begin"/>
            </w:r>
            <w:r w:rsidR="00EB48E9">
              <w:instrText xml:space="preserve"> STYLEREF 1 \s </w:instrText>
            </w:r>
            <w:r w:rsidR="00EB48E9">
              <w:fldChar w:fldCharType="separate"/>
            </w:r>
            <w:r w:rsidR="00C053A5">
              <w:rPr>
                <w:noProof/>
              </w:rPr>
              <w:t>11</w:t>
            </w:r>
            <w:r w:rsidR="00EB48E9">
              <w:rPr>
                <w:noProof/>
              </w:rPr>
              <w:fldChar w:fldCharType="end"/>
            </w:r>
            <w:r w:rsidRPr="00305E4E">
              <w:t>.</w:t>
            </w:r>
            <w:r w:rsidR="00EB48E9">
              <w:fldChar w:fldCharType="begin"/>
            </w:r>
            <w:r w:rsidR="00EB48E9">
              <w:instrText xml:space="preserve"> SEQ Figure \* ARABIC \s 1 </w:instrText>
            </w:r>
            <w:r w:rsidR="00EB48E9">
              <w:fldChar w:fldCharType="separate"/>
            </w:r>
            <w:r w:rsidR="00C053A5">
              <w:rPr>
                <w:noProof/>
              </w:rPr>
              <w:t>4</w:t>
            </w:r>
            <w:r w:rsidR="00EB48E9">
              <w:rPr>
                <w:noProof/>
              </w:rPr>
              <w:fldChar w:fldCharType="end"/>
            </w:r>
            <w:bookmarkEnd w:id="119"/>
            <w:r w:rsidRPr="00305E4E">
              <w:br/>
            </w:r>
            <w:r w:rsidRPr="00305E4E">
              <w:tab/>
              <w:t xml:space="preserve">Wetland 4 with nesting Brolgas and Black Swans with the </w:t>
            </w:r>
            <w:proofErr w:type="spellStart"/>
            <w:r w:rsidRPr="00305E4E">
              <w:t>Tarrone</w:t>
            </w:r>
            <w:proofErr w:type="spellEnd"/>
            <w:r w:rsidRPr="00305E4E">
              <w:t xml:space="preserve"> Terminal Station in background</w:t>
            </w:r>
            <w:bookmarkEnd w:id="120"/>
            <w:bookmarkEnd w:id="121"/>
          </w:p>
        </w:tc>
        <w:tc>
          <w:tcPr>
            <w:tcW w:w="2931" w:type="pct"/>
          </w:tcPr>
          <w:p w14:paraId="77FBBA4E" w14:textId="77777777" w:rsidR="002855B8" w:rsidRPr="004C5E50" w:rsidRDefault="002855B8" w:rsidP="003A3AA7">
            <w:pPr>
              <w:pStyle w:val="TableText"/>
            </w:pPr>
            <w:r w:rsidRPr="004C5E50">
              <w:rPr>
                <w:noProof/>
              </w:rPr>
              <w:drawing>
                <wp:inline distT="0" distB="0" distL="0" distR="0" wp14:anchorId="6FCBDE54" wp14:editId="718C3EEC">
                  <wp:extent cx="3240000" cy="1863170"/>
                  <wp:effectExtent l="0" t="0" r="0" b="3810"/>
                  <wp:docPr id="6" name="Picture 6" descr="Photograph of a wetland, labelled Wetland 4, with nesting Brolgas and Black Swans. Tarrone Terminal Station is in the background of the pho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hotograph of a wetland, labelled Wetland 4, with nesting Brolgas and Black Swans. Tarrone Terminal Station is in the background of the photograph"/>
                          <pic:cNvPicPr/>
                        </pic:nvPicPr>
                        <pic:blipFill>
                          <a:blip r:embed="rId20"/>
                          <a:stretch>
                            <a:fillRect/>
                          </a:stretch>
                        </pic:blipFill>
                        <pic:spPr>
                          <a:xfrm>
                            <a:off x="0" y="0"/>
                            <a:ext cx="3240000" cy="1863170"/>
                          </a:xfrm>
                          <a:prstGeom prst="rect">
                            <a:avLst/>
                          </a:prstGeom>
                        </pic:spPr>
                      </pic:pic>
                    </a:graphicData>
                  </a:graphic>
                </wp:inline>
              </w:drawing>
            </w:r>
          </w:p>
        </w:tc>
      </w:tr>
      <w:tr w:rsidR="00305E4E" w:rsidRPr="004C5E50" w14:paraId="3A8707A9" w14:textId="77777777" w:rsidTr="00305E4E">
        <w:tc>
          <w:tcPr>
            <w:tcW w:w="2069" w:type="pct"/>
            <w:vAlign w:val="bottom"/>
          </w:tcPr>
          <w:p w14:paraId="1DE86664" w14:textId="35617CDA" w:rsidR="009D2459" w:rsidRPr="00305E4E" w:rsidRDefault="009D2459" w:rsidP="00305E4E">
            <w:pPr>
              <w:pStyle w:val="Caption"/>
              <w:tabs>
                <w:tab w:val="clear" w:pos="1418"/>
              </w:tabs>
              <w:spacing w:after="80"/>
              <w:ind w:left="0" w:firstLine="0"/>
              <w:jc w:val="right"/>
            </w:pPr>
            <w:bookmarkStart w:id="123" w:name="_Ref82783210"/>
            <w:bookmarkStart w:id="124" w:name="_Toc83307475"/>
            <w:bookmarkStart w:id="125" w:name="_Toc104909293"/>
            <w:r w:rsidRPr="00305E4E">
              <w:t xml:space="preserve">Figure </w:t>
            </w:r>
            <w:r w:rsidR="00EB48E9">
              <w:fldChar w:fldCharType="begin"/>
            </w:r>
            <w:r w:rsidR="00EB48E9">
              <w:instrText xml:space="preserve"> STYLEREF 1 \s </w:instrText>
            </w:r>
            <w:r w:rsidR="00EB48E9">
              <w:fldChar w:fldCharType="separate"/>
            </w:r>
            <w:r w:rsidR="00C053A5">
              <w:rPr>
                <w:noProof/>
              </w:rPr>
              <w:t>11</w:t>
            </w:r>
            <w:r w:rsidR="00EB48E9">
              <w:rPr>
                <w:noProof/>
              </w:rPr>
              <w:fldChar w:fldCharType="end"/>
            </w:r>
            <w:r w:rsidRPr="00305E4E">
              <w:t>.</w:t>
            </w:r>
            <w:r w:rsidR="00EB48E9">
              <w:fldChar w:fldCharType="begin"/>
            </w:r>
            <w:r w:rsidR="00EB48E9">
              <w:instrText xml:space="preserve"> SEQ Figure \* ARABIC \s 1 </w:instrText>
            </w:r>
            <w:r w:rsidR="00EB48E9">
              <w:fldChar w:fldCharType="separate"/>
            </w:r>
            <w:r w:rsidR="00C053A5">
              <w:rPr>
                <w:noProof/>
              </w:rPr>
              <w:t>5</w:t>
            </w:r>
            <w:r w:rsidR="00EB48E9">
              <w:rPr>
                <w:noProof/>
              </w:rPr>
              <w:fldChar w:fldCharType="end"/>
            </w:r>
            <w:bookmarkEnd w:id="123"/>
            <w:r w:rsidR="00305E4E" w:rsidRPr="00305E4E">
              <w:br/>
            </w:r>
            <w:r w:rsidR="00305E4E" w:rsidRPr="00305E4E">
              <w:tab/>
            </w:r>
            <w:r w:rsidRPr="00305E4E">
              <w:t>Nesting Brolga</w:t>
            </w:r>
            <w:bookmarkEnd w:id="124"/>
            <w:bookmarkEnd w:id="125"/>
          </w:p>
        </w:tc>
        <w:tc>
          <w:tcPr>
            <w:tcW w:w="2931" w:type="pct"/>
          </w:tcPr>
          <w:p w14:paraId="77ACC824" w14:textId="77777777" w:rsidR="009D2459" w:rsidRPr="004C5E50" w:rsidRDefault="009D2459" w:rsidP="005E4C49">
            <w:pPr>
              <w:pStyle w:val="TableHeading"/>
            </w:pPr>
            <w:r w:rsidRPr="004C5E50">
              <w:rPr>
                <w:noProof/>
              </w:rPr>
              <w:drawing>
                <wp:inline distT="0" distB="0" distL="0" distR="0" wp14:anchorId="178C8038" wp14:editId="380BA4E7">
                  <wp:extent cx="3240000" cy="2860658"/>
                  <wp:effectExtent l="0" t="0" r="0" b="0"/>
                  <wp:docPr id="4" name="Picture 4" descr="Photograph of a Brolga nesting within a we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hotograph of a Brolga nesting within a wetland"/>
                          <pic:cNvPicPr/>
                        </pic:nvPicPr>
                        <pic:blipFill rotWithShape="1">
                          <a:blip r:embed="rId21"/>
                          <a:srcRect t="13058" b="18473"/>
                          <a:stretch/>
                        </pic:blipFill>
                        <pic:spPr bwMode="auto">
                          <a:xfrm>
                            <a:off x="0" y="0"/>
                            <a:ext cx="3240000" cy="2860658"/>
                          </a:xfrm>
                          <a:prstGeom prst="rect">
                            <a:avLst/>
                          </a:prstGeom>
                          <a:ln>
                            <a:noFill/>
                          </a:ln>
                          <a:extLst>
                            <a:ext uri="{53640926-AAD7-44D8-BBD7-CCE9431645EC}">
                              <a14:shadowObscured xmlns:a14="http://schemas.microsoft.com/office/drawing/2010/main"/>
                            </a:ext>
                          </a:extLst>
                        </pic:spPr>
                      </pic:pic>
                    </a:graphicData>
                  </a:graphic>
                </wp:inline>
              </w:drawing>
            </w:r>
          </w:p>
        </w:tc>
      </w:tr>
      <w:tr w:rsidR="00305E4E" w:rsidRPr="004C5E50" w14:paraId="56D954E8" w14:textId="77777777" w:rsidTr="00305E4E">
        <w:tc>
          <w:tcPr>
            <w:tcW w:w="2069" w:type="pct"/>
            <w:vAlign w:val="bottom"/>
          </w:tcPr>
          <w:p w14:paraId="5ACF05CE" w14:textId="3AFBAEF1" w:rsidR="009D2459" w:rsidRPr="00305E4E" w:rsidRDefault="009D2459" w:rsidP="00305E4E">
            <w:pPr>
              <w:pStyle w:val="Caption"/>
              <w:tabs>
                <w:tab w:val="clear" w:pos="1418"/>
              </w:tabs>
              <w:spacing w:after="80"/>
              <w:ind w:left="0" w:firstLine="0"/>
              <w:jc w:val="right"/>
            </w:pPr>
            <w:bookmarkStart w:id="126" w:name="_Ref82783444"/>
            <w:bookmarkStart w:id="127" w:name="_Toc83307477"/>
            <w:bookmarkStart w:id="128" w:name="_Toc104909294"/>
            <w:r w:rsidRPr="00305E4E">
              <w:t xml:space="preserve">Figure </w:t>
            </w:r>
            <w:r w:rsidR="00EB48E9">
              <w:fldChar w:fldCharType="begin"/>
            </w:r>
            <w:r w:rsidR="00EB48E9">
              <w:instrText xml:space="preserve"> STYLEREF 1 \s </w:instrText>
            </w:r>
            <w:r w:rsidR="00EB48E9">
              <w:fldChar w:fldCharType="separate"/>
            </w:r>
            <w:r w:rsidR="00C053A5">
              <w:rPr>
                <w:noProof/>
              </w:rPr>
              <w:t>11</w:t>
            </w:r>
            <w:r w:rsidR="00EB48E9">
              <w:rPr>
                <w:noProof/>
              </w:rPr>
              <w:fldChar w:fldCharType="end"/>
            </w:r>
            <w:r w:rsidRPr="00305E4E">
              <w:t>.</w:t>
            </w:r>
            <w:r w:rsidR="00EB48E9">
              <w:fldChar w:fldCharType="begin"/>
            </w:r>
            <w:r w:rsidR="00EB48E9">
              <w:instrText xml:space="preserve"> SEQ Figure \* ARABIC \s 1 </w:instrText>
            </w:r>
            <w:r w:rsidR="00EB48E9">
              <w:fldChar w:fldCharType="separate"/>
            </w:r>
            <w:r w:rsidR="00C053A5">
              <w:rPr>
                <w:noProof/>
              </w:rPr>
              <w:t>6</w:t>
            </w:r>
            <w:r w:rsidR="00EB48E9">
              <w:rPr>
                <w:noProof/>
              </w:rPr>
              <w:fldChar w:fldCharType="end"/>
            </w:r>
            <w:bookmarkEnd w:id="126"/>
            <w:r w:rsidR="00305E4E" w:rsidRPr="00305E4E">
              <w:br/>
            </w:r>
            <w:r w:rsidR="00305E4E" w:rsidRPr="00305E4E">
              <w:tab/>
            </w:r>
            <w:r w:rsidRPr="00305E4E">
              <w:t>Aerial photograph of seasonal wetland in the Cockatoo Swamp complex</w:t>
            </w:r>
            <w:bookmarkEnd w:id="127"/>
            <w:bookmarkEnd w:id="128"/>
          </w:p>
        </w:tc>
        <w:tc>
          <w:tcPr>
            <w:tcW w:w="2931" w:type="pct"/>
          </w:tcPr>
          <w:p w14:paraId="531E9224" w14:textId="77777777" w:rsidR="009D2459" w:rsidRPr="004C5E50" w:rsidRDefault="009D2459" w:rsidP="005E4C49">
            <w:pPr>
              <w:pStyle w:val="TableText"/>
            </w:pPr>
            <w:r w:rsidRPr="004C5E50">
              <w:rPr>
                <w:noProof/>
              </w:rPr>
              <w:drawing>
                <wp:inline distT="0" distB="0" distL="0" distR="0" wp14:anchorId="45962DA7" wp14:editId="2612E769">
                  <wp:extent cx="3240000" cy="2003150"/>
                  <wp:effectExtent l="0" t="0" r="0" b="0"/>
                  <wp:docPr id="12" name="Picture 12" descr="Aerial photograph of seasonal wetland in the Cockatoo Swamp comp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erial photograph of seasonal wetland in the Cockatoo Swamp complex"/>
                          <pic:cNvPicPr/>
                        </pic:nvPicPr>
                        <pic:blipFill>
                          <a:blip r:embed="rId22"/>
                          <a:stretch>
                            <a:fillRect/>
                          </a:stretch>
                        </pic:blipFill>
                        <pic:spPr>
                          <a:xfrm>
                            <a:off x="0" y="0"/>
                            <a:ext cx="3240000" cy="2003150"/>
                          </a:xfrm>
                          <a:prstGeom prst="rect">
                            <a:avLst/>
                          </a:prstGeom>
                        </pic:spPr>
                      </pic:pic>
                    </a:graphicData>
                  </a:graphic>
                </wp:inline>
              </w:drawing>
            </w:r>
          </w:p>
        </w:tc>
      </w:tr>
    </w:tbl>
    <w:p w14:paraId="24E703A3" w14:textId="09BC9D1E" w:rsidR="00DA6358" w:rsidRDefault="002317A9" w:rsidP="00DA6358">
      <w:pPr>
        <w:pStyle w:val="BodyText"/>
        <w:rPr>
          <w:rFonts w:ascii="Arial Bold" w:eastAsiaTheme="minorEastAsia" w:hAnsi="Arial Bold" w:cs="Arial"/>
          <w:color w:val="004F9E"/>
          <w:szCs w:val="20"/>
          <w:lang w:eastAsia="fr-CA"/>
        </w:rPr>
      </w:pPr>
      <w:bookmarkStart w:id="129" w:name="_Hlk80776865"/>
      <w:bookmarkEnd w:id="122"/>
      <w:r w:rsidRPr="004C5E50">
        <w:t xml:space="preserve">As described in Section </w:t>
      </w:r>
      <w:r w:rsidRPr="004C5E50">
        <w:fldChar w:fldCharType="begin"/>
      </w:r>
      <w:r w:rsidRPr="004C5E50">
        <w:instrText xml:space="preserve"> REF _Ref81909815 \r \h </w:instrText>
      </w:r>
      <w:r w:rsidRPr="004C5E50">
        <w:fldChar w:fldCharType="separate"/>
      </w:r>
      <w:r w:rsidR="00C053A5">
        <w:t>11.4.2</w:t>
      </w:r>
      <w:r w:rsidRPr="004C5E50">
        <w:fldChar w:fldCharType="end"/>
      </w:r>
      <w:r w:rsidRPr="004C5E50">
        <w:t xml:space="preserve">, a variety of methods were used to accurately identify potential Brolga breeding and roosting habitat. Methods included examination of current and historical Brolga records, consultation with landowners and land managers, repeated field and aerial surveys for Brolga and potential wetland habitat, and specialised hydrological modelling. </w:t>
      </w:r>
    </w:p>
    <w:p w14:paraId="50B4DBAB" w14:textId="17835881" w:rsidR="009D2459" w:rsidRPr="00DA6358" w:rsidRDefault="009D2459" w:rsidP="009949A0">
      <w:pPr>
        <w:pStyle w:val="Heading4"/>
      </w:pPr>
      <w:r w:rsidRPr="00DA6358">
        <w:lastRenderedPageBreak/>
        <w:t xml:space="preserve">Assessment Brolga habitat suitability using the Victorian Wetland Inventory </w:t>
      </w:r>
    </w:p>
    <w:p w14:paraId="455C0FC7" w14:textId="382C552D" w:rsidR="009D2459" w:rsidRPr="004C5E50" w:rsidRDefault="009D2459" w:rsidP="009949A0">
      <w:pPr>
        <w:pStyle w:val="BodyText"/>
        <w:keepNext/>
        <w:keepLines/>
      </w:pPr>
      <w:bookmarkStart w:id="130" w:name="_Hlk99368741"/>
      <w:r w:rsidRPr="004C5E50">
        <w:t xml:space="preserve">A total of </w:t>
      </w:r>
      <w:bookmarkStart w:id="131" w:name="_Hlk79411728"/>
      <w:r w:rsidRPr="004C5E50">
        <w:t xml:space="preserve">335 wetlands identified within the </w:t>
      </w:r>
      <w:bookmarkStart w:id="132" w:name="_Hlk80183364"/>
      <w:r w:rsidRPr="004C5E50">
        <w:t xml:space="preserve">DELWP Victorian Wetland Inventory </w:t>
      </w:r>
      <w:bookmarkEnd w:id="132"/>
      <w:r w:rsidRPr="004C5E50">
        <w:t xml:space="preserve">wetlands (‘current wetlands’) that are within 10 kilometres of the project site were assessed by </w:t>
      </w:r>
      <w:bookmarkEnd w:id="131"/>
      <w:r w:rsidRPr="004C5E50">
        <w:t>Nature Advisory.</w:t>
      </w:r>
      <w:r>
        <w:t xml:space="preserve"> </w:t>
      </w:r>
      <w:r w:rsidRPr="004C5E50">
        <w:t>Each of these wetlands were assessed for their suitability to support Brolga reproduction, focussing on vegetation presence, physical attributes (</w:t>
      </w:r>
      <w:r w:rsidR="00C06232">
        <w:t>e.g.</w:t>
      </w:r>
      <w:r w:rsidR="000C5E8B">
        <w:t>,</w:t>
      </w:r>
      <w:r w:rsidRPr="004C5E50">
        <w:t xml:space="preserve"> size, depth and steepness of banks) and their condition.</w:t>
      </w:r>
      <w:bookmarkEnd w:id="129"/>
      <w:r w:rsidRPr="004C5E50">
        <w:t xml:space="preserve"> Most (67</w:t>
      </w:r>
      <w:r w:rsidR="002317A9">
        <w:t>.5</w:t>
      </w:r>
      <w:r w:rsidRPr="004C5E50">
        <w:t>%) of these wetlands were found to be unsuitable for breeding due to changes in hydrological regimes (</w:t>
      </w:r>
      <w:r w:rsidR="00C06232">
        <w:t>i.e.</w:t>
      </w:r>
      <w:r w:rsidR="000C5E8B">
        <w:t>,</w:t>
      </w:r>
      <w:r w:rsidRPr="004C5E50">
        <w:t xml:space="preserve"> they were drained and converted for agricultural use) or due to inaccurate wetland mapping by DELWP. A total of 1</w:t>
      </w:r>
      <w:r w:rsidR="000B6D57">
        <w:t>09</w:t>
      </w:r>
      <w:r w:rsidRPr="004C5E50">
        <w:t xml:space="preserve"> wetlands (3</w:t>
      </w:r>
      <w:r w:rsidR="000B6D57">
        <w:t>2.5</w:t>
      </w:r>
      <w:r w:rsidRPr="004C5E50">
        <w:t>%)</w:t>
      </w:r>
      <w:r w:rsidR="00D30168">
        <w:t xml:space="preserve"> </w:t>
      </w:r>
      <w:r w:rsidRPr="004C5E50">
        <w:t>were</w:t>
      </w:r>
      <w:r w:rsidR="000B6D57" w:rsidRPr="000B6D57">
        <w:t xml:space="preserve"> </w:t>
      </w:r>
      <w:r w:rsidR="000B6D57">
        <w:t xml:space="preserve">found to be </w:t>
      </w:r>
      <w:r w:rsidR="000B6D57" w:rsidRPr="000B6D57">
        <w:t>functional hydrologically and had not been permanently drained</w:t>
      </w:r>
      <w:r w:rsidRPr="004C5E50">
        <w:t>, however, this did not consider the inundation period or depth, which are important determinants for Brolga</w:t>
      </w:r>
      <w:r w:rsidR="009949A0">
        <w:t> </w:t>
      </w:r>
      <w:r w:rsidRPr="004C5E50">
        <w:t>breeding.</w:t>
      </w:r>
    </w:p>
    <w:bookmarkEnd w:id="130"/>
    <w:p w14:paraId="77D62B44" w14:textId="77777777" w:rsidR="009D2459" w:rsidRPr="00DA6358" w:rsidRDefault="009D2459" w:rsidP="00DA6358">
      <w:pPr>
        <w:pStyle w:val="Heading4"/>
      </w:pPr>
      <w:r w:rsidRPr="00DA6358">
        <w:t>Refinement of potential Brolga breeding habitat using hydrological and field investigations</w:t>
      </w:r>
    </w:p>
    <w:p w14:paraId="6E46D812" w14:textId="46174E19" w:rsidR="009D2459" w:rsidRPr="004C5E50" w:rsidRDefault="009D2459" w:rsidP="009D2459">
      <w:pPr>
        <w:pStyle w:val="BodyText"/>
      </w:pPr>
      <w:bookmarkStart w:id="133" w:name="_Hlk80776879"/>
      <w:bookmarkStart w:id="134" w:name="_Hlk99019053"/>
      <w:r w:rsidRPr="004C5E50">
        <w:t xml:space="preserve">To predict potential Brolga breeding habitat more accurately, hydrology investigations were undertaken to develop a surface water model that accurately determines which wetlands can hold water </w:t>
      </w:r>
      <w:r w:rsidR="00DE4623">
        <w:t>at least once every ten years</w:t>
      </w:r>
      <w:r w:rsidR="00DE4623" w:rsidRPr="004C5E50">
        <w:t xml:space="preserve"> </w:t>
      </w:r>
      <w:r w:rsidRPr="004C5E50">
        <w:t>for 120–days</w:t>
      </w:r>
      <w:r w:rsidR="009B4F20">
        <w:rPr>
          <w:rStyle w:val="FootnoteReference"/>
        </w:rPr>
        <w:footnoteReference w:id="1"/>
      </w:r>
      <w:r w:rsidRPr="004C5E50">
        <w:t xml:space="preserve"> or more, which is what the Brolga requires to </w:t>
      </w:r>
      <w:r w:rsidR="00DE4623" w:rsidRPr="004C5E50">
        <w:t>breed</w:t>
      </w:r>
      <w:r w:rsidR="00DE4623">
        <w:t xml:space="preserve"> successfully</w:t>
      </w:r>
      <w:r w:rsidRPr="004C5E50">
        <w:t xml:space="preserve">. </w:t>
      </w:r>
      <w:bookmarkStart w:id="135" w:name="_Hlk80776895"/>
      <w:bookmarkEnd w:id="133"/>
    </w:p>
    <w:p w14:paraId="2EDC1ADC" w14:textId="6000FBBF" w:rsidR="009D2459" w:rsidRPr="004C5E50" w:rsidRDefault="009D2459" w:rsidP="009D2459">
      <w:pPr>
        <w:pStyle w:val="BodyText"/>
      </w:pPr>
      <w:bookmarkStart w:id="136" w:name="_Hlk102651082"/>
      <w:r w:rsidRPr="004C5E50">
        <w:t xml:space="preserve">Hydraulic modelling </w:t>
      </w:r>
      <w:bookmarkEnd w:id="136"/>
      <w:r w:rsidRPr="004C5E50">
        <w:t>simulated runoff generated from local rainfall and site topography. Modelling used high-resolution topographic mapping</w:t>
      </w:r>
      <w:r w:rsidR="00DE4623">
        <w:t xml:space="preserve"> (LIDAR)</w:t>
      </w:r>
      <w:r w:rsidRPr="004C5E50">
        <w:t xml:space="preserve"> and rainfall data from the past decade. This produced data on how wetlands and other depressions are filled, their maximum size and interconnectivity. The results were then used to remove potential wetlands that did not meet other Brolga breeding habitat requirements (</w:t>
      </w:r>
      <w:r w:rsidR="00C06232">
        <w:t>e.g.</w:t>
      </w:r>
      <w:r w:rsidR="000C5E8B">
        <w:t>,</w:t>
      </w:r>
      <w:r w:rsidR="009949A0">
        <w:t> </w:t>
      </w:r>
      <w:r w:rsidRPr="004C5E50">
        <w:t xml:space="preserve">wetlands had been permanently drained or were too small). The remaining wetland areas then underwent a more detailed hydrological assessment, which involved </w:t>
      </w:r>
      <w:bookmarkStart w:id="137" w:name="_Hlk102651121"/>
      <w:r w:rsidRPr="004C5E50">
        <w:t>water balance modelling of</w:t>
      </w:r>
      <w:bookmarkEnd w:id="137"/>
      <w:r w:rsidRPr="004C5E50">
        <w:t xml:space="preserve"> each wetland individually or as a series of connected wetlands. This estimated both runoff volumes and wetland water levels. </w:t>
      </w:r>
    </w:p>
    <w:p w14:paraId="4CFF2830" w14:textId="7710F1EF" w:rsidR="009D2459" w:rsidRPr="004C5E50" w:rsidRDefault="009D2459" w:rsidP="00DA6358">
      <w:pPr>
        <w:pStyle w:val="BodyText"/>
      </w:pPr>
      <w:r w:rsidRPr="004C5E50">
        <w:t>Water levels for each wetland were modelled using a representative rainfall dataset from 2009 to 2019 to identify wetlands that met the inundation criteria for Brolga breeding and night roosting suitability.</w:t>
      </w:r>
      <w:bookmarkEnd w:id="135"/>
      <w:r w:rsidRPr="004C5E50">
        <w:t xml:space="preserve"> The assessment found that 17 wetlands met the inundation criteria (wetland 12/26028 was considered as a single wetland in this assessment) (see</w:t>
      </w:r>
      <w:r w:rsidR="00DA6358">
        <w:t xml:space="preserve"> </w:t>
      </w:r>
      <w:r w:rsidR="00DA6358">
        <w:fldChar w:fldCharType="begin"/>
      </w:r>
      <w:r w:rsidR="00DA6358">
        <w:instrText xml:space="preserve"> REF _Ref88555094 \h </w:instrText>
      </w:r>
      <w:r w:rsidR="00DA6358">
        <w:fldChar w:fldCharType="separate"/>
      </w:r>
      <w:r w:rsidR="00C053A5" w:rsidRPr="000E7382">
        <w:t xml:space="preserve">Figure </w:t>
      </w:r>
      <w:r w:rsidR="00C053A5">
        <w:rPr>
          <w:noProof/>
        </w:rPr>
        <w:t>11</w:t>
      </w:r>
      <w:r w:rsidR="00C053A5" w:rsidRPr="000E7382">
        <w:t>.</w:t>
      </w:r>
      <w:r w:rsidR="00C053A5">
        <w:rPr>
          <w:noProof/>
        </w:rPr>
        <w:t>7</w:t>
      </w:r>
      <w:r w:rsidR="00DA6358">
        <w:fldChar w:fldCharType="end"/>
      </w:r>
      <w:r w:rsidRPr="004C5E50">
        <w:t xml:space="preserve">). </w:t>
      </w:r>
    </w:p>
    <w:p w14:paraId="15E558E0" w14:textId="69068AE4" w:rsidR="00D577BC" w:rsidRDefault="009D2459" w:rsidP="009D2459">
      <w:pPr>
        <w:pStyle w:val="BodyText"/>
      </w:pPr>
      <w:r w:rsidRPr="004C5E50">
        <w:t>Further ecological field surveys of these wetlands</w:t>
      </w:r>
      <w:r w:rsidR="00D577BC">
        <w:t xml:space="preserve"> and farm dams</w:t>
      </w:r>
      <w:r w:rsidRPr="004C5E50">
        <w:t xml:space="preserve"> were completed to assess other features that are known to be of importance to Brolga, including wetland size and the presence of aquatic or semi aquatic vegetation. Six wetlands</w:t>
      </w:r>
      <w:r w:rsidR="00D577BC">
        <w:t xml:space="preserve"> (and 35 farm dams)</w:t>
      </w:r>
      <w:r w:rsidRPr="004C5E50">
        <w:t xml:space="preserve"> were excluded because of their size (being less than 0.6 hectares)</w:t>
      </w:r>
      <w:r w:rsidR="00D577BC">
        <w:t>,</w:t>
      </w:r>
      <w:r w:rsidR="00D30168">
        <w:t xml:space="preserve"> </w:t>
      </w:r>
      <w:r w:rsidRPr="004C5E50">
        <w:t>lack of suitable vegetation cover</w:t>
      </w:r>
      <w:r w:rsidR="00D577BC">
        <w:t xml:space="preserve"> or in the case of farm dams their physical properties</w:t>
      </w:r>
      <w:r w:rsidRPr="004C5E50">
        <w:t xml:space="preserve">. </w:t>
      </w:r>
      <w:r w:rsidR="00D577BC" w:rsidRPr="00D577BC">
        <w:t xml:space="preserve">Of the 38 farm dams and 17 wetlands that were assessed, three farm dams and 11 wetlands were </w:t>
      </w:r>
      <w:r w:rsidR="00D577BC">
        <w:t>assessed to</w:t>
      </w:r>
      <w:r w:rsidR="00D577BC" w:rsidRPr="00D577BC">
        <w:t xml:space="preserve"> provide suitable habitat for Brolga breeding </w:t>
      </w:r>
      <w:r w:rsidR="00DE4623">
        <w:t>or</w:t>
      </w:r>
      <w:r w:rsidR="00DE4623" w:rsidRPr="00D577BC">
        <w:t xml:space="preserve"> </w:t>
      </w:r>
      <w:r w:rsidR="00D577BC" w:rsidRPr="00D577BC">
        <w:t>foraging based on the hydrological modelling and field assessment</w:t>
      </w:r>
      <w:r w:rsidR="00D577BC">
        <w:t>s.</w:t>
      </w:r>
      <w:r w:rsidR="00D30168" w:rsidRPr="00D30168">
        <w:t xml:space="preserve"> </w:t>
      </w:r>
      <w:r w:rsidR="00D30168">
        <w:t>These sites were defined as functional wetlands.</w:t>
      </w:r>
      <w:bookmarkEnd w:id="134"/>
    </w:p>
    <w:p w14:paraId="573F789C" w14:textId="37489833" w:rsidR="0059127D" w:rsidRDefault="0059127D">
      <w:r>
        <w:t>F</w:t>
      </w:r>
      <w:r w:rsidRPr="0059127D">
        <w:t xml:space="preserve">unctional wetlands were considered potential sources of food </w:t>
      </w:r>
      <w:r>
        <w:t>and habitat</w:t>
      </w:r>
      <w:r w:rsidR="00D30168">
        <w:t xml:space="preserve"> for the duration of Brolga breeding and chick rearing and are</w:t>
      </w:r>
      <w:r w:rsidRPr="0059127D">
        <w:t xml:space="preserve"> therefore likely to form part of the home range around the breeding wetland. Such wetlands were more likely than others to support a productive wetland ecosystem as post-filling ecological succession progresses through winter and spring, producing increased emergent plant and algal cover and associated fauna populations, including frogs</w:t>
      </w:r>
      <w:r w:rsidR="0022442B">
        <w:t xml:space="preserve"> (Appendix C1 – </w:t>
      </w:r>
      <w:r w:rsidR="0022442B" w:rsidRPr="00E04EDB">
        <w:rPr>
          <w:i/>
          <w:iCs/>
        </w:rPr>
        <w:t>Brolga</w:t>
      </w:r>
      <w:r w:rsidR="0022442B">
        <w:t>)</w:t>
      </w:r>
      <w:r w:rsidRPr="0059127D">
        <w:t>. Combined with their duration, these wetlands would therefore be disproportionately important sources of food and potentially alternate night time roosts as they are more likely to hold water.</w:t>
      </w:r>
    </w:p>
    <w:p w14:paraId="66A35E1B" w14:textId="77777777" w:rsidR="009D2459" w:rsidRDefault="009D2459" w:rsidP="009D2459"/>
    <w:p w14:paraId="09EC8EDB" w14:textId="77777777" w:rsidR="009D2459" w:rsidRDefault="009D2459" w:rsidP="009D2459">
      <w:pPr>
        <w:sectPr w:rsidR="009D2459" w:rsidSect="009D2459">
          <w:pgSz w:w="11907" w:h="16839" w:code="9"/>
          <w:pgMar w:top="1276" w:right="1418" w:bottom="1134" w:left="1418" w:header="709" w:footer="284" w:gutter="0"/>
          <w:pgNumType w:chapStyle="1"/>
          <w:cols w:space="708"/>
          <w:docGrid w:linePitch="360"/>
        </w:sectPr>
      </w:pPr>
    </w:p>
    <w:p w14:paraId="053CF1B1" w14:textId="2EDA76B5" w:rsidR="009D2459" w:rsidRPr="00276773" w:rsidRDefault="00391774" w:rsidP="00DA6358">
      <w:pPr>
        <w:pStyle w:val="Image"/>
      </w:pPr>
      <w:bookmarkStart w:id="138" w:name="_Ref81911704"/>
      <w:r>
        <w:rPr>
          <w:noProof/>
        </w:rPr>
        <w:lastRenderedPageBreak/>
        <w:drawing>
          <wp:anchor distT="0" distB="0" distL="114300" distR="114300" simplePos="0" relativeHeight="251662336" behindDoc="0" locked="0" layoutInCell="1" allowOverlap="1" wp14:anchorId="532DAE58" wp14:editId="5EBFF4BA">
            <wp:simplePos x="0" y="0"/>
            <wp:positionH relativeFrom="column">
              <wp:posOffset>-890905</wp:posOffset>
            </wp:positionH>
            <wp:positionV relativeFrom="paragraph">
              <wp:posOffset>-800734</wp:posOffset>
            </wp:positionV>
            <wp:extent cx="10692000" cy="7560738"/>
            <wp:effectExtent l="0" t="0" r="0" b="2540"/>
            <wp:wrapNone/>
            <wp:docPr id="26" name="Picture 26" descr="Aerial map presenting the findings of the hydrological assessment of Brolga breeding habitat suitability across the projec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erial map presenting the findings of the hydrological assessment of Brolga breeding habitat suitability across the project site"/>
                    <pic:cNvPicPr/>
                  </pic:nvPicPr>
                  <pic:blipFill>
                    <a:blip r:embed="rId23">
                      <a:extLst>
                        <a:ext uri="{28A0092B-C50C-407E-A947-70E740481C1C}">
                          <a14:useLocalDpi xmlns:a14="http://schemas.microsoft.com/office/drawing/2010/main" val="0"/>
                        </a:ext>
                      </a:extLst>
                    </a:blip>
                    <a:stretch>
                      <a:fillRect/>
                    </a:stretch>
                  </pic:blipFill>
                  <pic:spPr>
                    <a:xfrm>
                      <a:off x="0" y="0"/>
                      <a:ext cx="10692000" cy="7560738"/>
                    </a:xfrm>
                    <a:prstGeom prst="rect">
                      <a:avLst/>
                    </a:prstGeom>
                  </pic:spPr>
                </pic:pic>
              </a:graphicData>
            </a:graphic>
            <wp14:sizeRelH relativeFrom="page">
              <wp14:pctWidth>0</wp14:pctWidth>
            </wp14:sizeRelH>
            <wp14:sizeRelV relativeFrom="page">
              <wp14:pctHeight>0</wp14:pctHeight>
            </wp14:sizeRelV>
          </wp:anchor>
        </w:drawing>
      </w:r>
    </w:p>
    <w:p w14:paraId="3197DC95" w14:textId="5F55221C" w:rsidR="009D2459" w:rsidRDefault="009D2459" w:rsidP="00DA6358">
      <w:pPr>
        <w:pStyle w:val="Caption"/>
      </w:pPr>
      <w:bookmarkStart w:id="139" w:name="_Ref88555094"/>
      <w:bookmarkStart w:id="140" w:name="_Toc104909295"/>
      <w:bookmarkStart w:id="141" w:name="_Toc83307479"/>
      <w:bookmarkStart w:id="142" w:name="_Hlk102652507"/>
      <w:r w:rsidRPr="000E7382">
        <w:t xml:space="preserve">Figure </w:t>
      </w:r>
      <w:r w:rsidR="00BD7201" w:rsidRPr="007D58CD">
        <w:fldChar w:fldCharType="begin"/>
      </w:r>
      <w:r w:rsidR="00BD7201" w:rsidRPr="000E7382">
        <w:instrText xml:space="preserve"> STYLEREF 1 \s </w:instrText>
      </w:r>
      <w:r w:rsidR="00BD7201" w:rsidRPr="007D58CD">
        <w:fldChar w:fldCharType="separate"/>
      </w:r>
      <w:r w:rsidR="00C053A5">
        <w:rPr>
          <w:noProof/>
        </w:rPr>
        <w:t>11</w:t>
      </w:r>
      <w:r w:rsidR="00BD7201" w:rsidRPr="007D58CD">
        <w:rPr>
          <w:noProof/>
        </w:rPr>
        <w:fldChar w:fldCharType="end"/>
      </w:r>
      <w:r w:rsidRPr="000E7382">
        <w:t>.</w:t>
      </w:r>
      <w:r w:rsidR="00BD7201" w:rsidRPr="007D58CD">
        <w:fldChar w:fldCharType="begin"/>
      </w:r>
      <w:r w:rsidR="00BD7201" w:rsidRPr="000E7382">
        <w:instrText xml:space="preserve"> SEQ Figure \* ARABIC \s 1 </w:instrText>
      </w:r>
      <w:r w:rsidR="00BD7201" w:rsidRPr="007D58CD">
        <w:fldChar w:fldCharType="separate"/>
      </w:r>
      <w:r w:rsidR="00C053A5">
        <w:rPr>
          <w:noProof/>
        </w:rPr>
        <w:t>7</w:t>
      </w:r>
      <w:r w:rsidR="00BD7201" w:rsidRPr="007D58CD">
        <w:rPr>
          <w:noProof/>
        </w:rPr>
        <w:fldChar w:fldCharType="end"/>
      </w:r>
      <w:bookmarkEnd w:id="138"/>
      <w:bookmarkEnd w:id="139"/>
      <w:r w:rsidRPr="000E7382">
        <w:tab/>
      </w:r>
      <w:r w:rsidR="000E7382" w:rsidRPr="00137A75">
        <w:t xml:space="preserve">Hydrological assessment of </w:t>
      </w:r>
      <w:r w:rsidRPr="000E7382">
        <w:t xml:space="preserve">Brolga </w:t>
      </w:r>
      <w:r w:rsidR="000E7382" w:rsidRPr="00137A75">
        <w:t>breeding habitat suitability</w:t>
      </w:r>
      <w:bookmarkEnd w:id="140"/>
      <w:r w:rsidR="000E7382" w:rsidRPr="00137A75">
        <w:t xml:space="preserve"> </w:t>
      </w:r>
      <w:bookmarkEnd w:id="141"/>
    </w:p>
    <w:bookmarkEnd w:id="142"/>
    <w:p w14:paraId="6B1F07E1" w14:textId="77777777" w:rsidR="009D2459" w:rsidRDefault="009D2459" w:rsidP="009D2459">
      <w:pPr>
        <w:sectPr w:rsidR="009D2459" w:rsidSect="009D2459">
          <w:pgSz w:w="16839" w:h="11907" w:orient="landscape" w:code="9"/>
          <w:pgMar w:top="1276" w:right="1418" w:bottom="1134" w:left="1418" w:header="709" w:footer="284" w:gutter="0"/>
          <w:pgNumType w:chapStyle="1"/>
          <w:cols w:space="708"/>
          <w:docGrid w:linePitch="360"/>
        </w:sectPr>
      </w:pPr>
    </w:p>
    <w:p w14:paraId="6E79C408" w14:textId="77777777" w:rsidR="009D2459" w:rsidRPr="00DA6358" w:rsidRDefault="009D2459" w:rsidP="00DA6358">
      <w:pPr>
        <w:pStyle w:val="Heading4"/>
      </w:pPr>
      <w:r w:rsidRPr="00DA6358">
        <w:lastRenderedPageBreak/>
        <w:t>Combining wetland assessments with records of Brolga breeding</w:t>
      </w:r>
    </w:p>
    <w:p w14:paraId="506248C3" w14:textId="77777777" w:rsidR="009D2459" w:rsidRPr="004F474D" w:rsidRDefault="009D2459" w:rsidP="009D2459">
      <w:pPr>
        <w:pStyle w:val="BodyText"/>
      </w:pPr>
      <w:r w:rsidRPr="004F474D">
        <w:t>Two types of habitats were defined based on the modelling undertaken and information collected or collated:</w:t>
      </w:r>
    </w:p>
    <w:p w14:paraId="658E435E" w14:textId="4E09E4CF" w:rsidR="009D2459" w:rsidRPr="001069F5" w:rsidRDefault="00034F8D" w:rsidP="001069F5">
      <w:pPr>
        <w:pStyle w:val="ListBullet"/>
        <w:contextualSpacing/>
      </w:pPr>
      <w:r>
        <w:t xml:space="preserve">Brolga breeding </w:t>
      </w:r>
      <w:r w:rsidRPr="00034F8D">
        <w:t>wetland that has had Brolga breeding either during the current investigations or in the past and is considered likely to provide Brolga breeding habitat in the future</w:t>
      </w:r>
    </w:p>
    <w:p w14:paraId="1DBB67E2" w14:textId="46E2CC2B" w:rsidR="009D2459" w:rsidRPr="001069F5" w:rsidRDefault="009949A0" w:rsidP="001069F5">
      <w:pPr>
        <w:pStyle w:val="ListBullet"/>
        <w:contextualSpacing/>
      </w:pPr>
      <w:r>
        <w:t xml:space="preserve">functional </w:t>
      </w:r>
      <w:r w:rsidR="00034F8D">
        <w:t>wetland</w:t>
      </w:r>
      <w:r w:rsidR="00395A74">
        <w:t>s</w:t>
      </w:r>
      <w:r w:rsidR="00034F8D">
        <w:t xml:space="preserve"> that</w:t>
      </w:r>
      <w:r w:rsidR="00034F8D" w:rsidRPr="00034F8D">
        <w:t xml:space="preserve"> </w:t>
      </w:r>
      <w:r w:rsidR="00395A74">
        <w:t>are</w:t>
      </w:r>
      <w:r w:rsidR="00034F8D" w:rsidRPr="00034F8D">
        <w:t xml:space="preserve"> considered to provide Brolga breeding habitat in the future </w:t>
      </w:r>
      <w:r w:rsidR="00034F8D">
        <w:t xml:space="preserve">based on </w:t>
      </w:r>
      <w:r w:rsidR="00395A74">
        <w:t>defined</w:t>
      </w:r>
      <w:r w:rsidR="00034F8D" w:rsidRPr="001069F5">
        <w:t xml:space="preserve"> wetland criteria</w:t>
      </w:r>
      <w:r w:rsidR="00034F8D">
        <w:t>,</w:t>
      </w:r>
      <w:r w:rsidR="00034F8D" w:rsidRPr="00034F8D">
        <w:t xml:space="preserve"> </w:t>
      </w:r>
      <w:r w:rsidR="00034F8D" w:rsidRPr="001069F5">
        <w:t xml:space="preserve">but </w:t>
      </w:r>
      <w:r w:rsidR="00034F8D">
        <w:t xml:space="preserve">which do not </w:t>
      </w:r>
      <w:r w:rsidR="00034F8D" w:rsidRPr="001069F5">
        <w:t xml:space="preserve">have </w:t>
      </w:r>
      <w:r w:rsidR="00395A74">
        <w:t>a</w:t>
      </w:r>
      <w:r w:rsidR="00034F8D">
        <w:t xml:space="preserve"> </w:t>
      </w:r>
      <w:r w:rsidR="00034F8D" w:rsidRPr="001069F5">
        <w:t>breeding record</w:t>
      </w:r>
      <w:r w:rsidR="00034F8D">
        <w:t>.</w:t>
      </w:r>
      <w:r w:rsidR="009D2459" w:rsidRPr="001069F5">
        <w:t xml:space="preserve"> </w:t>
      </w:r>
    </w:p>
    <w:p w14:paraId="73CAA884" w14:textId="1A0F859F" w:rsidR="009D2459" w:rsidRDefault="009D2459" w:rsidP="009D2459">
      <w:pPr>
        <w:pStyle w:val="BodyText"/>
      </w:pPr>
      <w:r w:rsidRPr="004F474D">
        <w:t xml:space="preserve">A total of </w:t>
      </w:r>
      <w:r w:rsidR="003F76B5">
        <w:t>28</w:t>
      </w:r>
      <w:r w:rsidR="005820FC" w:rsidRPr="004F474D">
        <w:t xml:space="preserve"> </w:t>
      </w:r>
      <w:r w:rsidR="006A265C">
        <w:t>sites</w:t>
      </w:r>
      <w:r w:rsidRPr="004F474D">
        <w:t xml:space="preserve"> </w:t>
      </w:r>
      <w:r w:rsidR="00522481">
        <w:t xml:space="preserve">associated with Brolga breeding records </w:t>
      </w:r>
      <w:r w:rsidRPr="004F474D">
        <w:t xml:space="preserve">within </w:t>
      </w:r>
      <w:r w:rsidR="006A265C">
        <w:t>the investigation area (i.e., around 10</w:t>
      </w:r>
      <w:r w:rsidR="009949A0">
        <w:t> </w:t>
      </w:r>
      <w:r w:rsidR="006A265C">
        <w:t xml:space="preserve">kilometres from the site) </w:t>
      </w:r>
      <w:r w:rsidRPr="004F474D">
        <w:t xml:space="preserve">were identified as </w:t>
      </w:r>
      <w:r w:rsidR="00522481">
        <w:t xml:space="preserve">possible </w:t>
      </w:r>
      <w:r w:rsidRPr="004F474D">
        <w:t xml:space="preserve">breeding sites based on the review of previous breeding records from databases, community consultations and field surveys. </w:t>
      </w:r>
      <w:r w:rsidR="003B2B47">
        <w:t>O</w:t>
      </w:r>
      <w:r w:rsidR="003B2B47" w:rsidRPr="0076695D">
        <w:t xml:space="preserve">f these 23 </w:t>
      </w:r>
      <w:r w:rsidR="00E61285">
        <w:t>were</w:t>
      </w:r>
      <w:r w:rsidR="003B2B47" w:rsidRPr="0076695D">
        <w:t xml:space="preserve"> attributed to a functional wetland</w:t>
      </w:r>
      <w:r w:rsidR="003B2B47">
        <w:t>.</w:t>
      </w:r>
      <w:r w:rsidR="003B2B47" w:rsidRPr="004F474D">
        <w:t xml:space="preserve"> </w:t>
      </w:r>
      <w:r w:rsidRPr="004F474D">
        <w:t xml:space="preserve">All historical records of breeding associated with a wetland were assumed to indicate sites where breeding could occur in the future. The only exception was where </w:t>
      </w:r>
      <w:r w:rsidR="00E72644">
        <w:t>a</w:t>
      </w:r>
      <w:r w:rsidR="00E72644" w:rsidRPr="004F474D">
        <w:t xml:space="preserve"> </w:t>
      </w:r>
      <w:r w:rsidRPr="004F474D">
        <w:t>historical record of breeding was located at a wetland that had been permanently drained</w:t>
      </w:r>
      <w:r w:rsidR="00B70838">
        <w:t xml:space="preserve"> as demonstrated through hydrological modelling and</w:t>
      </w:r>
      <w:r w:rsidR="00E72644">
        <w:t>/or</w:t>
      </w:r>
      <w:r w:rsidR="00B70838">
        <w:t xml:space="preserve"> field assessment</w:t>
      </w:r>
      <w:r w:rsidRPr="004F474D">
        <w:t>.</w:t>
      </w:r>
      <w:r w:rsidR="00B70838">
        <w:t xml:space="preserve"> </w:t>
      </w:r>
      <w:r w:rsidR="00C74294">
        <w:t>Six</w:t>
      </w:r>
      <w:r w:rsidR="00C74294" w:rsidRPr="004F474D">
        <w:t xml:space="preserve"> </w:t>
      </w:r>
      <w:r w:rsidRPr="004F474D">
        <w:t>of these</w:t>
      </w:r>
      <w:r w:rsidR="006A265C">
        <w:t xml:space="preserve"> sites</w:t>
      </w:r>
      <w:r w:rsidRPr="004F474D">
        <w:t xml:space="preserve"> are within </w:t>
      </w:r>
      <w:r w:rsidR="00C74294">
        <w:t>three</w:t>
      </w:r>
      <w:r w:rsidR="00C74294" w:rsidRPr="004F474D">
        <w:t xml:space="preserve"> </w:t>
      </w:r>
      <w:r w:rsidRPr="004F474D">
        <w:t xml:space="preserve">kilometres of </w:t>
      </w:r>
      <w:r w:rsidR="006A265C">
        <w:t>proposed wind turbines</w:t>
      </w:r>
      <w:r w:rsidRPr="004F474D">
        <w:t xml:space="preserve"> </w:t>
      </w:r>
      <w:r w:rsidR="00B70838">
        <w:t>with f</w:t>
      </w:r>
      <w:r w:rsidRPr="004F474D">
        <w:t xml:space="preserve">ive within an area described as the Cockatoo Swamp complex. Due to its large size and shape, wetland 12 (DELWP wetland 26028) </w:t>
      </w:r>
      <w:r w:rsidR="00B70838">
        <w:t>was</w:t>
      </w:r>
      <w:r w:rsidR="00B70838" w:rsidRPr="004F474D">
        <w:t xml:space="preserve"> </w:t>
      </w:r>
      <w:r w:rsidRPr="004F474D">
        <w:t>divided into three individual wetlands, W12w (western), W12c</w:t>
      </w:r>
      <w:r w:rsidR="009949A0">
        <w:t> </w:t>
      </w:r>
      <w:r w:rsidRPr="004F474D">
        <w:t>(central), and W12e (eastern). A further breeding wetland</w:t>
      </w:r>
      <w:r w:rsidR="00C74294">
        <w:t xml:space="preserve"> (</w:t>
      </w:r>
      <w:r w:rsidR="00C74294" w:rsidRPr="004F474D">
        <w:t>25816</w:t>
      </w:r>
      <w:r w:rsidR="00C74294">
        <w:t>)</w:t>
      </w:r>
      <w:r w:rsidRPr="004F474D">
        <w:t xml:space="preserve"> </w:t>
      </w:r>
      <w:r w:rsidR="00C74294">
        <w:t>is situated</w:t>
      </w:r>
      <w:r w:rsidR="00C74294" w:rsidRPr="004F474D">
        <w:t xml:space="preserve"> </w:t>
      </w:r>
      <w:r w:rsidRPr="004F474D">
        <w:t>to the east of the project.</w:t>
      </w:r>
    </w:p>
    <w:p w14:paraId="4420C160" w14:textId="674247C0" w:rsidR="00522481" w:rsidRDefault="00B70838" w:rsidP="00B70838">
      <w:r>
        <w:t>Based on the wetland assessments (both hydrological mo</w:t>
      </w:r>
      <w:r w:rsidR="00522481">
        <w:t xml:space="preserve">delling and field assessments) 11 seasonal wetland areas </w:t>
      </w:r>
      <w:r w:rsidR="00522481" w:rsidRPr="00502066">
        <w:t xml:space="preserve">and 3 farm dams </w:t>
      </w:r>
      <w:r w:rsidR="00522481" w:rsidRPr="00137A75">
        <w:t>within 3 kilometres of the project</w:t>
      </w:r>
      <w:r w:rsidR="00522481" w:rsidRPr="00502066">
        <w:t xml:space="preserve"> we</w:t>
      </w:r>
      <w:r w:rsidR="00522481">
        <w:t xml:space="preserve">re assessed to be </w:t>
      </w:r>
      <w:r w:rsidR="00522481" w:rsidRPr="009C2B10">
        <w:t xml:space="preserve">suitable Brolga </w:t>
      </w:r>
      <w:r w:rsidR="00E72644">
        <w:t>habitat,</w:t>
      </w:r>
      <w:r w:rsidR="00E72644" w:rsidRPr="009C2B10">
        <w:t xml:space="preserve"> </w:t>
      </w:r>
      <w:r w:rsidR="00522481" w:rsidRPr="009C2B10">
        <w:t xml:space="preserve">including the </w:t>
      </w:r>
      <w:r w:rsidR="00522481">
        <w:t>six</w:t>
      </w:r>
      <w:r w:rsidR="00522481" w:rsidRPr="009C2B10">
        <w:t xml:space="preserve"> sites </w:t>
      </w:r>
      <w:r w:rsidR="00522481">
        <w:t xml:space="preserve">defined </w:t>
      </w:r>
      <w:r w:rsidR="00E72644">
        <w:t>as</w:t>
      </w:r>
      <w:r w:rsidR="00522481">
        <w:t xml:space="preserve"> </w:t>
      </w:r>
      <w:r w:rsidR="00522481" w:rsidRPr="009C2B10">
        <w:t xml:space="preserve">Brolga </w:t>
      </w:r>
      <w:r w:rsidR="00E72644">
        <w:t>breeding wetlands</w:t>
      </w:r>
      <w:r w:rsidR="00522481" w:rsidRPr="009C2B10">
        <w:t>.</w:t>
      </w:r>
      <w:r w:rsidR="00522481" w:rsidRPr="00522481">
        <w:t xml:space="preserve"> </w:t>
      </w:r>
      <w:r w:rsidR="00522481" w:rsidRPr="004F474D">
        <w:t xml:space="preserve">The remaining </w:t>
      </w:r>
      <w:r w:rsidR="00522481">
        <w:t>five</w:t>
      </w:r>
      <w:r w:rsidR="00522481" w:rsidRPr="004F474D">
        <w:t xml:space="preserve"> wetlands </w:t>
      </w:r>
      <w:r w:rsidR="00522481">
        <w:t xml:space="preserve">and three farm dams </w:t>
      </w:r>
      <w:r w:rsidR="00522481" w:rsidRPr="004F474D">
        <w:t xml:space="preserve">met the Brolga wetland habitat criteria but have no </w:t>
      </w:r>
      <w:r w:rsidR="00E72644">
        <w:t xml:space="preserve">previous </w:t>
      </w:r>
      <w:r w:rsidR="00522481" w:rsidRPr="004F474D">
        <w:t>breeding record associated with them</w:t>
      </w:r>
      <w:r w:rsidR="00E72644">
        <w:t>, including when they have been suitable in the last 10 years of targeted project-related field surveys of the species</w:t>
      </w:r>
      <w:r w:rsidR="00522481" w:rsidRPr="004F474D">
        <w:t>.</w:t>
      </w:r>
    </w:p>
    <w:p w14:paraId="33BA6150" w14:textId="77777777" w:rsidR="009D2459" w:rsidRPr="001069F5" w:rsidRDefault="009D2459" w:rsidP="001069F5">
      <w:pPr>
        <w:pStyle w:val="Heading3"/>
      </w:pPr>
      <w:bookmarkStart w:id="143" w:name="_Toc103008590"/>
      <w:bookmarkStart w:id="144" w:name="_Toc103020632"/>
      <w:bookmarkStart w:id="145" w:name="_Toc103008591"/>
      <w:bookmarkStart w:id="146" w:name="_Toc103020633"/>
      <w:bookmarkStart w:id="147" w:name="_Ref81914107"/>
      <w:bookmarkStart w:id="148" w:name="_Toc83307407"/>
      <w:bookmarkStart w:id="149" w:name="_Toc104909275"/>
      <w:bookmarkEnd w:id="143"/>
      <w:bookmarkEnd w:id="144"/>
      <w:bookmarkEnd w:id="145"/>
      <w:bookmarkEnd w:id="146"/>
      <w:r w:rsidRPr="001069F5">
        <w:t>Flight behaviour and movements</w:t>
      </w:r>
      <w:bookmarkEnd w:id="147"/>
      <w:bookmarkEnd w:id="148"/>
      <w:bookmarkEnd w:id="149"/>
    </w:p>
    <w:p w14:paraId="10341507" w14:textId="2B16C4A5" w:rsidR="009D2459" w:rsidRPr="004F474D" w:rsidRDefault="009D2459" w:rsidP="009D2459">
      <w:pPr>
        <w:pStyle w:val="BodyText"/>
      </w:pPr>
      <w:r w:rsidRPr="004F474D">
        <w:t>The behaviour of Brolga and how they move in the environment is important in predicting potential impacts from the project. Flight behaviour and movement data of nesting Brolga were recorded during the 2018 field surveys to gather site-specific data. However, due to only one breeding pair being located</w:t>
      </w:r>
      <w:r w:rsidR="00B86FBD">
        <w:t xml:space="preserve"> during this time</w:t>
      </w:r>
      <w:r w:rsidRPr="004F474D">
        <w:t>, a statistically robust dataset</w:t>
      </w:r>
      <w:r w:rsidR="00B86FBD">
        <w:t xml:space="preserve"> could not be collected</w:t>
      </w:r>
      <w:r w:rsidRPr="004F474D">
        <w:t xml:space="preserve">. </w:t>
      </w:r>
    </w:p>
    <w:p w14:paraId="7A859AAF" w14:textId="150E339F" w:rsidR="009D2459" w:rsidRPr="00E62F51" w:rsidRDefault="009D2459" w:rsidP="009D2459">
      <w:pPr>
        <w:pStyle w:val="BodyText"/>
      </w:pPr>
      <w:bookmarkStart w:id="150" w:name="PasteHere"/>
      <w:bookmarkStart w:id="151" w:name="_Hlk80192462"/>
      <w:bookmarkEnd w:id="150"/>
      <w:r w:rsidRPr="00E62F51">
        <w:t>Flight behaviour data of Brolga has been gathered by Nature Advisory over a period of 15 years in southwest Victoria. Monitoring included observations of 24 breeding Brolga pairs taking 163 flights. For each breeding pair there was at least one</w:t>
      </w:r>
      <w:r w:rsidR="00E72644" w:rsidRPr="00E62F51">
        <w:t>12-hour</w:t>
      </w:r>
      <w:r w:rsidRPr="00E62F51">
        <w:t xml:space="preserve"> period of continuous observation and three separate four hour observation periods. This mix of observation periods aimed to gather representative data on Brolga flights from breeding wetlands. Data was collected on:</w:t>
      </w:r>
    </w:p>
    <w:p w14:paraId="728C1DE9" w14:textId="77777777" w:rsidR="009D2459" w:rsidRPr="001069F5" w:rsidRDefault="009D2459" w:rsidP="001069F5">
      <w:pPr>
        <w:pStyle w:val="ListBullet"/>
        <w:contextualSpacing/>
      </w:pPr>
      <w:r w:rsidRPr="001069F5">
        <w:t>time spent in the breeding wetland</w:t>
      </w:r>
    </w:p>
    <w:p w14:paraId="04647B0B" w14:textId="77777777" w:rsidR="009D2459" w:rsidRPr="001069F5" w:rsidRDefault="009D2459" w:rsidP="001069F5">
      <w:pPr>
        <w:pStyle w:val="ListBullet"/>
        <w:contextualSpacing/>
      </w:pPr>
      <w:r w:rsidRPr="001069F5">
        <w:t>flight times (outward and return)</w:t>
      </w:r>
    </w:p>
    <w:p w14:paraId="1DD1112A" w14:textId="77777777" w:rsidR="009D2459" w:rsidRPr="001069F5" w:rsidRDefault="009D2459" w:rsidP="001069F5">
      <w:pPr>
        <w:pStyle w:val="ListBullet"/>
        <w:contextualSpacing/>
      </w:pPr>
      <w:r w:rsidRPr="001069F5">
        <w:t>height flown</w:t>
      </w:r>
    </w:p>
    <w:p w14:paraId="788C4CA0" w14:textId="77777777" w:rsidR="009D2459" w:rsidRPr="001069F5" w:rsidRDefault="009D2459" w:rsidP="001069F5">
      <w:pPr>
        <w:pStyle w:val="ListBullet"/>
        <w:contextualSpacing/>
      </w:pPr>
      <w:r w:rsidRPr="001069F5">
        <w:t>distance flown</w:t>
      </w:r>
    </w:p>
    <w:p w14:paraId="39648432" w14:textId="77777777" w:rsidR="009D2459" w:rsidRPr="001069F5" w:rsidRDefault="009D2459" w:rsidP="001069F5">
      <w:pPr>
        <w:pStyle w:val="ListBullet"/>
        <w:contextualSpacing/>
      </w:pPr>
      <w:r w:rsidRPr="001069F5">
        <w:t xml:space="preserve">destination habitat. </w:t>
      </w:r>
    </w:p>
    <w:p w14:paraId="6030458F" w14:textId="77777777" w:rsidR="009D2459" w:rsidRPr="00E62F51" w:rsidRDefault="009D2459" w:rsidP="009D2459">
      <w:pPr>
        <w:pStyle w:val="BodyText"/>
      </w:pPr>
      <w:r w:rsidRPr="00E62F51">
        <w:t>This data set was used to inform collision risk modelling and in particular the distance that Brolgas fly from breeding wetlands.</w:t>
      </w:r>
    </w:p>
    <w:bookmarkEnd w:id="151"/>
    <w:p w14:paraId="36E95F28" w14:textId="71E5FFC1" w:rsidR="009D2459" w:rsidRPr="00E62F51" w:rsidRDefault="009D2459" w:rsidP="009D2459">
      <w:pPr>
        <w:pStyle w:val="BodyText"/>
      </w:pPr>
      <w:r w:rsidRPr="00E62F51">
        <w:t xml:space="preserve">Monitoring found that 54% of Brolga flights were within 400 metres, 71% within 800 metres, and 86% within 1,600 metres of the breeding wetland. The remaining flights (14%) were between 1,600 and 3,200 metres. </w:t>
      </w:r>
      <w:r w:rsidR="00E72644">
        <w:t>T</w:t>
      </w:r>
      <w:r w:rsidRPr="00E62F51">
        <w:t xml:space="preserve">he distribution of flights by distance is shown in </w:t>
      </w:r>
      <w:r w:rsidRPr="00E62F51">
        <w:fldChar w:fldCharType="begin"/>
      </w:r>
      <w:r w:rsidRPr="00E62F51">
        <w:instrText xml:space="preserve"> REF _Ref81822210 \h </w:instrText>
      </w:r>
      <w:r w:rsidRPr="00E62F51">
        <w:fldChar w:fldCharType="separate"/>
      </w:r>
      <w:r w:rsidR="00C053A5" w:rsidRPr="00DA6358">
        <w:t xml:space="preserve">Figure </w:t>
      </w:r>
      <w:r w:rsidR="00C053A5">
        <w:rPr>
          <w:noProof/>
        </w:rPr>
        <w:t>11</w:t>
      </w:r>
      <w:r w:rsidR="00C053A5" w:rsidRPr="00DA6358">
        <w:t>.</w:t>
      </w:r>
      <w:r w:rsidR="00C053A5">
        <w:rPr>
          <w:noProof/>
        </w:rPr>
        <w:t>8</w:t>
      </w:r>
      <w:r w:rsidRPr="00E62F51">
        <w:fldChar w:fldCharType="end"/>
      </w:r>
      <w:r w:rsidRPr="00E62F51">
        <w:t>.</w:t>
      </w:r>
    </w:p>
    <w:p w14:paraId="31F46410" w14:textId="401FE059" w:rsidR="009D2459" w:rsidRDefault="009D2459" w:rsidP="009D2459">
      <w:pPr>
        <w:pStyle w:val="BodyText"/>
      </w:pPr>
      <w:r w:rsidRPr="00E62F51">
        <w:t>Estimates of maximum flight heights were also recorded. These showed that approximately 50% of Brolga flights during the breeding season were 10 metres or less. Approximately 70% of Brolga flights during this period were 20 metres or less and 91% were 30 metres or less.</w:t>
      </w:r>
      <w:r w:rsidR="009949A0">
        <w:t xml:space="preserve"> </w:t>
      </w:r>
      <w:r w:rsidR="00E72644">
        <w:t>Remaining</w:t>
      </w:r>
      <w:r w:rsidRPr="00E62F51">
        <w:t xml:space="preserve"> flights </w:t>
      </w:r>
      <w:r w:rsidR="00E72644">
        <w:t xml:space="preserve">were </w:t>
      </w:r>
      <w:r w:rsidRPr="00E62F51">
        <w:t>at or above 40</w:t>
      </w:r>
      <w:r w:rsidR="00DA6358">
        <w:t> </w:t>
      </w:r>
      <w:r w:rsidRPr="00E62F51">
        <w:t>metres in height (</w:t>
      </w:r>
      <w:r w:rsidR="00DA6358">
        <w:fldChar w:fldCharType="begin"/>
      </w:r>
      <w:r w:rsidR="00DA6358">
        <w:instrText xml:space="preserve"> REF _Ref88555252 \h </w:instrText>
      </w:r>
      <w:r w:rsidR="00DA6358">
        <w:fldChar w:fldCharType="separate"/>
      </w:r>
      <w:r w:rsidR="00C053A5" w:rsidRPr="00DA6358">
        <w:t xml:space="preserve">Figure </w:t>
      </w:r>
      <w:r w:rsidR="00C053A5">
        <w:rPr>
          <w:noProof/>
        </w:rPr>
        <w:t>11</w:t>
      </w:r>
      <w:r w:rsidR="00C053A5" w:rsidRPr="00DA6358">
        <w:t>.</w:t>
      </w:r>
      <w:r w:rsidR="00C053A5">
        <w:rPr>
          <w:noProof/>
        </w:rPr>
        <w:t>9</w:t>
      </w:r>
      <w:r w:rsidR="00DA6358">
        <w:fldChar w:fldCharType="end"/>
      </w:r>
      <w:r w:rsidRPr="00E62F51">
        <w:t xml:space="preserve">). </w:t>
      </w:r>
    </w:p>
    <w:p w14:paraId="60D0FEA0" w14:textId="51CCDA40" w:rsidR="0012604A" w:rsidRPr="0012604A" w:rsidRDefault="0012604A" w:rsidP="009949A0">
      <w:pPr>
        <w:pStyle w:val="Image"/>
      </w:pPr>
      <w:r>
        <w:rPr>
          <w:noProof/>
        </w:rPr>
        <w:lastRenderedPageBreak/>
        <w:drawing>
          <wp:inline distT="0" distB="0" distL="0" distR="0" wp14:anchorId="3ADD9A66" wp14:editId="0AAD3D30">
            <wp:extent cx="5760085" cy="2892425"/>
            <wp:effectExtent l="0" t="0" r="0" b="3175"/>
            <wp:docPr id="19" name="Picture 19" descr="Bar chart showing the flight distances of Brolga in relation to the proportion of fl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Bar chart showing the flight distances of Brolga in relation to the proportion of flights"/>
                    <pic:cNvPicPr/>
                  </pic:nvPicPr>
                  <pic:blipFill>
                    <a:blip r:embed="rId24"/>
                    <a:stretch>
                      <a:fillRect/>
                    </a:stretch>
                  </pic:blipFill>
                  <pic:spPr>
                    <a:xfrm>
                      <a:off x="0" y="0"/>
                      <a:ext cx="5760085" cy="2892425"/>
                    </a:xfrm>
                    <a:prstGeom prst="rect">
                      <a:avLst/>
                    </a:prstGeom>
                  </pic:spPr>
                </pic:pic>
              </a:graphicData>
            </a:graphic>
          </wp:inline>
        </w:drawing>
      </w:r>
    </w:p>
    <w:p w14:paraId="74EE68C7" w14:textId="60F1EB5C" w:rsidR="009D2459" w:rsidRPr="00DA6358" w:rsidRDefault="009D2459" w:rsidP="00DA6358">
      <w:pPr>
        <w:pStyle w:val="Caption"/>
        <w:keepNext w:val="0"/>
      </w:pPr>
      <w:bookmarkStart w:id="152" w:name="_Ref81822210"/>
      <w:bookmarkStart w:id="153" w:name="_Toc83307481"/>
      <w:bookmarkStart w:id="154" w:name="_Toc104909296"/>
      <w:r w:rsidRPr="00DA6358">
        <w:t xml:space="preserve">Figure </w:t>
      </w:r>
      <w:r w:rsidR="00EB48E9">
        <w:fldChar w:fldCharType="begin"/>
      </w:r>
      <w:r w:rsidR="00EB48E9">
        <w:instrText xml:space="preserve"> STYLEREF 1 \s </w:instrText>
      </w:r>
      <w:r w:rsidR="00EB48E9">
        <w:fldChar w:fldCharType="separate"/>
      </w:r>
      <w:r w:rsidR="00C053A5">
        <w:rPr>
          <w:noProof/>
        </w:rPr>
        <w:t>11</w:t>
      </w:r>
      <w:r w:rsidR="00EB48E9">
        <w:rPr>
          <w:noProof/>
        </w:rPr>
        <w:fldChar w:fldCharType="end"/>
      </w:r>
      <w:r w:rsidRPr="00DA6358">
        <w:t>.</w:t>
      </w:r>
      <w:r w:rsidR="00EB48E9">
        <w:fldChar w:fldCharType="begin"/>
      </w:r>
      <w:r w:rsidR="00EB48E9">
        <w:instrText xml:space="preserve"> SEQ Figure \* ARABIC \s 1 </w:instrText>
      </w:r>
      <w:r w:rsidR="00EB48E9">
        <w:fldChar w:fldCharType="separate"/>
      </w:r>
      <w:r w:rsidR="00C053A5">
        <w:rPr>
          <w:noProof/>
        </w:rPr>
        <w:t>8</w:t>
      </w:r>
      <w:r w:rsidR="00EB48E9">
        <w:rPr>
          <w:noProof/>
        </w:rPr>
        <w:fldChar w:fldCharType="end"/>
      </w:r>
      <w:bookmarkEnd w:id="152"/>
      <w:r w:rsidR="00DA6358">
        <w:tab/>
      </w:r>
      <w:r w:rsidRPr="00DA6358">
        <w:t>Flight distances from Brolga nest</w:t>
      </w:r>
      <w:bookmarkEnd w:id="153"/>
      <w:bookmarkEnd w:id="154"/>
    </w:p>
    <w:p w14:paraId="793693F9" w14:textId="77777777" w:rsidR="009D2459" w:rsidRPr="00E62F51" w:rsidRDefault="009D2459" w:rsidP="00DA6358">
      <w:pPr>
        <w:pStyle w:val="Image"/>
      </w:pPr>
      <w:bookmarkStart w:id="155" w:name="_Ref81822218"/>
      <w:bookmarkStart w:id="156" w:name="_Ref78798218"/>
      <w:r w:rsidRPr="00E62F51">
        <w:rPr>
          <w:noProof/>
        </w:rPr>
        <w:drawing>
          <wp:inline distT="0" distB="0" distL="0" distR="0" wp14:anchorId="7B0A06F0" wp14:editId="29E351E7">
            <wp:extent cx="5760000" cy="3103649"/>
            <wp:effectExtent l="0" t="0" r="0" b="1905"/>
            <wp:docPr id="11" name="Picture 11" descr="Bar chart showing the number of Brolga flights recorded against flight height, with a wind turbine graphic indicating blade tip height in relation to Brolga flight h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Bar chart showing the number of Brolga flights recorded against flight height, with a wind turbine graphic indicating blade tip height in relation to Brolga flight heigh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000" cy="3103649"/>
                    </a:xfrm>
                    <a:prstGeom prst="rect">
                      <a:avLst/>
                    </a:prstGeom>
                  </pic:spPr>
                </pic:pic>
              </a:graphicData>
            </a:graphic>
          </wp:inline>
        </w:drawing>
      </w:r>
    </w:p>
    <w:p w14:paraId="3DD7B70F" w14:textId="409CE49F" w:rsidR="009D2459" w:rsidRDefault="009D2459" w:rsidP="009949A0">
      <w:pPr>
        <w:pStyle w:val="Caption"/>
        <w:keepNext w:val="0"/>
      </w:pPr>
      <w:bookmarkStart w:id="157" w:name="_Ref88555252"/>
      <w:bookmarkStart w:id="158" w:name="_Toc83307482"/>
      <w:bookmarkStart w:id="159" w:name="_Toc104909297"/>
      <w:r w:rsidRPr="00DA6358">
        <w:t xml:space="preserve">Figure </w:t>
      </w:r>
      <w:r w:rsidR="00EB48E9">
        <w:fldChar w:fldCharType="begin"/>
      </w:r>
      <w:r w:rsidR="00EB48E9">
        <w:instrText xml:space="preserve"> STYLEREF 1 \s </w:instrText>
      </w:r>
      <w:r w:rsidR="00EB48E9">
        <w:fldChar w:fldCharType="separate"/>
      </w:r>
      <w:r w:rsidR="00C053A5">
        <w:rPr>
          <w:noProof/>
        </w:rPr>
        <w:t>11</w:t>
      </w:r>
      <w:r w:rsidR="00EB48E9">
        <w:rPr>
          <w:noProof/>
        </w:rPr>
        <w:fldChar w:fldCharType="end"/>
      </w:r>
      <w:r w:rsidRPr="00DA6358">
        <w:t>.</w:t>
      </w:r>
      <w:r w:rsidR="00EB48E9">
        <w:fldChar w:fldCharType="begin"/>
      </w:r>
      <w:r w:rsidR="00EB48E9">
        <w:instrText xml:space="preserve"> SEQ Figure \* ARABIC \s 1 </w:instrText>
      </w:r>
      <w:r w:rsidR="00EB48E9">
        <w:fldChar w:fldCharType="separate"/>
      </w:r>
      <w:r w:rsidR="00C053A5">
        <w:rPr>
          <w:noProof/>
        </w:rPr>
        <w:t>9</w:t>
      </w:r>
      <w:r w:rsidR="00EB48E9">
        <w:rPr>
          <w:noProof/>
        </w:rPr>
        <w:fldChar w:fldCharType="end"/>
      </w:r>
      <w:bookmarkEnd w:id="155"/>
      <w:bookmarkEnd w:id="156"/>
      <w:bookmarkEnd w:id="157"/>
      <w:r w:rsidRPr="00DA6358">
        <w:tab/>
        <w:t>Brolga flight observations</w:t>
      </w:r>
      <w:bookmarkEnd w:id="158"/>
      <w:bookmarkEnd w:id="159"/>
    </w:p>
    <w:p w14:paraId="1796A12E" w14:textId="2EE1E0F0" w:rsidR="009D2459" w:rsidRPr="00E62F51" w:rsidRDefault="009B4F20" w:rsidP="009D2459">
      <w:pPr>
        <w:pStyle w:val="BodyText"/>
      </w:pPr>
      <w:r w:rsidRPr="00804F82">
        <w:rPr>
          <w:noProof/>
        </w:rPr>
        <w:lastRenderedPageBreak/>
        <mc:AlternateContent>
          <mc:Choice Requires="wps">
            <w:drawing>
              <wp:anchor distT="0" distB="107950" distL="114300" distR="114300" simplePos="0" relativeHeight="251659264" behindDoc="0" locked="0" layoutInCell="1" allowOverlap="1" wp14:anchorId="209459B3" wp14:editId="0738B00E">
                <wp:simplePos x="0" y="0"/>
                <wp:positionH relativeFrom="margin">
                  <wp:align>right</wp:align>
                </wp:positionH>
                <wp:positionV relativeFrom="paragraph">
                  <wp:posOffset>6985</wp:posOffset>
                </wp:positionV>
                <wp:extent cx="2498400" cy="2570400"/>
                <wp:effectExtent l="0" t="0" r="16510" b="20955"/>
                <wp:wrapSquare wrapText="bothSides"/>
                <wp:docPr id="15" name="Rectangle: Rounded Corners 15" descr="Home range is a biological concept the area in which an animal lives and moves in space and time. Home ranges can be predicted using a number of statistical methods such as utilisation distributions. &#10;Utilisation distribution is estimated from data sampling the location of an individual or individuals in space over a period of time using, for example, GPS tracking methods. It results in a probability distribution that an animal is found at a given point in space. "/>
                <wp:cNvGraphicFramePr/>
                <a:graphic xmlns:a="http://schemas.openxmlformats.org/drawingml/2006/main">
                  <a:graphicData uri="http://schemas.microsoft.com/office/word/2010/wordprocessingShape">
                    <wps:wsp>
                      <wps:cNvSpPr/>
                      <wps:spPr>
                        <a:xfrm>
                          <a:off x="0" y="0"/>
                          <a:ext cx="2498400" cy="2570400"/>
                        </a:xfrm>
                        <a:prstGeom prst="roundRect">
                          <a:avLst/>
                        </a:prstGeom>
                        <a:solidFill>
                          <a:schemeClr val="tx2">
                            <a:lumMod val="10000"/>
                            <a:lumOff val="90000"/>
                          </a:schemeClr>
                        </a:solidFill>
                        <a:ln>
                          <a:solidFill>
                            <a:srgbClr val="9E9E9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341FE1" w14:textId="637F4166" w:rsidR="00BC4B9A" w:rsidRPr="00BC4B9A" w:rsidRDefault="00BC4B9A" w:rsidP="00E61285">
                            <w:pPr>
                              <w:pStyle w:val="PullOutBoxText"/>
                            </w:pPr>
                            <w:r>
                              <w:rPr>
                                <w:b/>
                                <w:bCs/>
                              </w:rPr>
                              <w:t xml:space="preserve">Home range </w:t>
                            </w:r>
                            <w:r>
                              <w:t xml:space="preserve">is a biological concept </w:t>
                            </w:r>
                            <w:r w:rsidRPr="00BC4B9A">
                              <w:t xml:space="preserve">the area in which an animal lives and moves </w:t>
                            </w:r>
                            <w:r>
                              <w:t xml:space="preserve">in space and time. Home ranges can </w:t>
                            </w:r>
                            <w:r w:rsidR="00391774">
                              <w:t>be predicted</w:t>
                            </w:r>
                            <w:r>
                              <w:t xml:space="preserve"> using a number of statistical methods such as utilisation distributions. </w:t>
                            </w:r>
                          </w:p>
                          <w:p w14:paraId="313AD5FD" w14:textId="14D4BBC5" w:rsidR="00E61285" w:rsidRPr="00063680" w:rsidRDefault="00E61285" w:rsidP="00E61285">
                            <w:pPr>
                              <w:pStyle w:val="PullOutBoxText"/>
                            </w:pPr>
                            <w:r>
                              <w:rPr>
                                <w:b/>
                                <w:bCs/>
                              </w:rPr>
                              <w:t>Utilisation distribution</w:t>
                            </w:r>
                            <w:r w:rsidRPr="00D86353">
                              <w:t xml:space="preserve"> </w:t>
                            </w:r>
                            <w:r w:rsidR="00AC4EFA">
                              <w:t xml:space="preserve">is </w:t>
                            </w:r>
                            <w:r w:rsidR="00AC4EFA" w:rsidRPr="00E61285">
                              <w:t xml:space="preserve">estimated from data sampling the location of an individual or individuals in space over a period of time using, for example, GPS </w:t>
                            </w:r>
                            <w:r w:rsidR="00AC4EFA">
                              <w:t>tracking</w:t>
                            </w:r>
                            <w:r w:rsidR="00AC4EFA" w:rsidRPr="00E61285">
                              <w:t xml:space="preserve"> methods</w:t>
                            </w:r>
                            <w:r w:rsidR="00AC4EFA">
                              <w:t xml:space="preserve">. It results in </w:t>
                            </w:r>
                            <w:r w:rsidRPr="00E61285">
                              <w:t xml:space="preserve">a probability distribution that an animal is found at a given point in space.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9459B3" id="Rectangle: Rounded Corners 15" o:spid="_x0000_s1026" alt="Home range is a biological concept the area in which an animal lives and moves in space and time. Home ranges can be predicted using a number of statistical methods such as utilisation distributions. &#10;Utilisation distribution is estimated from data sampling the location of an individual or individuals in space over a period of time using, for example, GPS tracking methods. It results in a probability distribution that an animal is found at a given point in space. " style="position:absolute;margin-left:145.5pt;margin-top:.55pt;width:196.7pt;height:202.4pt;z-index:251659264;visibility:visible;mso-wrap-style:square;mso-width-percent:0;mso-height-percent:0;mso-wrap-distance-left:9pt;mso-wrap-distance-top:0;mso-wrap-distance-right:9pt;mso-wrap-distance-bottom:8.5pt;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" fillcolor="#e3eaf1 [351]" strokecolor="#9e9e9d" strokeweight="1pt">
                <v:stroke joinstyle="miter"/>
                <v:textbox>
                  <w:txbxContent>
                    <w:p w14:paraId="40341FE1" w14:textId="637F4166" w:rsidR="00BC4B9A" w:rsidRPr="00BC4B9A" w:rsidRDefault="00BC4B9A" w:rsidP="00E61285">
                      <w:pPr>
                        <w:pStyle w:val="PullOutBoxText"/>
                      </w:pPr>
                      <w:r>
                        <w:rPr>
                          <w:b/>
                          <w:bCs/>
                        </w:rPr>
                        <w:t xml:space="preserve">Home range </w:t>
                      </w:r>
                      <w:r>
                        <w:t xml:space="preserve">is a biological concept </w:t>
                      </w:r>
                      <w:r w:rsidRPr="00BC4B9A">
                        <w:t xml:space="preserve">the area in which an animal lives and moves </w:t>
                      </w:r>
                      <w:r>
                        <w:t xml:space="preserve">in space and time. Home ranges can </w:t>
                      </w:r>
                      <w:r w:rsidR="00391774">
                        <w:t>be predicted</w:t>
                      </w:r>
                      <w:r>
                        <w:t xml:space="preserve"> using a number of statistical methods such as utilisation distributions. </w:t>
                      </w:r>
                    </w:p>
                    <w:p w14:paraId="313AD5FD" w14:textId="14D4BBC5" w:rsidR="00E61285" w:rsidRPr="00063680" w:rsidRDefault="00E61285" w:rsidP="00E61285">
                      <w:pPr>
                        <w:pStyle w:val="PullOutBoxText"/>
                      </w:pPr>
                      <w:r>
                        <w:rPr>
                          <w:b/>
                          <w:bCs/>
                        </w:rPr>
                        <w:t>Utilisation distribution</w:t>
                      </w:r>
                      <w:r w:rsidRPr="00D86353">
                        <w:t xml:space="preserve"> </w:t>
                      </w:r>
                      <w:r w:rsidR="00AC4EFA">
                        <w:t xml:space="preserve">is </w:t>
                      </w:r>
                      <w:r w:rsidR="00AC4EFA" w:rsidRPr="00E61285">
                        <w:t xml:space="preserve">estimated from data sampling the location of an individual or individuals in space over a period of time using, for example, GPS </w:t>
                      </w:r>
                      <w:r w:rsidR="00AC4EFA">
                        <w:t>tracking</w:t>
                      </w:r>
                      <w:r w:rsidR="00AC4EFA" w:rsidRPr="00E61285">
                        <w:t xml:space="preserve"> methods</w:t>
                      </w:r>
                      <w:r w:rsidR="00AC4EFA">
                        <w:t xml:space="preserve">. It results in </w:t>
                      </w:r>
                      <w:r w:rsidRPr="00E61285">
                        <w:t xml:space="preserve">a probability distribution that an animal is found at a given point in space. </w:t>
                      </w:r>
                    </w:p>
                  </w:txbxContent>
                </v:textbox>
                <w10:wrap type="square" anchorx="margin"/>
              </v:roundrect>
            </w:pict>
          </mc:Fallback>
        </mc:AlternateContent>
      </w:r>
      <w:r w:rsidR="009D2459" w:rsidRPr="00E62F51">
        <w:t>Nature Advisory also recorded the habitat where Brolgas landed. This showed that Brolgas had no preference for a particular habitat when flying up to 400 metres from their breeding site. However, where Brolgas flew more than 400 metres from the breeding wetland the Brolga were significantly more likely to fly to a neighbouring wetland compared to other non-wetland habitats (</w:t>
      </w:r>
      <w:r w:rsidR="00C06232">
        <w:t>e.g.</w:t>
      </w:r>
      <w:r w:rsidR="000C5E8B">
        <w:t>,</w:t>
      </w:r>
      <w:r w:rsidR="009D2459" w:rsidRPr="00E62F51">
        <w:t xml:space="preserve"> pasture, grassland etc) (Appendix</w:t>
      </w:r>
      <w:r w:rsidR="00DA6358">
        <w:t> </w:t>
      </w:r>
      <w:r w:rsidR="009D2459" w:rsidRPr="00E62F51">
        <w:t>C1</w:t>
      </w:r>
      <w:r w:rsidR="001250D4">
        <w:t xml:space="preserve"> – </w:t>
      </w:r>
      <w:r w:rsidR="001250D4" w:rsidRPr="00E04EDB">
        <w:rPr>
          <w:i/>
          <w:iCs/>
        </w:rPr>
        <w:t>Brolga</w:t>
      </w:r>
      <w:r w:rsidR="009D2459" w:rsidRPr="00E62F51">
        <w:t>). The preference became stronger with increasing distance from the breeding site. Nature Advisory concluded that during the breeding season, Brolgas spend the majority of time foraging within the nesting site wetland and the immediately adjacent pasture. The longer distance flights observed of more than 400 metres showed a preference for wetland habitat.</w:t>
      </w:r>
    </w:p>
    <w:p w14:paraId="08B21650" w14:textId="65AEB8B5" w:rsidR="009D2459" w:rsidRPr="00E62F51" w:rsidRDefault="009D2459" w:rsidP="009D2459">
      <w:pPr>
        <w:pStyle w:val="BodyText"/>
      </w:pPr>
      <w:r w:rsidRPr="00E62F51">
        <w:t xml:space="preserve">The spatial distribution and home ranges of Brolga was recently investigated by </w:t>
      </w:r>
      <w:proofErr w:type="spellStart"/>
      <w:r w:rsidRPr="00E62F51">
        <w:t>Veltheim</w:t>
      </w:r>
      <w:proofErr w:type="spellEnd"/>
      <w:r w:rsidRPr="00130B8B">
        <w:rPr>
          <w:iCs/>
        </w:rPr>
        <w:t xml:space="preserve"> </w:t>
      </w:r>
      <w:r w:rsidRPr="00007903">
        <w:rPr>
          <w:iCs/>
        </w:rPr>
        <w:t>et al.</w:t>
      </w:r>
      <w:r w:rsidRPr="00E62F51">
        <w:t xml:space="preserve"> (2019). GPS</w:t>
      </w:r>
      <w:r w:rsidR="009949A0">
        <w:t> </w:t>
      </w:r>
      <w:r w:rsidRPr="00E62F51">
        <w:t>transmitters were fitted to eleven pre-fledged Brolga chicks at breeding sites in Victoria. Brolga</w:t>
      </w:r>
      <w:r w:rsidR="009949A0">
        <w:t> </w:t>
      </w:r>
      <w:r w:rsidRPr="00E62F51">
        <w:t>families roost and forage together, so the data were considered representative of the adult breeding pair and chick movements (on the ground). Satellite tags recorded four GPS fixes per day: morning (8:00), midday (12:00), late afternoon (16:00) and evening (23:00). It is important to note that this research is based on the location of Brolga chicks, which are largely ground based until they are close to fledging age.</w:t>
      </w:r>
    </w:p>
    <w:p w14:paraId="330EC22C" w14:textId="4CC64857" w:rsidR="009D2459" w:rsidRDefault="009D2459" w:rsidP="009D2459">
      <w:pPr>
        <w:pStyle w:val="BodyText"/>
      </w:pPr>
      <w:proofErr w:type="spellStart"/>
      <w:r w:rsidRPr="00E62F51">
        <w:t>Veltheim</w:t>
      </w:r>
      <w:proofErr w:type="spellEnd"/>
      <w:r w:rsidRPr="00E62F51">
        <w:t xml:space="preserve"> </w:t>
      </w:r>
      <w:r w:rsidRPr="00007903">
        <w:rPr>
          <w:iCs/>
        </w:rPr>
        <w:t>et al.</w:t>
      </w:r>
      <w:r w:rsidRPr="00E62F51">
        <w:t xml:space="preserve"> (2019) found that Brolgas used either single or multiple wetlands depending on the habitat available. Those birds using multiple wetlands either switched between them or relocated permanently. Brolga chicks moved on average 442 metres to and from night roost wetlands</w:t>
      </w:r>
      <w:r w:rsidR="00F72B39">
        <w:t xml:space="preserve"> measured as a radius from the roost site within the wetland</w:t>
      </w:r>
      <w:r w:rsidRPr="00E62F51">
        <w:t xml:space="preserve"> (range: 0 to 1,964 m). The </w:t>
      </w:r>
      <w:r w:rsidR="00F72B39">
        <w:t>mean</w:t>
      </w:r>
      <w:r w:rsidR="00F72B39" w:rsidRPr="00E62F51">
        <w:t xml:space="preserve"> </w:t>
      </w:r>
      <w:r w:rsidRPr="00E62F51">
        <w:t xml:space="preserve">breeding home range calculated as the 95% utilisation distribution was 232 hectares, but this varied between from 70 hectares to 523 hectares. </w:t>
      </w:r>
    </w:p>
    <w:p w14:paraId="0A3DD895" w14:textId="77777777" w:rsidR="009D2459" w:rsidRPr="001069F5" w:rsidRDefault="009D2459" w:rsidP="001069F5">
      <w:pPr>
        <w:pStyle w:val="Heading2"/>
      </w:pPr>
      <w:bookmarkStart w:id="160" w:name="_Toc83307408"/>
      <w:bookmarkStart w:id="161" w:name="_Toc104909276"/>
      <w:r w:rsidRPr="001069F5">
        <w:t>Impact assessment</w:t>
      </w:r>
      <w:bookmarkEnd w:id="160"/>
      <w:bookmarkEnd w:id="161"/>
    </w:p>
    <w:p w14:paraId="01AA896D" w14:textId="77777777" w:rsidR="009D2459" w:rsidRPr="001069F5" w:rsidRDefault="009D2459" w:rsidP="001069F5">
      <w:pPr>
        <w:pStyle w:val="Heading3"/>
      </w:pPr>
      <w:bookmarkStart w:id="162" w:name="_Toc83307409"/>
      <w:bookmarkStart w:id="163" w:name="_Toc104909277"/>
      <w:r w:rsidRPr="001069F5">
        <w:t>Impact pathways</w:t>
      </w:r>
      <w:bookmarkEnd w:id="162"/>
      <w:bookmarkEnd w:id="163"/>
    </w:p>
    <w:p w14:paraId="0666BE0B" w14:textId="77777777" w:rsidR="009D2459" w:rsidRPr="00DA6358" w:rsidRDefault="009D2459" w:rsidP="00DA6358">
      <w:pPr>
        <w:pStyle w:val="Heading4"/>
      </w:pPr>
      <w:r w:rsidRPr="00DA6358">
        <w:t>Construction impact pathways</w:t>
      </w:r>
    </w:p>
    <w:p w14:paraId="2E955C41" w14:textId="3D8B7EF4" w:rsidR="009D2459" w:rsidRPr="00E62F51" w:rsidRDefault="009D2459" w:rsidP="009D2459">
      <w:pPr>
        <w:pStyle w:val="BodyText"/>
      </w:pPr>
      <w:r w:rsidRPr="00E62F51">
        <w:t>Construction impact pathways can be grouped into three types</w:t>
      </w:r>
      <w:r w:rsidR="00E16C98">
        <w:t>:</w:t>
      </w:r>
    </w:p>
    <w:p w14:paraId="3300F32F" w14:textId="70114124" w:rsidR="009D2459" w:rsidRPr="00E62F51" w:rsidRDefault="007B107A" w:rsidP="007B107A">
      <w:pPr>
        <w:pStyle w:val="ListNumber"/>
        <w:contextualSpacing/>
      </w:pPr>
      <w:r w:rsidRPr="00E62F51">
        <w:t xml:space="preserve">direct </w:t>
      </w:r>
      <w:r w:rsidR="009D2459" w:rsidRPr="00E62F51">
        <w:t>habitat loss from vegetation clearance, earthworks and physical disturbance</w:t>
      </w:r>
    </w:p>
    <w:p w14:paraId="467E2AE7" w14:textId="566CFD8D" w:rsidR="009D2459" w:rsidRPr="00E62F51" w:rsidRDefault="007B107A" w:rsidP="007B107A">
      <w:pPr>
        <w:pStyle w:val="ListNumber"/>
        <w:contextualSpacing/>
      </w:pPr>
      <w:r w:rsidRPr="00E62F51">
        <w:t xml:space="preserve">habitat </w:t>
      </w:r>
      <w:r w:rsidR="009D2459" w:rsidRPr="00E62F51">
        <w:t>degradation from direct and indirect pathways including surface water changes and groundwater drawdown</w:t>
      </w:r>
    </w:p>
    <w:p w14:paraId="7140B36C" w14:textId="6BE1C532" w:rsidR="009D2459" w:rsidRPr="00E62F51" w:rsidRDefault="007B107A" w:rsidP="007B107A">
      <w:pPr>
        <w:pStyle w:val="ListNumber"/>
        <w:contextualSpacing/>
      </w:pPr>
      <w:r w:rsidRPr="00E62F51">
        <w:t xml:space="preserve">disturbance </w:t>
      </w:r>
      <w:r w:rsidR="009D2459" w:rsidRPr="00E62F51">
        <w:t>(through project-related activity such as noise, vibration and lighting) disrupting the behaviour of fauna and potentially reducing reproductive success.</w:t>
      </w:r>
    </w:p>
    <w:p w14:paraId="5A30341D" w14:textId="77777777" w:rsidR="009D2459" w:rsidRPr="00E62F51" w:rsidRDefault="009D2459" w:rsidP="009D2459">
      <w:pPr>
        <w:pStyle w:val="BodyText"/>
      </w:pPr>
      <w:r w:rsidRPr="00E62F51">
        <w:t xml:space="preserve">The project will result in physical disturbance that includes vegetation clearance, excavation, trenching and earthworks such as stockpiling, or cut-and-fill material movements required to construct project infrastructure. Physical disturbance will mostly occur during construction, although physical disturbance is also expected during decommissioning. </w:t>
      </w:r>
    </w:p>
    <w:p w14:paraId="064C1C5F" w14:textId="77777777" w:rsidR="009D2459" w:rsidRPr="00E62F51" w:rsidRDefault="009D2459" w:rsidP="009D2459">
      <w:pPr>
        <w:pStyle w:val="BodyText"/>
      </w:pPr>
      <w:r w:rsidRPr="00E62F51">
        <w:t xml:space="preserve">Wind farms are constructed progressively so construction activities in any location would be temporary. These activities would occur over several weeks with the exception of the quarry, substation and battery areas, concrete batching plants, and construction site compounds, which would experience regular activity over the construction phase. </w:t>
      </w:r>
    </w:p>
    <w:p w14:paraId="30E92834" w14:textId="77777777" w:rsidR="009D2459" w:rsidRPr="00E62F51" w:rsidRDefault="009D2459" w:rsidP="009D2459">
      <w:pPr>
        <w:pStyle w:val="BodyText"/>
      </w:pPr>
      <w:r w:rsidRPr="00E62F51">
        <w:t xml:space="preserve">During wind farm construction there will be heavy vehicle movements and activity, as well as human activity on the site, resulting in noise. There will also be noise from the operation of the on-site quarry, including blasting about twice a month. This noise and vibration have the potential to disturb breeding Brolga. </w:t>
      </w:r>
    </w:p>
    <w:p w14:paraId="7BB81580" w14:textId="7D57B5CF" w:rsidR="009D2459" w:rsidRPr="00E62F51" w:rsidRDefault="009D2459" w:rsidP="009949A0">
      <w:pPr>
        <w:pStyle w:val="BodyText"/>
        <w:keepLines/>
      </w:pPr>
      <w:r w:rsidRPr="00E62F51">
        <w:lastRenderedPageBreak/>
        <w:t>The construction of roads and larger infrastructure has the potential to alter existing drainage patterns if not accounted for during design. Prolonged changes to drainage patterns can lead to permanent changes to vegetation structure. Hydrological effects have the potential to occur over a large area, due to the nature of the shallow topographical relief of floodplain systems.</w:t>
      </w:r>
      <w:r w:rsidR="00E16C98">
        <w:t xml:space="preserve"> </w:t>
      </w:r>
    </w:p>
    <w:p w14:paraId="601DBBB2" w14:textId="77777777" w:rsidR="009D2459" w:rsidRPr="00DA6358" w:rsidRDefault="009D2459" w:rsidP="00DA6358">
      <w:pPr>
        <w:pStyle w:val="Heading4"/>
      </w:pPr>
      <w:bookmarkStart w:id="164" w:name="_Hlk74909207"/>
      <w:r w:rsidRPr="00DA6358">
        <w:t>Operational impact pathways</w:t>
      </w:r>
    </w:p>
    <w:bookmarkEnd w:id="164"/>
    <w:p w14:paraId="6FB68097" w14:textId="77777777" w:rsidR="009D2459" w:rsidRPr="00E62F51" w:rsidRDefault="009D2459" w:rsidP="009D2459">
      <w:pPr>
        <w:pStyle w:val="BodyText"/>
      </w:pPr>
      <w:r w:rsidRPr="00E62F51">
        <w:t xml:space="preserve">Once the wind farm is operating the impacts to Brolga mostly relate to the interaction with wind turbines. The most obvious impact is due to death via collision with turning blades. Other causes include collision with stationary infrastructure such as transmission lines. </w:t>
      </w:r>
    </w:p>
    <w:p w14:paraId="47701465" w14:textId="77777777" w:rsidR="009D2459" w:rsidRPr="00E62F51" w:rsidRDefault="009D2459" w:rsidP="009D2459">
      <w:pPr>
        <w:pStyle w:val="BodyText"/>
      </w:pPr>
      <w:r w:rsidRPr="00E62F51">
        <w:t>In addition to direct collision risk, Brolgas may modify their behaviour in response to the presence of the wind farm. They may be reluctant to fly through or over the wind farm (known as the ‘barrier effect’) or they may avoid areas adjacent to the turbines (called ‘alienation’). Either or both may restrict access to existing habitats. Other disturbance, such as human activity or vehicle/machinery movements during project operation, could impact on Brolga activity.</w:t>
      </w:r>
    </w:p>
    <w:p w14:paraId="31CB4421" w14:textId="3C7F526F" w:rsidR="009D2459" w:rsidRPr="00E62F51" w:rsidRDefault="009D2459" w:rsidP="009D2459">
      <w:pPr>
        <w:pStyle w:val="BodyText"/>
      </w:pPr>
      <w:r w:rsidRPr="00E62F51">
        <w:t>To date there have not been any Brolga collisions with wind turbines reported in Victoria. For example, M</w:t>
      </w:r>
      <w:r w:rsidR="00130B8B">
        <w:t>o</w:t>
      </w:r>
      <w:r w:rsidRPr="00E62F51">
        <w:t xml:space="preserve">loney </w:t>
      </w:r>
      <w:r w:rsidRPr="00E62F51">
        <w:rPr>
          <w:i/>
        </w:rPr>
        <w:t>et al.,</w:t>
      </w:r>
      <w:r w:rsidRPr="00E62F51">
        <w:t xml:space="preserve"> (2019) reviewed mortality records of birds at 15 Victorian wind farms between February</w:t>
      </w:r>
      <w:r w:rsidR="009949A0">
        <w:t> </w:t>
      </w:r>
      <w:r w:rsidRPr="00E62F51">
        <w:t>2003 and February 2018. They recorded at least 58 species of birds that had been killed by turbine collisions, but there were no records of Brolga. Brolga collisions with powerlines have been reported in Victoria (</w:t>
      </w:r>
      <w:proofErr w:type="spellStart"/>
      <w:r w:rsidRPr="00E62F51">
        <w:t>Goldstraw</w:t>
      </w:r>
      <w:proofErr w:type="spellEnd"/>
      <w:r w:rsidRPr="00E62F51">
        <w:t xml:space="preserve"> </w:t>
      </w:r>
      <w:r w:rsidR="00130B8B">
        <w:t>and</w:t>
      </w:r>
      <w:r w:rsidRPr="00E62F51">
        <w:t xml:space="preserve"> Du Guesclin, 1991; Herring, 2005). While wind turbines have not been shown to be a key threat to the Victorian Brolga population, the Interim Brolga Guidelines (DSE, 2012) notes that Brolga may be vulnerable to collision due to their large size and relatively low </w:t>
      </w:r>
      <w:r w:rsidR="00E72644">
        <w:t xml:space="preserve">aerial </w:t>
      </w:r>
      <w:r w:rsidRPr="00E62F51">
        <w:t>mobility.</w:t>
      </w:r>
    </w:p>
    <w:p w14:paraId="16281F21" w14:textId="27354611" w:rsidR="007344FE" w:rsidRDefault="009D2459" w:rsidP="009D2459">
      <w:pPr>
        <w:pStyle w:val="BodyText"/>
      </w:pPr>
      <w:r w:rsidRPr="00E62F51">
        <w:t xml:space="preserve">Information on the impacts of wind turbines on Brolga behaviour </w:t>
      </w:r>
      <w:r w:rsidR="0059127D">
        <w:t>is provided in</w:t>
      </w:r>
      <w:r w:rsidR="0059127D" w:rsidRPr="00E62F51">
        <w:t xml:space="preserve"> </w:t>
      </w:r>
      <w:r w:rsidRPr="00E62F51">
        <w:t>Wood (2014, 2017)</w:t>
      </w:r>
      <w:r w:rsidR="0059127D">
        <w:t>,</w:t>
      </w:r>
      <w:r w:rsidRPr="00E62F51">
        <w:t xml:space="preserve"> </w:t>
      </w:r>
      <w:proofErr w:type="spellStart"/>
      <w:r w:rsidRPr="00E62F51">
        <w:t>Veltheim</w:t>
      </w:r>
      <w:proofErr w:type="spellEnd"/>
      <w:r w:rsidRPr="00E62F51">
        <w:t xml:space="preserve"> </w:t>
      </w:r>
      <w:r w:rsidRPr="00007903">
        <w:rPr>
          <w:iCs/>
        </w:rPr>
        <w:t>et al</w:t>
      </w:r>
      <w:r w:rsidRPr="00E62F51">
        <w:rPr>
          <w:i/>
        </w:rPr>
        <w:t xml:space="preserve">. </w:t>
      </w:r>
      <w:r w:rsidRPr="00E62F51">
        <w:t>(2019)</w:t>
      </w:r>
      <w:r w:rsidR="0059127D">
        <w:t xml:space="preserve"> and in the Brolga assessment (Appendix C1)</w:t>
      </w:r>
      <w:r w:rsidRPr="00E62F51">
        <w:t>. Nature Advisory surveys in 2018, 2019 and 2021 recorded nesting Brolgas at the Macarthur Wind Farm</w:t>
      </w:r>
      <w:r w:rsidR="00B3458C">
        <w:t xml:space="preserve"> at wetland 25640</w:t>
      </w:r>
      <w:r w:rsidRPr="00E62F51">
        <w:t xml:space="preserve">, which is approximately </w:t>
      </w:r>
      <w:r w:rsidR="00B3458C">
        <w:t>7</w:t>
      </w:r>
      <w:r w:rsidR="009949A0">
        <w:t> </w:t>
      </w:r>
      <w:r w:rsidRPr="00E62F51">
        <w:t xml:space="preserve">kilometres north of the project site. The same nest, and presumably the same pair, were again observed in all three years breeding within 400 metres of operating wind turbines. </w:t>
      </w:r>
      <w:r w:rsidR="00B3458C" w:rsidRPr="00B3458C">
        <w:t>During the 2018 breeding season Nature Advisory monitored the adult pair and plotted their location as they moved across their home range. The pair were observed as close as 150 metres from the base of operating turbines</w:t>
      </w:r>
      <w:r w:rsidR="00E16C98">
        <w:t xml:space="preserve"> (see</w:t>
      </w:r>
      <w:r w:rsidR="00092597">
        <w:t xml:space="preserve"> </w:t>
      </w:r>
      <w:r w:rsidR="00092597">
        <w:fldChar w:fldCharType="begin"/>
      </w:r>
      <w:r w:rsidR="00092597">
        <w:instrText xml:space="preserve"> REF _Ref105156583 \h </w:instrText>
      </w:r>
      <w:r w:rsidR="00092597">
        <w:fldChar w:fldCharType="separate"/>
      </w:r>
      <w:r w:rsidR="00C053A5" w:rsidRPr="00305E4E">
        <w:t xml:space="preserve">Figure </w:t>
      </w:r>
      <w:r w:rsidR="00C053A5">
        <w:rPr>
          <w:noProof/>
        </w:rPr>
        <w:t>11</w:t>
      </w:r>
      <w:r w:rsidR="00C053A5" w:rsidRPr="00305E4E">
        <w:t>.</w:t>
      </w:r>
      <w:r w:rsidR="00C053A5">
        <w:rPr>
          <w:noProof/>
        </w:rPr>
        <w:t>10</w:t>
      </w:r>
      <w:r w:rsidR="00092597">
        <w:fldChar w:fldCharType="end"/>
      </w:r>
      <w:r w:rsidR="00E16C98">
        <w:t>)</w:t>
      </w:r>
      <w:r w:rsidR="00B3458C" w:rsidRPr="00B3458C">
        <w:t xml:space="preserve">. </w:t>
      </w:r>
    </w:p>
    <w:p w14:paraId="489915D0" w14:textId="27374EE1" w:rsidR="007344FE" w:rsidRPr="00E62F51" w:rsidRDefault="007344FE" w:rsidP="007344FE">
      <w:pPr>
        <w:pStyle w:val="BodyText"/>
      </w:pPr>
      <w:r w:rsidRPr="00B3458C">
        <w:t xml:space="preserve">Similar behaviours were observed from the </w:t>
      </w:r>
      <w:proofErr w:type="spellStart"/>
      <w:r w:rsidRPr="00B3458C">
        <w:t>Veltheim</w:t>
      </w:r>
      <w:proofErr w:type="spellEnd"/>
      <w:r w:rsidRPr="00B3458C">
        <w:t xml:space="preserve"> et al. (2019) study, that the pair foraged close to the breeding wetland early in the breeding season and later moved further distances to the north-west later in the breeding season.</w:t>
      </w:r>
      <w:r>
        <w:t xml:space="preserve"> At another wetland adjacent to the Macarthur wind farm, a</w:t>
      </w:r>
      <w:r w:rsidRPr="00B3458C">
        <w:t xml:space="preserve"> pair of Brolga were observed breeding at this wetland in 2013 and 2014 (Wood</w:t>
      </w:r>
      <w:r w:rsidR="00130B8B">
        <w:t>,</w:t>
      </w:r>
      <w:r w:rsidRPr="00B3458C">
        <w:t xml:space="preserve"> 2014). This wetland has six turbines surrounding it and are located between 50 and 420 metres from the edge of the wetland. Observations were made in 2014 and the Brolga were observed foraging within as close as 50 metres from a turbine in the 2014 breeding season (Wood 2014) and within 90 metres of a turbine during the 2016 breeding season (Wood</w:t>
      </w:r>
      <w:r w:rsidR="00130B8B">
        <w:t>,</w:t>
      </w:r>
      <w:r w:rsidRPr="00B3458C">
        <w:t xml:space="preserve"> 2017).</w:t>
      </w:r>
      <w:r>
        <w:t xml:space="preserve"> </w:t>
      </w:r>
      <w:r w:rsidRPr="00E62F51">
        <w:t>This indicates that at the Macarthur Wind Farm, Brolga have bred</w:t>
      </w:r>
      <w:r w:rsidR="00E72644">
        <w:t>, sometimes</w:t>
      </w:r>
      <w:r w:rsidRPr="00E62F51">
        <w:t xml:space="preserve"> successfully rais</w:t>
      </w:r>
      <w:r w:rsidR="00E72644">
        <w:t>ing</w:t>
      </w:r>
      <w:r w:rsidRPr="00E62F51">
        <w:t xml:space="preserve"> chicks</w:t>
      </w:r>
      <w:r w:rsidR="00E72644">
        <w:t>,</w:t>
      </w:r>
      <w:r w:rsidRPr="00E62F51">
        <w:t xml:space="preserve"> within 400 metres of operating turbines for at least six out of the last ten years and that they will forage consistently within 100 metres of the base of operating turbines (Wood, 2014 </w:t>
      </w:r>
      <w:r w:rsidR="00130B8B">
        <w:t>and</w:t>
      </w:r>
      <w:r w:rsidRPr="00E62F51">
        <w:t xml:space="preserve"> 2017, Appendix C1). Wood (2014, 2017) also observed Brolga flying low directly under an operating turbine on at least two occasions. Further observations were made by Biosis (2020) who monitored Brolga at the Morton’s Lane Wind Farm in 2013, 2014, 2015 and 2019. Observations of Brolgas since that wind farm became operational were of single birds within or adjacent to the wind farm in the spring of most years. They concluded that there was no evidence of any detrimental effect on the local population of Brolgas at that wind farm.</w:t>
      </w:r>
    </w:p>
    <w:p w14:paraId="46C734C1" w14:textId="77777777" w:rsidR="007344FE" w:rsidRDefault="007344FE" w:rsidP="007344FE"/>
    <w:p w14:paraId="7F47DD84" w14:textId="7279D402" w:rsidR="007D57FA" w:rsidRDefault="007D57FA" w:rsidP="00137A75">
      <w:pPr>
        <w:sectPr w:rsidR="007D57FA" w:rsidSect="009D2459">
          <w:pgSz w:w="11907" w:h="16839" w:code="9"/>
          <w:pgMar w:top="1276" w:right="1418" w:bottom="1134" w:left="1418" w:header="709" w:footer="284" w:gutter="0"/>
          <w:pgNumType w:chapStyle="1"/>
          <w:cols w:space="708"/>
          <w:docGrid w:linePitch="360"/>
        </w:sectPr>
      </w:pPr>
    </w:p>
    <w:p w14:paraId="3F312250" w14:textId="04EF4BEF" w:rsidR="009949A0" w:rsidRDefault="009949A0" w:rsidP="0046117A">
      <w:pPr>
        <w:pStyle w:val="Caption"/>
      </w:pPr>
      <w:r>
        <w:rPr>
          <w:noProof/>
        </w:rPr>
        <w:lastRenderedPageBreak/>
        <w:drawing>
          <wp:anchor distT="0" distB="0" distL="114300" distR="114300" simplePos="0" relativeHeight="251663360" behindDoc="0" locked="0" layoutInCell="1" allowOverlap="1" wp14:anchorId="6B40B7C2" wp14:editId="12C9A52C">
            <wp:simplePos x="0" y="0"/>
            <wp:positionH relativeFrom="column">
              <wp:posOffset>-710565</wp:posOffset>
            </wp:positionH>
            <wp:positionV relativeFrom="paragraph">
              <wp:posOffset>-890905</wp:posOffset>
            </wp:positionV>
            <wp:extent cx="10692000" cy="7560581"/>
            <wp:effectExtent l="0" t="0" r="0" b="2540"/>
            <wp:wrapNone/>
            <wp:docPr id="10" name="Picture 10" descr="Aerial map showing locations of Brolga nesting pair observations within the Macarthur Wind F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erial map showing locations of Brolga nesting pair observations within the Macarthur Wind Farm"/>
                    <pic:cNvPicPr/>
                  </pic:nvPicPr>
                  <pic:blipFill>
                    <a:blip r:embed="rId26">
                      <a:extLst>
                        <a:ext uri="{28A0092B-C50C-407E-A947-70E740481C1C}">
                          <a14:useLocalDpi xmlns:a14="http://schemas.microsoft.com/office/drawing/2010/main" val="0"/>
                        </a:ext>
                      </a:extLst>
                    </a:blip>
                    <a:stretch>
                      <a:fillRect/>
                    </a:stretch>
                  </pic:blipFill>
                  <pic:spPr>
                    <a:xfrm>
                      <a:off x="0" y="0"/>
                      <a:ext cx="10692000" cy="7560581"/>
                    </a:xfrm>
                    <a:prstGeom prst="rect">
                      <a:avLst/>
                    </a:prstGeom>
                  </pic:spPr>
                </pic:pic>
              </a:graphicData>
            </a:graphic>
            <wp14:sizeRelH relativeFrom="page">
              <wp14:pctWidth>0</wp14:pctWidth>
            </wp14:sizeRelH>
            <wp14:sizeRelV relativeFrom="page">
              <wp14:pctHeight>0</wp14:pctHeight>
            </wp14:sizeRelV>
          </wp:anchor>
        </w:drawing>
      </w:r>
    </w:p>
    <w:p w14:paraId="5403F7D3" w14:textId="1C7DC01B" w:rsidR="007344FE" w:rsidRDefault="007344FE" w:rsidP="0046117A">
      <w:pPr>
        <w:pStyle w:val="Caption"/>
      </w:pPr>
      <w:bookmarkStart w:id="165" w:name="_Ref105156583"/>
      <w:bookmarkStart w:id="166" w:name="_Toc104909298"/>
      <w:r w:rsidRPr="00305E4E">
        <w:t xml:space="preserve">Figure </w:t>
      </w:r>
      <w:r w:rsidR="00EB48E9">
        <w:fldChar w:fldCharType="begin"/>
      </w:r>
      <w:r w:rsidR="00EB48E9">
        <w:instrText xml:space="preserve"> STYLEREF 1 \s </w:instrText>
      </w:r>
      <w:r w:rsidR="00EB48E9">
        <w:fldChar w:fldCharType="separate"/>
      </w:r>
      <w:r w:rsidR="00C053A5">
        <w:rPr>
          <w:noProof/>
        </w:rPr>
        <w:t>11</w:t>
      </w:r>
      <w:r w:rsidR="00EB48E9">
        <w:rPr>
          <w:noProof/>
        </w:rPr>
        <w:fldChar w:fldCharType="end"/>
      </w:r>
      <w:r w:rsidRPr="00305E4E">
        <w:t>.</w:t>
      </w:r>
      <w:r w:rsidR="00EB48E9">
        <w:fldChar w:fldCharType="begin"/>
      </w:r>
      <w:r w:rsidR="00EB48E9">
        <w:instrText xml:space="preserve"> SEQ Figure \* ARABIC \s 1 </w:instrText>
      </w:r>
      <w:r w:rsidR="00EB48E9">
        <w:fldChar w:fldCharType="separate"/>
      </w:r>
      <w:r w:rsidR="00C053A5">
        <w:rPr>
          <w:noProof/>
        </w:rPr>
        <w:t>10</w:t>
      </w:r>
      <w:r w:rsidR="00EB48E9">
        <w:rPr>
          <w:noProof/>
        </w:rPr>
        <w:fldChar w:fldCharType="end"/>
      </w:r>
      <w:bookmarkEnd w:id="165"/>
      <w:r w:rsidR="009949A0">
        <w:rPr>
          <w:noProof/>
        </w:rPr>
        <w:tab/>
      </w:r>
      <w:r>
        <w:rPr>
          <w:noProof/>
        </w:rPr>
        <w:t xml:space="preserve">Monitoring of Brolga </w:t>
      </w:r>
      <w:r w:rsidR="00D64A19">
        <w:rPr>
          <w:noProof/>
        </w:rPr>
        <w:t xml:space="preserve">nesting pair </w:t>
      </w:r>
      <w:r>
        <w:rPr>
          <w:noProof/>
        </w:rPr>
        <w:t>within the Macarthur Wind Farm</w:t>
      </w:r>
      <w:bookmarkEnd w:id="166"/>
      <w:r>
        <w:rPr>
          <w:noProof/>
        </w:rPr>
        <w:t xml:space="preserve"> </w:t>
      </w:r>
    </w:p>
    <w:p w14:paraId="5CFFB667" w14:textId="229F4AC4" w:rsidR="009949A0" w:rsidRPr="009949A0" w:rsidRDefault="009949A0" w:rsidP="009949A0">
      <w:pPr>
        <w:pStyle w:val="BodyText"/>
        <w:rPr>
          <w:lang w:eastAsia="fr-CA"/>
        </w:rPr>
        <w:sectPr w:rsidR="009949A0" w:rsidRPr="009949A0" w:rsidSect="007D58CD">
          <w:type w:val="continuous"/>
          <w:pgSz w:w="16839" w:h="11907" w:orient="landscape" w:code="9"/>
          <w:pgMar w:top="1418" w:right="1276" w:bottom="1418" w:left="1134" w:header="709" w:footer="284" w:gutter="0"/>
          <w:pgNumType w:chapStyle="1"/>
          <w:cols w:space="708"/>
          <w:docGrid w:linePitch="360"/>
        </w:sectPr>
      </w:pPr>
    </w:p>
    <w:p w14:paraId="77BA7A67" w14:textId="3D56784B" w:rsidR="009D2459" w:rsidRPr="00E62F51" w:rsidRDefault="009D2459" w:rsidP="009D2459">
      <w:pPr>
        <w:pStyle w:val="BodyText"/>
      </w:pPr>
      <w:r w:rsidRPr="00E62F51">
        <w:lastRenderedPageBreak/>
        <w:t>In the absence of extensive and replicated observations on the interactions of flying Brolga with wind turbines, international research from closely related species was considered. The Brolga belongs to the crane family and wind turbine interactions have been observed for two other crane species: the European Common Crane (</w:t>
      </w:r>
      <w:r w:rsidRPr="00E62F51">
        <w:rPr>
          <w:i/>
        </w:rPr>
        <w:t xml:space="preserve">Grus </w:t>
      </w:r>
      <w:proofErr w:type="spellStart"/>
      <w:r w:rsidRPr="00E62F51">
        <w:rPr>
          <w:i/>
        </w:rPr>
        <w:t>grus</w:t>
      </w:r>
      <w:proofErr w:type="spellEnd"/>
      <w:r w:rsidRPr="00E62F51">
        <w:t>) and the North American Sandhill Crane (</w:t>
      </w:r>
      <w:r w:rsidRPr="00E62F51">
        <w:rPr>
          <w:i/>
        </w:rPr>
        <w:t>G. canadensis</w:t>
      </w:r>
      <w:r w:rsidRPr="00E62F51">
        <w:t>).</w:t>
      </w:r>
      <w:r>
        <w:t xml:space="preserve"> </w:t>
      </w:r>
    </w:p>
    <w:p w14:paraId="47F6C7FD" w14:textId="2818CC0A" w:rsidR="009D2459" w:rsidRPr="00E62F51" w:rsidRDefault="009D2459" w:rsidP="007B107A">
      <w:pPr>
        <w:pStyle w:val="BodyText"/>
        <w:keepLines/>
      </w:pPr>
      <w:proofErr w:type="spellStart"/>
      <w:r w:rsidRPr="00E62F51">
        <w:t>Navarette</w:t>
      </w:r>
      <w:proofErr w:type="spellEnd"/>
      <w:r w:rsidRPr="00E62F51">
        <w:t xml:space="preserve"> and </w:t>
      </w:r>
      <w:proofErr w:type="spellStart"/>
      <w:r w:rsidRPr="00E62F51">
        <w:t>Griffis</w:t>
      </w:r>
      <w:proofErr w:type="spellEnd"/>
      <w:r w:rsidRPr="00E62F51">
        <w:t>-Kyle (2016) documented two observed collisions of Sandhill Cranes with wind turbines. However, despite collisions being recorded there is extensive evidence that cranes will actively avoid colliding with operating wind turbines. For exa</w:t>
      </w:r>
      <w:r w:rsidRPr="0071463F">
        <w:t xml:space="preserve">mple, Nagy </w:t>
      </w:r>
      <w:r w:rsidRPr="0071463F">
        <w:rPr>
          <w:i/>
        </w:rPr>
        <w:t>et al.,</w:t>
      </w:r>
      <w:r w:rsidRPr="0071463F">
        <w:t xml:space="preserve"> (2013) documented 11,330 observed Sandhill Crane flights over, around and through an array of ten turbines in South Dakota with no collisions. Similarly, Derby et al., (2013) documented 26,468 Sandhill</w:t>
      </w:r>
      <w:r w:rsidRPr="00E62F51">
        <w:t xml:space="preserve"> Crane flights during operation of five wind farms (with a total of 319 turbines) and found no crane collisions with wind turbines. </w:t>
      </w:r>
    </w:p>
    <w:p w14:paraId="61631770" w14:textId="77777777" w:rsidR="009D2459" w:rsidRPr="00DA6358" w:rsidRDefault="009D2459" w:rsidP="00DA6358">
      <w:pPr>
        <w:pStyle w:val="Heading4"/>
      </w:pPr>
      <w:bookmarkStart w:id="167" w:name="_Hlk74915233"/>
      <w:r w:rsidRPr="00DA6358">
        <w:t>Decommissioning impact pathways</w:t>
      </w:r>
    </w:p>
    <w:bookmarkEnd w:id="167"/>
    <w:p w14:paraId="31871E6C" w14:textId="77777777" w:rsidR="009D2459" w:rsidRPr="00E62F51" w:rsidRDefault="009D2459" w:rsidP="009D2459">
      <w:pPr>
        <w:pStyle w:val="BodyText"/>
      </w:pPr>
      <w:r w:rsidRPr="00E62F51">
        <w:t>The eventual decommissioning of the project will involve the removal of wind farm infrastructure. During this process there are potential disturbance impacts because of noise, traffic and human presence, particularly during the breeding season. Activity associated with decommissioning is much less then that required during construction.</w:t>
      </w:r>
    </w:p>
    <w:p w14:paraId="27A6DCF1" w14:textId="77777777" w:rsidR="009D2459" w:rsidRPr="001069F5" w:rsidRDefault="009D2459" w:rsidP="001069F5">
      <w:pPr>
        <w:pStyle w:val="Heading3"/>
      </w:pPr>
      <w:bookmarkStart w:id="168" w:name="_Ref81921002"/>
      <w:bookmarkStart w:id="169" w:name="_Toc83307410"/>
      <w:bookmarkStart w:id="170" w:name="_Toc104909278"/>
      <w:bookmarkStart w:id="171" w:name="_Hlk71193971"/>
      <w:r w:rsidRPr="001069F5">
        <w:t>Design mitigation</w:t>
      </w:r>
      <w:bookmarkEnd w:id="168"/>
      <w:bookmarkEnd w:id="169"/>
      <w:bookmarkEnd w:id="170"/>
      <w:r w:rsidRPr="001069F5">
        <w:t xml:space="preserve"> </w:t>
      </w:r>
      <w:bookmarkEnd w:id="171"/>
    </w:p>
    <w:p w14:paraId="4776DCDF" w14:textId="77777777" w:rsidR="009D2459" w:rsidRPr="00E62F51" w:rsidRDefault="009D2459" w:rsidP="009D2459">
      <w:pPr>
        <w:pStyle w:val="BodyText"/>
      </w:pPr>
      <w:r w:rsidRPr="00E62F51">
        <w:t>In accordance with the Interim Brolga Guidelines, the mitigation hierarchy was adopted whereby:</w:t>
      </w:r>
    </w:p>
    <w:p w14:paraId="36043041" w14:textId="77777777" w:rsidR="009D2459" w:rsidRPr="001069F5" w:rsidRDefault="009D2459" w:rsidP="001069F5">
      <w:pPr>
        <w:pStyle w:val="ListBullet"/>
        <w:contextualSpacing/>
      </w:pPr>
      <w:r w:rsidRPr="001069F5">
        <w:t>avoidance measures have been taken to avoid impacts, primarily through the development of turbine free buffers</w:t>
      </w:r>
    </w:p>
    <w:p w14:paraId="59BBEDE7" w14:textId="64ACE24C" w:rsidR="009D2459" w:rsidRPr="001069F5" w:rsidRDefault="009D2459" w:rsidP="001069F5">
      <w:pPr>
        <w:pStyle w:val="ListBullet"/>
        <w:contextualSpacing/>
      </w:pPr>
      <w:r w:rsidRPr="001069F5">
        <w:t>minimisation measures have been implemented to reduce the duration, intensity and/or extent of impacts that cannot be completely avoided, as far as is practically feasible, including committing to a 40</w:t>
      </w:r>
      <w:r w:rsidR="009949A0">
        <w:noBreakHyphen/>
      </w:r>
      <w:r w:rsidRPr="001069F5">
        <w:t>metre minimum blade height and limiting overhead transmission lines to the minimum required</w:t>
      </w:r>
    </w:p>
    <w:p w14:paraId="19A28AEA" w14:textId="77777777" w:rsidR="009D2459" w:rsidRPr="001069F5" w:rsidRDefault="009D2459" w:rsidP="001069F5">
      <w:pPr>
        <w:pStyle w:val="ListBullet"/>
        <w:contextualSpacing/>
      </w:pPr>
      <w:r w:rsidRPr="001069F5">
        <w:t xml:space="preserve">offset measures are taken to compensate for any residual, adverse impacts that cannot be avoided, minimised and/or rehabilitated or restored, in order to achieve no net loss or preferably a net gain of the Brolga population. </w:t>
      </w:r>
    </w:p>
    <w:p w14:paraId="0BB7FE3D" w14:textId="0C6F4D03" w:rsidR="009D2459" w:rsidRPr="00E62F51" w:rsidRDefault="009D2459" w:rsidP="009D2459">
      <w:pPr>
        <w:pStyle w:val="BodyText"/>
      </w:pPr>
      <w:r w:rsidRPr="00E62F51">
        <w:t xml:space="preserve">Early in the project’s development, a preliminary 1 kilometre buffer was adopted around Brolga breeding </w:t>
      </w:r>
      <w:r w:rsidR="00BC4B9A">
        <w:t xml:space="preserve">database </w:t>
      </w:r>
      <w:r w:rsidR="007E6D44">
        <w:t>locations</w:t>
      </w:r>
      <w:r w:rsidRPr="00E62F51">
        <w:t xml:space="preserve"> within the original project site. Through the application of turbine free buffers described below, 23 wind turbines were removed</w:t>
      </w:r>
      <w:r w:rsidR="00121829">
        <w:t xml:space="preserve"> or moved</w:t>
      </w:r>
      <w:r w:rsidRPr="00E62F51">
        <w:t xml:space="preserve"> from the original project design near potential Brolga breeding wetlands.</w:t>
      </w:r>
    </w:p>
    <w:p w14:paraId="2CA12BB9" w14:textId="77777777" w:rsidR="009D2459" w:rsidRPr="00DA6358" w:rsidRDefault="009D2459" w:rsidP="00DA6358">
      <w:pPr>
        <w:pStyle w:val="Heading4"/>
      </w:pPr>
      <w:bookmarkStart w:id="172" w:name="_Hlk99369654"/>
      <w:r w:rsidRPr="00DA6358">
        <w:t>Turbine free buffers</w:t>
      </w:r>
    </w:p>
    <w:p w14:paraId="3E172F93" w14:textId="77777777" w:rsidR="009D2459" w:rsidRPr="00E62F51" w:rsidRDefault="009D2459" w:rsidP="009D2459">
      <w:pPr>
        <w:pStyle w:val="BodyText"/>
      </w:pPr>
      <w:bookmarkStart w:id="173" w:name="_Hlk80198101"/>
      <w:bookmarkStart w:id="174" w:name="_Hlk99369375"/>
      <w:bookmarkEnd w:id="172"/>
      <w:r w:rsidRPr="00E62F51">
        <w:t>The main mitigation implemented during the project design to avoid or minimise impacts to the Victorian Brolga population has been the development of turbine free buffers around Brolga wetland habitat.</w:t>
      </w:r>
      <w:bookmarkEnd w:id="173"/>
      <w:r w:rsidRPr="00E62F51">
        <w:t xml:space="preserve"> </w:t>
      </w:r>
    </w:p>
    <w:p w14:paraId="1A88EC4D" w14:textId="7E421171" w:rsidR="009D2459" w:rsidRPr="00E62F51" w:rsidRDefault="009D2459" w:rsidP="009D2459">
      <w:pPr>
        <w:pStyle w:val="BodyText"/>
      </w:pPr>
      <w:bookmarkStart w:id="175" w:name="_Hlk80198169"/>
      <w:r w:rsidRPr="00E62F51">
        <w:t xml:space="preserve">The turbine free buffer areas were designed to </w:t>
      </w:r>
      <w:r w:rsidR="00FA232F">
        <w:t xml:space="preserve">limit impacts to </w:t>
      </w:r>
      <w:r w:rsidRPr="00E62F51">
        <w:t>Brolga during construction (</w:t>
      </w:r>
      <w:r w:rsidR="00C06232">
        <w:t>i.e.</w:t>
      </w:r>
      <w:r w:rsidR="0059127D">
        <w:t>,</w:t>
      </w:r>
      <w:r w:rsidRPr="00E62F51">
        <w:t xml:space="preserve"> habitat destruction and/or disturbance) and operation (</w:t>
      </w:r>
      <w:r w:rsidR="00C06232">
        <w:t>i.e.</w:t>
      </w:r>
      <w:r w:rsidR="0059127D">
        <w:t>,</w:t>
      </w:r>
      <w:r w:rsidRPr="00E62F51">
        <w:t xml:space="preserve"> collision with wind turbines). </w:t>
      </w:r>
      <w:bookmarkEnd w:id="175"/>
      <w:r w:rsidRPr="00E62F51">
        <w:t>Project-specific Brolga buffers were developed based on:</w:t>
      </w:r>
    </w:p>
    <w:p w14:paraId="11DE0DE8" w14:textId="77777777" w:rsidR="009D2459" w:rsidRPr="001069F5" w:rsidRDefault="009D2459" w:rsidP="001069F5">
      <w:pPr>
        <w:pStyle w:val="ListBullet"/>
        <w:contextualSpacing/>
      </w:pPr>
      <w:r w:rsidRPr="001069F5">
        <w:t>extensive field surveys of the project site and surrounding areas</w:t>
      </w:r>
    </w:p>
    <w:p w14:paraId="0EC83F26" w14:textId="77777777" w:rsidR="009D2459" w:rsidRPr="001069F5" w:rsidRDefault="009D2459" w:rsidP="001069F5">
      <w:pPr>
        <w:pStyle w:val="ListBullet"/>
        <w:contextualSpacing/>
      </w:pPr>
      <w:r w:rsidRPr="001069F5">
        <w:t>consultation with landowners, land managers and special interest groups</w:t>
      </w:r>
    </w:p>
    <w:p w14:paraId="332B3B52" w14:textId="77777777" w:rsidR="009D2459" w:rsidRPr="001069F5" w:rsidRDefault="009D2459" w:rsidP="001069F5">
      <w:pPr>
        <w:pStyle w:val="ListBullet"/>
        <w:contextualSpacing/>
      </w:pPr>
      <w:r w:rsidRPr="001069F5">
        <w:t>understanding of Brolga movements around breeding sites from observational studies by Nature Advisory over the last 15 years</w:t>
      </w:r>
    </w:p>
    <w:p w14:paraId="1C8F7A34" w14:textId="77777777" w:rsidR="009D2459" w:rsidRPr="001069F5" w:rsidRDefault="009D2459" w:rsidP="001069F5">
      <w:pPr>
        <w:pStyle w:val="ListBullet"/>
        <w:contextualSpacing/>
      </w:pPr>
      <w:r w:rsidRPr="001069F5">
        <w:t>observations of the movements of Brolga breeding at the Macarthur Wind Farm since 2012</w:t>
      </w:r>
    </w:p>
    <w:p w14:paraId="474FE652" w14:textId="77777777" w:rsidR="009D2459" w:rsidRPr="001069F5" w:rsidRDefault="009D2459" w:rsidP="001069F5">
      <w:pPr>
        <w:pStyle w:val="ListBullet"/>
        <w:contextualSpacing/>
      </w:pPr>
      <w:r w:rsidRPr="001069F5">
        <w:t xml:space="preserve">the recent Brolga research undertaken by </w:t>
      </w:r>
      <w:proofErr w:type="spellStart"/>
      <w:r w:rsidRPr="001069F5">
        <w:t>Veltheim</w:t>
      </w:r>
      <w:proofErr w:type="spellEnd"/>
      <w:r w:rsidRPr="001069F5">
        <w:t xml:space="preserve"> et al. (2019).</w:t>
      </w:r>
      <w:bookmarkEnd w:id="174"/>
      <w:r w:rsidRPr="001069F5">
        <w:t xml:space="preserve"> </w:t>
      </w:r>
    </w:p>
    <w:p w14:paraId="5F43B1ED" w14:textId="63AAC00F" w:rsidR="009D2459" w:rsidRPr="00E62F51" w:rsidRDefault="009D2459" w:rsidP="009D2459">
      <w:pPr>
        <w:pStyle w:val="BodyText"/>
      </w:pPr>
      <w:r w:rsidRPr="00E62F51">
        <w:t>The turbine free buffers proposed were developed by experienced consultants based on method</w:t>
      </w:r>
      <w:r w:rsidR="00FA232F">
        <w:t>s</w:t>
      </w:r>
      <w:r w:rsidRPr="00E62F51">
        <w:t xml:space="preserve"> adopted at three wind farm projects in southwestern Victoria that have been issued with planning permits: Golden</w:t>
      </w:r>
      <w:r w:rsidR="009949A0">
        <w:t> </w:t>
      </w:r>
      <w:r w:rsidRPr="00E62F51">
        <w:t xml:space="preserve">Plains, </w:t>
      </w:r>
      <w:proofErr w:type="spellStart"/>
      <w:r w:rsidRPr="00E62F51">
        <w:t>Dundonnell</w:t>
      </w:r>
      <w:proofErr w:type="spellEnd"/>
      <w:r w:rsidRPr="00E62F51">
        <w:t xml:space="preserve"> and Stockyard Hill. Th</w:t>
      </w:r>
      <w:r w:rsidR="00FA232F">
        <w:t>ese</w:t>
      </w:r>
      <w:r w:rsidRPr="00E62F51">
        <w:t xml:space="preserve"> method</w:t>
      </w:r>
      <w:r w:rsidR="00FA232F">
        <w:t>s were</w:t>
      </w:r>
      <w:r w:rsidRPr="00E62F51">
        <w:t xml:space="preserve"> updated to reflect the research published by Dr Inka </w:t>
      </w:r>
      <w:proofErr w:type="spellStart"/>
      <w:r w:rsidRPr="00E62F51">
        <w:t>Veltheim</w:t>
      </w:r>
      <w:proofErr w:type="spellEnd"/>
      <w:r w:rsidRPr="00E62F51">
        <w:t xml:space="preserve"> (</w:t>
      </w:r>
      <w:proofErr w:type="spellStart"/>
      <w:r w:rsidRPr="00E62F51">
        <w:t>Veltheim</w:t>
      </w:r>
      <w:proofErr w:type="spellEnd"/>
      <w:r w:rsidRPr="00E62F51">
        <w:t xml:space="preserve"> </w:t>
      </w:r>
      <w:r w:rsidRPr="00007903">
        <w:rPr>
          <w:iCs/>
        </w:rPr>
        <w:t>et al.</w:t>
      </w:r>
      <w:r w:rsidRPr="00E62F51">
        <w:rPr>
          <w:i/>
        </w:rPr>
        <w:t xml:space="preserve"> </w:t>
      </w:r>
      <w:r w:rsidRPr="00E62F51">
        <w:t>2019) as well as incorporation of hydrological modelling</w:t>
      </w:r>
      <w:r w:rsidR="0059127D">
        <w:t xml:space="preserve"> to define suitable Brolga </w:t>
      </w:r>
      <w:r w:rsidR="00214CF9">
        <w:t>breeding sites and functional wetlands</w:t>
      </w:r>
      <w:r w:rsidRPr="00E62F51">
        <w:t>.</w:t>
      </w:r>
    </w:p>
    <w:p w14:paraId="430DBEA5" w14:textId="4A502188" w:rsidR="009D2459" w:rsidRPr="00E62F51" w:rsidRDefault="009D2459" w:rsidP="009949A0">
      <w:pPr>
        <w:pStyle w:val="BodyText"/>
        <w:keepNext/>
      </w:pPr>
      <w:bookmarkStart w:id="176" w:name="_Hlk80198232"/>
      <w:r w:rsidRPr="00E62F51">
        <w:lastRenderedPageBreak/>
        <w:t>Turbine free buffers developed for the project consider three key habitats:</w:t>
      </w:r>
    </w:p>
    <w:p w14:paraId="17CF4ACA" w14:textId="3BAB3817" w:rsidR="003D2036" w:rsidRDefault="007752D7" w:rsidP="009949A0">
      <w:pPr>
        <w:pStyle w:val="ListBullet"/>
        <w:keepNext/>
        <w:contextualSpacing/>
      </w:pPr>
      <w:r>
        <w:t xml:space="preserve">seasonal </w:t>
      </w:r>
      <w:r w:rsidR="003D2036">
        <w:t>wetlands used for the breeding (nesting and egg incubation)</w:t>
      </w:r>
      <w:r>
        <w:t xml:space="preserve">, </w:t>
      </w:r>
      <w:r w:rsidR="003D2036">
        <w:t>night roosting</w:t>
      </w:r>
      <w:r>
        <w:t xml:space="preserve"> and foraging</w:t>
      </w:r>
    </w:p>
    <w:p w14:paraId="0674EDBF" w14:textId="6CB9404B" w:rsidR="003D2036" w:rsidRDefault="003D2036" w:rsidP="009949A0">
      <w:pPr>
        <w:pStyle w:val="ListBullet"/>
        <w:keepNext/>
        <w:contextualSpacing/>
      </w:pPr>
      <w:r>
        <w:t xml:space="preserve">non-wetland areas around </w:t>
      </w:r>
      <w:r w:rsidR="00E72644">
        <w:t>functional wetlands used for foraging and breeding</w:t>
      </w:r>
    </w:p>
    <w:p w14:paraId="509D0C0E" w14:textId="15BD3A4C" w:rsidR="003D2036" w:rsidRDefault="003D2036" w:rsidP="009949A0">
      <w:pPr>
        <w:pStyle w:val="ListBullet"/>
        <w:contextualSpacing/>
      </w:pPr>
      <w:r>
        <w:t xml:space="preserve">movement corridors between breeding site wetlands </w:t>
      </w:r>
      <w:r w:rsidR="00E72644">
        <w:t>and</w:t>
      </w:r>
      <w:r>
        <w:t xml:space="preserve"> other functional wetlands.</w:t>
      </w:r>
    </w:p>
    <w:p w14:paraId="0380BA30" w14:textId="55C666C3" w:rsidR="009D2459" w:rsidRPr="00E62F51" w:rsidRDefault="009D2459" w:rsidP="009D2459">
      <w:pPr>
        <w:pStyle w:val="BodyText"/>
      </w:pPr>
      <w:bookmarkStart w:id="177" w:name="_Hlk80100620"/>
      <w:bookmarkStart w:id="178" w:name="_Hlk80198580"/>
      <w:bookmarkEnd w:id="176"/>
      <w:r w:rsidRPr="00E62F51">
        <w:t xml:space="preserve">Based on the satellite tracking of Brolga chicks, </w:t>
      </w:r>
      <w:proofErr w:type="spellStart"/>
      <w:r w:rsidRPr="00E62F51">
        <w:t>Veltheim</w:t>
      </w:r>
      <w:proofErr w:type="spellEnd"/>
      <w:r w:rsidRPr="00E62F51">
        <w:t xml:space="preserve"> </w:t>
      </w:r>
      <w:r w:rsidRPr="00007903">
        <w:rPr>
          <w:iCs/>
        </w:rPr>
        <w:t>et al.</w:t>
      </w:r>
      <w:r w:rsidRPr="00AD4BB6">
        <w:rPr>
          <w:iCs/>
        </w:rPr>
        <w:t xml:space="preserve"> </w:t>
      </w:r>
      <w:r w:rsidRPr="00E62F51">
        <w:t xml:space="preserve">(2019) concluded that the most important consideration for breeding site protection and enhancement at wind farms </w:t>
      </w:r>
      <w:r w:rsidR="00E72644">
        <w:t>was</w:t>
      </w:r>
      <w:r w:rsidRPr="00E62F51">
        <w:t xml:space="preserve"> the inclusion of multiple wetlands within breeding home ranges within the turbine free buffers. They note that both breeding wetlands (including night roosts) and non-wetland habitat should be incorporated into turbine-free buffers enabling barrier-free movement between wetlands and non-wetland foraging areas. </w:t>
      </w:r>
    </w:p>
    <w:p w14:paraId="7C736DB2" w14:textId="46C254EC" w:rsidR="009D2459" w:rsidRPr="00E62F51" w:rsidRDefault="009D2459" w:rsidP="009D2459">
      <w:pPr>
        <w:pStyle w:val="BodyText"/>
      </w:pPr>
      <w:proofErr w:type="spellStart"/>
      <w:r w:rsidRPr="00E62F51">
        <w:t>Veltheim</w:t>
      </w:r>
      <w:proofErr w:type="spellEnd"/>
      <w:r w:rsidRPr="00E62F51">
        <w:t xml:space="preserve"> et al. (2019) concluded that a distance of 2,000 metres encompasses additional foraging habitat and movement corridors within the 95% utilisation distribution</w:t>
      </w:r>
      <w:r w:rsidR="00121829">
        <w:t xml:space="preserve"> (i.e., </w:t>
      </w:r>
      <w:r w:rsidR="00121829" w:rsidRPr="00121829">
        <w:t xml:space="preserve">a </w:t>
      </w:r>
      <w:r w:rsidR="00121829">
        <w:t xml:space="preserve">95% </w:t>
      </w:r>
      <w:r w:rsidR="00121829" w:rsidRPr="00121829">
        <w:t>probability that an animal is found at a given point in space</w:t>
      </w:r>
      <w:r w:rsidR="00121829">
        <w:t xml:space="preserve"> based on a statistical model)</w:t>
      </w:r>
      <w:r w:rsidRPr="00E62F51">
        <w:t xml:space="preserve">. </w:t>
      </w:r>
      <w:bookmarkEnd w:id="177"/>
      <w:bookmarkEnd w:id="178"/>
      <w:r w:rsidR="00F02F56" w:rsidRPr="00F02F56">
        <w:t xml:space="preserve">Five </w:t>
      </w:r>
      <w:r w:rsidR="00F02F56">
        <w:t xml:space="preserve">seasonal wetland areas </w:t>
      </w:r>
      <w:r w:rsidR="00BC4FEA">
        <w:t xml:space="preserve">in proximity to the project </w:t>
      </w:r>
      <w:r w:rsidR="00F02F56" w:rsidRPr="00F02F56">
        <w:t xml:space="preserve">are within </w:t>
      </w:r>
      <w:r w:rsidR="00F02F56">
        <w:t xml:space="preserve">2,000 metres of each other and were </w:t>
      </w:r>
      <w:r w:rsidR="00BC4FEA">
        <w:t xml:space="preserve">therefore </w:t>
      </w:r>
      <w:r w:rsidR="00F02F56">
        <w:t xml:space="preserve">defined </w:t>
      </w:r>
      <w:r w:rsidR="00F02F56" w:rsidRPr="00F02F56">
        <w:t xml:space="preserve">as the </w:t>
      </w:r>
      <w:r w:rsidR="00BC4FEA">
        <w:t>wetland</w:t>
      </w:r>
      <w:r w:rsidR="00F02F56" w:rsidRPr="00F02F56">
        <w:t xml:space="preserve"> complex</w:t>
      </w:r>
      <w:r w:rsidR="00F02F56">
        <w:t xml:space="preserve">. </w:t>
      </w:r>
    </w:p>
    <w:p w14:paraId="1951A317" w14:textId="14022728" w:rsidR="003D2036" w:rsidRDefault="003D2036" w:rsidP="009D2459">
      <w:pPr>
        <w:pStyle w:val="BodyText"/>
      </w:pPr>
      <w:bookmarkStart w:id="179" w:name="_Hlk80088316"/>
      <w:r w:rsidRPr="003D2036">
        <w:t xml:space="preserve">Wetland 25816 </w:t>
      </w:r>
      <w:r w:rsidR="00F02F56">
        <w:t>is</w:t>
      </w:r>
      <w:r w:rsidRPr="003D2036">
        <w:t xml:space="preserve"> more than 2,000 metres from any other </w:t>
      </w:r>
      <w:r w:rsidR="00F02F56">
        <w:t xml:space="preserve">defined breeding </w:t>
      </w:r>
      <w:r w:rsidRPr="003D2036">
        <w:t xml:space="preserve">wetlands </w:t>
      </w:r>
      <w:r w:rsidR="00F02F56">
        <w:t xml:space="preserve">and therefore does </w:t>
      </w:r>
      <w:r w:rsidRPr="003D2036">
        <w:t>not form of a complex</w:t>
      </w:r>
      <w:r w:rsidR="005B36AC">
        <w:t xml:space="preserve"> wetland</w:t>
      </w:r>
      <w:r w:rsidRPr="003D2036">
        <w:t>.</w:t>
      </w:r>
      <w:r w:rsidR="005B36AC">
        <w:t xml:space="preserve"> Considering this wetland is located more than 1.8 kilometres from the closest proposed wind turbine location and risks to Brolga nesting in this location </w:t>
      </w:r>
      <w:r w:rsidR="00E72644">
        <w:t xml:space="preserve">are </w:t>
      </w:r>
      <w:r w:rsidR="005B36AC">
        <w:t>assessed to be low,</w:t>
      </w:r>
      <w:r w:rsidR="00BC4FEA">
        <w:t xml:space="preserve"> </w:t>
      </w:r>
      <w:r w:rsidR="005B36AC">
        <w:t xml:space="preserve">further buffering of this wetland was not </w:t>
      </w:r>
      <w:r w:rsidR="00E72644">
        <w:t>considered necessary</w:t>
      </w:r>
      <w:r w:rsidR="005B36AC">
        <w:t xml:space="preserve">. </w:t>
      </w:r>
    </w:p>
    <w:bookmarkEnd w:id="179"/>
    <w:p w14:paraId="4511783D" w14:textId="0E73AC95" w:rsidR="009D2459" w:rsidRPr="007B107A" w:rsidRDefault="00153B07" w:rsidP="007B107A">
      <w:pPr>
        <w:pStyle w:val="Heading5"/>
      </w:pPr>
      <w:r>
        <w:t>Defining</w:t>
      </w:r>
      <w:r w:rsidR="009D2459" w:rsidRPr="007B107A">
        <w:t xml:space="preserve"> turbine free buffer</w:t>
      </w:r>
      <w:r>
        <w:t>s</w:t>
      </w:r>
    </w:p>
    <w:p w14:paraId="4A3E99AC" w14:textId="14B412BE" w:rsidR="009D2459" w:rsidRDefault="009D2459" w:rsidP="009D2459">
      <w:pPr>
        <w:pStyle w:val="BodyText"/>
      </w:pPr>
      <w:r w:rsidRPr="00E62F51">
        <w:t>The following steps were completed to develop the Cockatoo Swamp complex turbine free buffer.</w:t>
      </w:r>
    </w:p>
    <w:p w14:paraId="7FD9A3A9" w14:textId="39B1E0AD" w:rsidR="00A448D6" w:rsidRDefault="00A448D6" w:rsidP="00A448D6">
      <w:r>
        <w:t xml:space="preserve">Based on the findings of </w:t>
      </w:r>
      <w:proofErr w:type="spellStart"/>
      <w:r>
        <w:t>Veltheim</w:t>
      </w:r>
      <w:proofErr w:type="spellEnd"/>
      <w:r>
        <w:t xml:space="preserve"> et al. (2019), all functional wetlands within two kilometres of confirmed breeding wetlands, were included in the initial home range. This was considered the most likely area in which</w:t>
      </w:r>
      <w:r w:rsidR="007752D7">
        <w:t xml:space="preserve"> nesting Brolga</w:t>
      </w:r>
      <w:r>
        <w:t xml:space="preserve"> </w:t>
      </w:r>
      <w:r w:rsidR="007752D7">
        <w:t xml:space="preserve">would </w:t>
      </w:r>
      <w:r>
        <w:t xml:space="preserve">move to forage or roost. Areas still functioning as wetlands (holding water for at least 120 days) can provide additional foraging areas for Brolga away from their breeding wetland. Brolga will move out to these wetlands particularly when young Brolga are getting larger and can move greater distances, and when resources at their breeding wetland become depleted. </w:t>
      </w:r>
    </w:p>
    <w:p w14:paraId="5B3FCF86" w14:textId="4CBAC74E" w:rsidR="00A448D6" w:rsidRDefault="00A448D6" w:rsidP="00A448D6">
      <w:r>
        <w:t xml:space="preserve">The greatest risk to Brolga from wind farms is collision with turbines, which happens when Brolga are flying. To provide for Brolga movements around each functional wetland, a 400-metre buffer is provided that encompasses the majority of Brolga flights from nesting wetlands based on Nature Advisory movement data (also used for Brolga buffers of the </w:t>
      </w:r>
      <w:proofErr w:type="spellStart"/>
      <w:r>
        <w:t>Dundonnell</w:t>
      </w:r>
      <w:proofErr w:type="spellEnd"/>
      <w:r>
        <w:t xml:space="preserve"> and Golden Plains wind farms). </w:t>
      </w:r>
      <w:r w:rsidRPr="00E62F51">
        <w:t>Flight observations by Nature Advisory showed that Brolgas showed no preference for a particular habitat when flying up to 400</w:t>
      </w:r>
      <w:r w:rsidR="009949A0">
        <w:t> </w:t>
      </w:r>
      <w:r w:rsidRPr="00E62F51">
        <w:t xml:space="preserve">metres from their breeding site (see Section </w:t>
      </w:r>
      <w:r w:rsidRPr="00E62F51">
        <w:fldChar w:fldCharType="begin"/>
      </w:r>
      <w:r w:rsidRPr="00E62F51">
        <w:instrText xml:space="preserve"> REF _Ref81914107 \r \h </w:instrText>
      </w:r>
      <w:r w:rsidRPr="00E62F51">
        <w:fldChar w:fldCharType="separate"/>
      </w:r>
      <w:r w:rsidR="00C053A5">
        <w:t>11.5.4</w:t>
      </w:r>
      <w:r w:rsidRPr="00E62F51">
        <w:fldChar w:fldCharType="end"/>
      </w:r>
      <w:r w:rsidRPr="00E62F51">
        <w:t>). For flights beyond 400 metres from the breeding site the Brolga showed a preference for wetland areas compared to other habitat</w:t>
      </w:r>
      <w:r w:rsidR="007752D7">
        <w:t xml:space="preserve"> (Appendix C1 – </w:t>
      </w:r>
      <w:r w:rsidR="007752D7" w:rsidRPr="007752D7">
        <w:rPr>
          <w:i/>
          <w:iCs/>
        </w:rPr>
        <w:t>Brolga</w:t>
      </w:r>
      <w:r w:rsidR="007752D7">
        <w:t>)</w:t>
      </w:r>
      <w:r w:rsidRPr="00E62F51">
        <w:t xml:space="preserve">. The preference for wetland flight destinations became stronger with increasing distance from the breeding site. </w:t>
      </w:r>
    </w:p>
    <w:p w14:paraId="6B2BBE59" w14:textId="0EDA3517" w:rsidR="005D124F" w:rsidRDefault="005D124F" w:rsidP="009949A0">
      <w:pPr>
        <w:pStyle w:val="BodyText"/>
      </w:pPr>
      <w:r w:rsidRPr="00E62F51">
        <w:t xml:space="preserve">To protect movement corridors for Brolga between each of the breeding wetlands and other </w:t>
      </w:r>
      <w:r w:rsidR="007752D7">
        <w:t>functional</w:t>
      </w:r>
      <w:r w:rsidRPr="00E62F51">
        <w:t xml:space="preserve"> wetlands, a home range boundary was drawn between the outer extent of each of the 400 metre buffer</w:t>
      </w:r>
      <w:r w:rsidR="007752D7">
        <w:t xml:space="preserve"> areas</w:t>
      </w:r>
      <w:r w:rsidR="00E72644">
        <w:t xml:space="preserve"> around functional wetlands</w:t>
      </w:r>
      <w:r w:rsidRPr="00E62F51">
        <w:t xml:space="preserve"> within the Cockatoo Swamp wetland complex</w:t>
      </w:r>
      <w:r w:rsidR="007752D7">
        <w:t xml:space="preserve"> (see </w:t>
      </w:r>
      <w:r w:rsidR="007752D7">
        <w:fldChar w:fldCharType="begin"/>
      </w:r>
      <w:r w:rsidR="007752D7">
        <w:instrText xml:space="preserve"> REF _Ref99097479 \h </w:instrText>
      </w:r>
      <w:r w:rsidR="007752D7">
        <w:fldChar w:fldCharType="separate"/>
      </w:r>
      <w:r w:rsidR="00C053A5" w:rsidRPr="007B107A">
        <w:t xml:space="preserve">Figure </w:t>
      </w:r>
      <w:r w:rsidR="00C053A5">
        <w:rPr>
          <w:noProof/>
        </w:rPr>
        <w:t>11</w:t>
      </w:r>
      <w:r w:rsidR="00C053A5" w:rsidRPr="007B107A">
        <w:t>.</w:t>
      </w:r>
      <w:r w:rsidR="00C053A5">
        <w:rPr>
          <w:noProof/>
        </w:rPr>
        <w:t>11</w:t>
      </w:r>
      <w:r w:rsidR="007752D7">
        <w:fldChar w:fldCharType="end"/>
      </w:r>
      <w:r w:rsidR="007752D7">
        <w:t>)</w:t>
      </w:r>
      <w:r w:rsidRPr="00E62F51">
        <w:t>. Home</w:t>
      </w:r>
      <w:r w:rsidR="009949A0">
        <w:t> </w:t>
      </w:r>
      <w:r w:rsidRPr="00E62F51">
        <w:t>ranges encompass the zones between these buffered areas for wetlands that are 2,000 metres or less apart. This resulted in five overlapping home ranges of between 721 to 942 hectares as shown in</w:t>
      </w:r>
      <w:r w:rsidR="009949A0">
        <w:t xml:space="preserve"> </w:t>
      </w:r>
      <w:r w:rsidR="009949A0">
        <w:fldChar w:fldCharType="begin"/>
      </w:r>
      <w:r w:rsidR="009949A0">
        <w:instrText xml:space="preserve"> REF _Ref104908827 \h </w:instrText>
      </w:r>
      <w:r w:rsidR="009949A0">
        <w:fldChar w:fldCharType="separate"/>
      </w:r>
      <w:r w:rsidR="00C053A5" w:rsidRPr="007B107A">
        <w:t xml:space="preserve">Figure </w:t>
      </w:r>
      <w:r w:rsidR="00C053A5">
        <w:rPr>
          <w:noProof/>
        </w:rPr>
        <w:t>11</w:t>
      </w:r>
      <w:r w:rsidR="00C053A5" w:rsidRPr="007B107A">
        <w:t>.</w:t>
      </w:r>
      <w:r w:rsidR="00C053A5">
        <w:rPr>
          <w:noProof/>
        </w:rPr>
        <w:t>12</w:t>
      </w:r>
      <w:r w:rsidR="009949A0">
        <w:fldChar w:fldCharType="end"/>
      </w:r>
      <w:r w:rsidRPr="00E62F51">
        <w:t>. These home range are between 28 to 45% larger than the largest Brolga breeding home range</w:t>
      </w:r>
      <w:r w:rsidR="00C93AF0" w:rsidRPr="00E62F51">
        <w:t xml:space="preserve"> calculated by </w:t>
      </w:r>
      <w:proofErr w:type="spellStart"/>
      <w:r w:rsidR="00C93AF0" w:rsidRPr="00E62F51">
        <w:t>Veltheim</w:t>
      </w:r>
      <w:proofErr w:type="spellEnd"/>
      <w:r w:rsidR="00C93AF0" w:rsidRPr="00E62F51">
        <w:t xml:space="preserve"> et al. (2019)</w:t>
      </w:r>
      <w:r w:rsidRPr="00E62F51">
        <w:t>, which</w:t>
      </w:r>
      <w:r w:rsidR="00C93AF0">
        <w:t xml:space="preserve"> was</w:t>
      </w:r>
      <w:r w:rsidRPr="00E62F51">
        <w:t xml:space="preserve"> 523 hectares</w:t>
      </w:r>
      <w:r w:rsidR="00C93AF0">
        <w:t xml:space="preserve">, and </w:t>
      </w:r>
      <w:r>
        <w:t xml:space="preserve">more than three times the mean area </w:t>
      </w:r>
      <w:r w:rsidR="00C93AF0" w:rsidRPr="00E62F51">
        <w:t>Brolga breeding home range</w:t>
      </w:r>
      <w:r w:rsidR="00C93AF0">
        <w:t xml:space="preserve"> </w:t>
      </w:r>
      <w:r>
        <w:t xml:space="preserve">of 232 hectares. </w:t>
      </w:r>
    </w:p>
    <w:p w14:paraId="72318388" w14:textId="08325592" w:rsidR="009D2459" w:rsidRPr="00E62F51" w:rsidRDefault="009D2459" w:rsidP="009D2459">
      <w:pPr>
        <w:pStyle w:val="BodyText"/>
      </w:pPr>
    </w:p>
    <w:p w14:paraId="036AB198" w14:textId="77777777" w:rsidR="007B107A" w:rsidRDefault="007B107A">
      <w:pPr>
        <w:spacing w:before="0" w:after="160" w:line="259" w:lineRule="auto"/>
      </w:pPr>
      <w:r>
        <w:br w:type="page"/>
      </w:r>
    </w:p>
    <w:p w14:paraId="51E203C3" w14:textId="6496E502" w:rsidR="005D124F" w:rsidRPr="00E62F51" w:rsidRDefault="007D58CD" w:rsidP="005D124F">
      <w:pPr>
        <w:pStyle w:val="Image"/>
      </w:pPr>
      <w:r>
        <w:rPr>
          <w:noProof/>
        </w:rPr>
        <w:lastRenderedPageBreak/>
        <w:drawing>
          <wp:inline distT="0" distB="0" distL="0" distR="0" wp14:anchorId="41843BB1" wp14:editId="1D957D15">
            <wp:extent cx="5760085" cy="4059555"/>
            <wp:effectExtent l="0" t="0" r="0" b="0"/>
            <wp:docPr id="14" name="Picture 14" descr="Aerial map showing a 400 metre buffer around Brolga breeding and functional wetlands within and surrounding the projec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erial map showing a 400 metre buffer around Brolga breeding and functional wetlands within and surrounding the project sit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085" cy="4059555"/>
                    </a:xfrm>
                    <a:prstGeom prst="rect">
                      <a:avLst/>
                    </a:prstGeom>
                  </pic:spPr>
                </pic:pic>
              </a:graphicData>
            </a:graphic>
          </wp:inline>
        </w:drawing>
      </w:r>
    </w:p>
    <w:p w14:paraId="66B73058" w14:textId="33E26D39" w:rsidR="005D124F" w:rsidRDefault="005D124F" w:rsidP="005D124F">
      <w:pPr>
        <w:pStyle w:val="Caption"/>
      </w:pPr>
      <w:bookmarkStart w:id="180" w:name="_Ref99097479"/>
      <w:bookmarkStart w:id="181" w:name="_Toc104909299"/>
      <w:r w:rsidRPr="007B107A">
        <w:t xml:space="preserve">Figure </w:t>
      </w:r>
      <w:r w:rsidR="00EB48E9">
        <w:fldChar w:fldCharType="begin"/>
      </w:r>
      <w:r w:rsidR="00EB48E9">
        <w:instrText xml:space="preserve"> STYLEREF 1 \s </w:instrText>
      </w:r>
      <w:r w:rsidR="00EB48E9">
        <w:fldChar w:fldCharType="separate"/>
      </w:r>
      <w:r w:rsidR="00C053A5">
        <w:rPr>
          <w:noProof/>
        </w:rPr>
        <w:t>11</w:t>
      </w:r>
      <w:r w:rsidR="00EB48E9">
        <w:rPr>
          <w:noProof/>
        </w:rPr>
        <w:fldChar w:fldCharType="end"/>
      </w:r>
      <w:r w:rsidRPr="007B107A">
        <w:t>.</w:t>
      </w:r>
      <w:r w:rsidR="00EB48E9">
        <w:fldChar w:fldCharType="begin"/>
      </w:r>
      <w:r w:rsidR="00EB48E9">
        <w:instrText xml:space="preserve"> SEQ Figure \* ARABIC \s 1 </w:instrText>
      </w:r>
      <w:r w:rsidR="00EB48E9">
        <w:fldChar w:fldCharType="separate"/>
      </w:r>
      <w:r w:rsidR="00C053A5">
        <w:rPr>
          <w:noProof/>
        </w:rPr>
        <w:t>11</w:t>
      </w:r>
      <w:r w:rsidR="00EB48E9">
        <w:rPr>
          <w:noProof/>
        </w:rPr>
        <w:fldChar w:fldCharType="end"/>
      </w:r>
      <w:bookmarkEnd w:id="180"/>
      <w:r w:rsidRPr="007B107A">
        <w:tab/>
        <w:t xml:space="preserve">400 metre buffer of </w:t>
      </w:r>
      <w:r w:rsidR="00E72644">
        <w:t xml:space="preserve">functional wetlands and </w:t>
      </w:r>
      <w:r w:rsidRPr="007B107A">
        <w:t>Brolga breeding wetlands</w:t>
      </w:r>
      <w:bookmarkEnd w:id="181"/>
    </w:p>
    <w:p w14:paraId="179201DC" w14:textId="77777777" w:rsidR="008F1B0C" w:rsidRDefault="008F1B0C" w:rsidP="005D124F">
      <w:pPr>
        <w:pStyle w:val="Caption"/>
      </w:pPr>
      <w:r>
        <w:rPr>
          <w:noProof/>
        </w:rPr>
        <w:drawing>
          <wp:inline distT="0" distB="0" distL="0" distR="0" wp14:anchorId="4AC7F7B0" wp14:editId="70AD27A5">
            <wp:extent cx="5760085" cy="4082415"/>
            <wp:effectExtent l="0" t="0" r="0" b="0"/>
            <wp:docPr id="5" name="Picture 5" descr="Aerial map of the 400 metre buffer around Brolga breeding and functional wetlands within and surrounding the project site, with Brolga home range boundaries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erial map of the 400 metre buffer around Brolga breeding and functional wetlands within and surrounding the project site, with Brolga home range boundaries shown"/>
                    <pic:cNvPicPr/>
                  </pic:nvPicPr>
                  <pic:blipFill>
                    <a:blip r:embed="rId28"/>
                    <a:stretch>
                      <a:fillRect/>
                    </a:stretch>
                  </pic:blipFill>
                  <pic:spPr>
                    <a:xfrm>
                      <a:off x="0" y="0"/>
                      <a:ext cx="5760085" cy="4082415"/>
                    </a:xfrm>
                    <a:prstGeom prst="rect">
                      <a:avLst/>
                    </a:prstGeom>
                  </pic:spPr>
                </pic:pic>
              </a:graphicData>
            </a:graphic>
          </wp:inline>
        </w:drawing>
      </w:r>
      <w:bookmarkStart w:id="182" w:name="_Ref81914886"/>
    </w:p>
    <w:p w14:paraId="40DA1845" w14:textId="78A0F288" w:rsidR="005D124F" w:rsidRPr="007B107A" w:rsidRDefault="005D124F" w:rsidP="005D124F">
      <w:pPr>
        <w:pStyle w:val="Caption"/>
      </w:pPr>
      <w:bookmarkStart w:id="183" w:name="_Ref104908827"/>
      <w:bookmarkStart w:id="184" w:name="_Toc104909300"/>
      <w:r w:rsidRPr="007B107A">
        <w:t xml:space="preserve">Figure </w:t>
      </w:r>
      <w:r w:rsidR="00EB48E9">
        <w:fldChar w:fldCharType="begin"/>
      </w:r>
      <w:r w:rsidR="00EB48E9">
        <w:instrText xml:space="preserve"> STYLEREF 1 \s </w:instrText>
      </w:r>
      <w:r w:rsidR="00EB48E9">
        <w:fldChar w:fldCharType="separate"/>
      </w:r>
      <w:r w:rsidR="00C053A5">
        <w:rPr>
          <w:noProof/>
        </w:rPr>
        <w:t>11</w:t>
      </w:r>
      <w:r w:rsidR="00EB48E9">
        <w:rPr>
          <w:noProof/>
        </w:rPr>
        <w:fldChar w:fldCharType="end"/>
      </w:r>
      <w:r w:rsidRPr="007B107A">
        <w:t>.</w:t>
      </w:r>
      <w:r w:rsidR="00EB48E9">
        <w:fldChar w:fldCharType="begin"/>
      </w:r>
      <w:r w:rsidR="00EB48E9">
        <w:instrText xml:space="preserve"> SEQ Figure \* ARABIC \s 1 </w:instrText>
      </w:r>
      <w:r w:rsidR="00EB48E9">
        <w:fldChar w:fldCharType="separate"/>
      </w:r>
      <w:r w:rsidR="00C053A5">
        <w:rPr>
          <w:noProof/>
        </w:rPr>
        <w:t>12</w:t>
      </w:r>
      <w:r w:rsidR="00EB48E9">
        <w:rPr>
          <w:noProof/>
        </w:rPr>
        <w:fldChar w:fldCharType="end"/>
      </w:r>
      <w:bookmarkEnd w:id="182"/>
      <w:bookmarkEnd w:id="183"/>
      <w:r w:rsidRPr="007B107A">
        <w:tab/>
        <w:t>Brolga home ranges</w:t>
      </w:r>
      <w:bookmarkEnd w:id="184"/>
      <w:r w:rsidR="00E72644">
        <w:t xml:space="preserve"> </w:t>
      </w:r>
    </w:p>
    <w:p w14:paraId="5083DEFF" w14:textId="77777777" w:rsidR="00E04EDB" w:rsidRDefault="00E04EDB">
      <w:pPr>
        <w:spacing w:before="0" w:after="160" w:line="259" w:lineRule="auto"/>
      </w:pPr>
      <w:r>
        <w:br w:type="page"/>
      </w:r>
    </w:p>
    <w:p w14:paraId="0726FF32" w14:textId="71792B6D" w:rsidR="00984474" w:rsidRDefault="00984474" w:rsidP="00984474">
      <w:pPr>
        <w:pStyle w:val="BodyText"/>
      </w:pPr>
      <w:bookmarkStart w:id="185" w:name="_Hlk99369483"/>
      <w:r>
        <w:lastRenderedPageBreak/>
        <w:t xml:space="preserve">The Interim Brolga guidelines acknowledge that home ranges are likely to vary with local habitat quality and extent and seasonal conditions (DSE, 2012). The home ranges defined by the project (see Appendix C1 – </w:t>
      </w:r>
      <w:r w:rsidRPr="00E04EDB">
        <w:rPr>
          <w:i/>
          <w:iCs/>
        </w:rPr>
        <w:t>Brolga</w:t>
      </w:r>
      <w:r>
        <w:t xml:space="preserve">) have the following features: </w:t>
      </w:r>
    </w:p>
    <w:p w14:paraId="5716D6D1" w14:textId="5B93F6C1" w:rsidR="005D124F" w:rsidRDefault="00984474" w:rsidP="009949A0">
      <w:pPr>
        <w:pStyle w:val="ListBullet"/>
        <w:contextualSpacing/>
      </w:pPr>
      <w:r>
        <w:t>a minimum of four wetlands (average 4.2 wetlands) in each of the home ranges from the five Brolga possible breeding wetlands</w:t>
      </w:r>
      <w:r w:rsidRPr="00984474">
        <w:t xml:space="preserve"> </w:t>
      </w:r>
      <w:r>
        <w:t>in the Cockatoo Swamp wetland complex</w:t>
      </w:r>
      <w:r w:rsidR="00597911">
        <w:t xml:space="preserve">. </w:t>
      </w:r>
      <w:proofErr w:type="spellStart"/>
      <w:r w:rsidR="00597911" w:rsidRPr="00597911">
        <w:t>Veltheim</w:t>
      </w:r>
      <w:proofErr w:type="spellEnd"/>
      <w:r w:rsidR="00597911" w:rsidRPr="00597911">
        <w:t xml:space="preserve"> et al. (2019) </w:t>
      </w:r>
      <w:r w:rsidR="0090267C">
        <w:t>found that brolgas need three wetlands within the breeding distribution</w:t>
      </w:r>
      <w:r w:rsidR="00E72644">
        <w:t xml:space="preserve"> to breed successfully</w:t>
      </w:r>
    </w:p>
    <w:p w14:paraId="68137036" w14:textId="28873C45" w:rsidR="005D124F" w:rsidRDefault="00984474" w:rsidP="009949A0">
      <w:pPr>
        <w:pStyle w:val="ListBullet"/>
        <w:contextualSpacing/>
      </w:pPr>
      <w:r>
        <w:t xml:space="preserve">home ranges that are each </w:t>
      </w:r>
      <w:r w:rsidR="0090267C">
        <w:t>significantly</w:t>
      </w:r>
      <w:r>
        <w:t xml:space="preserve"> larger than any of the home ranges recorded in the </w:t>
      </w:r>
      <w:proofErr w:type="spellStart"/>
      <w:r>
        <w:t>Veltheim</w:t>
      </w:r>
      <w:proofErr w:type="spellEnd"/>
      <w:r w:rsidR="009949A0">
        <w:t> </w:t>
      </w:r>
      <w:r>
        <w:t>et</w:t>
      </w:r>
      <w:r w:rsidR="009949A0">
        <w:t> </w:t>
      </w:r>
      <w:r>
        <w:t xml:space="preserve">al. (2019) </w:t>
      </w:r>
      <w:r w:rsidR="0090267C">
        <w:t xml:space="preserve">or other </w:t>
      </w:r>
      <w:r>
        <w:t>stud</w:t>
      </w:r>
      <w:r w:rsidR="0090267C">
        <w:t>ies</w:t>
      </w:r>
      <w:r>
        <w:t>.</w:t>
      </w:r>
    </w:p>
    <w:p w14:paraId="6A1C062C" w14:textId="65E75E46" w:rsidR="009D2459" w:rsidRDefault="009D2459" w:rsidP="009D2459">
      <w:pPr>
        <w:pStyle w:val="BodyText"/>
      </w:pPr>
      <w:r w:rsidRPr="00E62F51">
        <w:t xml:space="preserve">A disturbance buffer of 300 metres was then applied around </w:t>
      </w:r>
      <w:r w:rsidR="00E72644">
        <w:t xml:space="preserve">the </w:t>
      </w:r>
      <w:r w:rsidRPr="00E62F51">
        <w:t xml:space="preserve">perimeter of the home range boundary consistent with the recommendation of the Interim Brolga Guidelines. No project infrastructure (including tracks or cables) was placed within this buffer area. An additional 95 metres was added to the home range boundary to account for the maximum length turbine blades. </w:t>
      </w:r>
      <w:r w:rsidR="00984474" w:rsidRPr="00984474">
        <w:t>The outer edge of these additional zones around the home range represents the turbine free buffer for Brolga breeding sites.</w:t>
      </w:r>
      <w:bookmarkEnd w:id="185"/>
    </w:p>
    <w:p w14:paraId="5BC1E23E" w14:textId="77777777" w:rsidR="008F1B0C" w:rsidRDefault="008F1B0C" w:rsidP="009949A0">
      <w:pPr>
        <w:pStyle w:val="Image"/>
      </w:pPr>
      <w:bookmarkStart w:id="186" w:name="_Hlk82759336"/>
      <w:r>
        <w:rPr>
          <w:noProof/>
        </w:rPr>
        <w:drawing>
          <wp:inline distT="0" distB="0" distL="0" distR="0" wp14:anchorId="7C530D65" wp14:editId="59CA3E78">
            <wp:extent cx="5760085" cy="4065905"/>
            <wp:effectExtent l="0" t="0" r="0" b="0"/>
            <wp:docPr id="8" name="Picture 8" descr="Aerial map of the 400 metre buffer around Brolga breeding and functional wetlands within and surrounding the project site, with the turbine free buffer area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erial map of the 400 metre buffer around Brolga breeding and functional wetlands within and surrounding the project site, with the turbine free buffer area shown"/>
                    <pic:cNvPicPr/>
                  </pic:nvPicPr>
                  <pic:blipFill>
                    <a:blip r:embed="rId29"/>
                    <a:stretch>
                      <a:fillRect/>
                    </a:stretch>
                  </pic:blipFill>
                  <pic:spPr>
                    <a:xfrm>
                      <a:off x="0" y="0"/>
                      <a:ext cx="5760085" cy="4065905"/>
                    </a:xfrm>
                    <a:prstGeom prst="rect">
                      <a:avLst/>
                    </a:prstGeom>
                  </pic:spPr>
                </pic:pic>
              </a:graphicData>
            </a:graphic>
          </wp:inline>
        </w:drawing>
      </w:r>
      <w:bookmarkStart w:id="187" w:name="_Ref82700065"/>
      <w:bookmarkStart w:id="188" w:name="_Toc83307486"/>
    </w:p>
    <w:p w14:paraId="5DA39ABE" w14:textId="3AD4F93D" w:rsidR="0090267C" w:rsidRPr="007B107A" w:rsidRDefault="0090267C" w:rsidP="0090267C">
      <w:pPr>
        <w:pStyle w:val="Caption"/>
      </w:pPr>
      <w:bookmarkStart w:id="189" w:name="_Toc104909301"/>
      <w:r w:rsidRPr="007B107A">
        <w:t xml:space="preserve">Figure </w:t>
      </w:r>
      <w:r w:rsidR="00EB48E9">
        <w:fldChar w:fldCharType="begin"/>
      </w:r>
      <w:r w:rsidR="00EB48E9">
        <w:instrText xml:space="preserve"> STYLEREF 1 \s </w:instrText>
      </w:r>
      <w:r w:rsidR="00EB48E9">
        <w:fldChar w:fldCharType="separate"/>
      </w:r>
      <w:r w:rsidR="00C053A5">
        <w:rPr>
          <w:noProof/>
        </w:rPr>
        <w:t>11</w:t>
      </w:r>
      <w:r w:rsidR="00EB48E9">
        <w:rPr>
          <w:noProof/>
        </w:rPr>
        <w:fldChar w:fldCharType="end"/>
      </w:r>
      <w:r w:rsidRPr="007B107A">
        <w:t>.</w:t>
      </w:r>
      <w:r w:rsidR="00EB48E9">
        <w:fldChar w:fldCharType="begin"/>
      </w:r>
      <w:r w:rsidR="00EB48E9">
        <w:instrText xml:space="preserve"> SEQ Figure \* ARABIC \s 1 </w:instrText>
      </w:r>
      <w:r w:rsidR="00EB48E9">
        <w:fldChar w:fldCharType="separate"/>
      </w:r>
      <w:r w:rsidR="00C053A5">
        <w:rPr>
          <w:noProof/>
        </w:rPr>
        <w:t>13</w:t>
      </w:r>
      <w:r w:rsidR="00EB48E9">
        <w:rPr>
          <w:noProof/>
        </w:rPr>
        <w:fldChar w:fldCharType="end"/>
      </w:r>
      <w:bookmarkEnd w:id="187"/>
      <w:r w:rsidRPr="007B107A">
        <w:tab/>
        <w:t>Final turbine free buffer around Cockatoo Swamp complex</w:t>
      </w:r>
      <w:bookmarkEnd w:id="188"/>
      <w:bookmarkEnd w:id="189"/>
    </w:p>
    <w:p w14:paraId="29D88A7B" w14:textId="3A3492BF" w:rsidR="00C93AF0" w:rsidRPr="007344FE" w:rsidRDefault="00C93AF0" w:rsidP="00C93AF0">
      <w:pPr>
        <w:pStyle w:val="BodyText"/>
      </w:pPr>
      <w:bookmarkStart w:id="190" w:name="_Hlk79412670"/>
      <w:bookmarkStart w:id="191" w:name="_Hlk80212150"/>
      <w:r w:rsidRPr="00E62F51">
        <w:t xml:space="preserve">The resulting turbine free buffer around Cockatoo Swamp complex is </w:t>
      </w:r>
      <w:bookmarkStart w:id="192" w:name="_Hlk80088373"/>
      <w:r w:rsidR="001E7E9E" w:rsidRPr="001E7E9E">
        <w:t>2</w:t>
      </w:r>
      <w:r w:rsidR="001E7E9E">
        <w:t>,</w:t>
      </w:r>
      <w:r w:rsidR="001E7E9E" w:rsidRPr="001E7E9E">
        <w:t>65</w:t>
      </w:r>
      <w:r w:rsidR="001E7E9E">
        <w:t>8</w:t>
      </w:r>
      <w:r w:rsidRPr="00E62F51">
        <w:t> hectares in size</w:t>
      </w:r>
      <w:bookmarkEnd w:id="192"/>
      <w:r w:rsidRPr="00E62F51">
        <w:t>, encompassing five wetlands (W12e, W12c, W12w, 1 and 4).</w:t>
      </w:r>
      <w:r>
        <w:t xml:space="preserve"> </w:t>
      </w:r>
      <w:r w:rsidRPr="00E62F51">
        <w:t xml:space="preserve">It includes a 795-metre turbine free buffer around the perimeter of known Brolga breeding wetlands and </w:t>
      </w:r>
      <w:r>
        <w:t>functional</w:t>
      </w:r>
      <w:r w:rsidRPr="00E62F51">
        <w:t xml:space="preserve"> wetlands within 2,000</w:t>
      </w:r>
      <w:r>
        <w:t> </w:t>
      </w:r>
      <w:r w:rsidRPr="00E62F51">
        <w:t xml:space="preserve">metres of </w:t>
      </w:r>
      <w:bookmarkEnd w:id="190"/>
      <w:r w:rsidRPr="00E62F51">
        <w:t xml:space="preserve">those breeding wetlands. Based on flight observations by Nature Advisory this area would contain 71% of Brolga flights from observations of nesting Brolga pairs, noting that only a fraction (~8%) of all flights are at </w:t>
      </w:r>
      <w:r w:rsidRPr="007344FE">
        <w:t xml:space="preserve">the height of wind turbines blades (refer to </w:t>
      </w:r>
      <w:r w:rsidRPr="007D58CD">
        <w:fldChar w:fldCharType="begin"/>
      </w:r>
      <w:r w:rsidRPr="007344FE">
        <w:instrText xml:space="preserve"> REF _Ref88555252 \h </w:instrText>
      </w:r>
      <w:r w:rsidR="007344FE">
        <w:instrText xml:space="preserve"> \* MERGEFORMAT </w:instrText>
      </w:r>
      <w:r w:rsidRPr="007D58CD">
        <w:fldChar w:fldCharType="separate"/>
      </w:r>
      <w:r w:rsidR="00C053A5" w:rsidRPr="00DA6358">
        <w:t xml:space="preserve">Figure </w:t>
      </w:r>
      <w:r w:rsidR="00C053A5">
        <w:rPr>
          <w:noProof/>
        </w:rPr>
        <w:t>11</w:t>
      </w:r>
      <w:r w:rsidR="00C053A5" w:rsidRPr="00DA6358">
        <w:rPr>
          <w:noProof/>
        </w:rPr>
        <w:t>.</w:t>
      </w:r>
      <w:r w:rsidR="00C053A5">
        <w:rPr>
          <w:noProof/>
        </w:rPr>
        <w:t>9</w:t>
      </w:r>
      <w:r w:rsidRPr="007D58CD">
        <w:fldChar w:fldCharType="end"/>
      </w:r>
      <w:r w:rsidRPr="007344FE">
        <w:t>).</w:t>
      </w:r>
      <w:bookmarkEnd w:id="191"/>
      <w:r w:rsidRPr="007344FE">
        <w:t xml:space="preserve"> </w:t>
      </w:r>
      <w:r w:rsidR="00E72644">
        <w:t>Records indicate this buffer protects the future breeding opportunities for the one pair of Brolga found using it.</w:t>
      </w:r>
    </w:p>
    <w:p w14:paraId="3DCEA68D" w14:textId="77777777" w:rsidR="007D58CD" w:rsidRDefault="007D58CD" w:rsidP="007D58CD">
      <w:bookmarkStart w:id="193" w:name="_Hlk80194963"/>
      <w:bookmarkEnd w:id="186"/>
      <w:r w:rsidRPr="00B3458C">
        <w:t xml:space="preserve">The </w:t>
      </w:r>
      <w:proofErr w:type="spellStart"/>
      <w:r w:rsidRPr="00B3458C">
        <w:t>Veltheim</w:t>
      </w:r>
      <w:proofErr w:type="spellEnd"/>
      <w:r w:rsidRPr="00B3458C">
        <w:t xml:space="preserve"> et al. (2019) </w:t>
      </w:r>
      <w:r>
        <w:t>research</w:t>
      </w:r>
      <w:r w:rsidRPr="00B3458C">
        <w:t xml:space="preserve"> acknowledge that Brolga home range variations make it challenging to apply generic buffers, based on average home range size or movement ability of pre-fledged chicks. </w:t>
      </w:r>
      <w:r>
        <w:t>They note</w:t>
      </w:r>
      <w:r w:rsidRPr="00B3458C">
        <w:t xml:space="preserve"> that it is more appropriate to ensure that habitat elements including breeding site, night roost, foraging areas and potential movement corridors between these habitats are incorporated into buffers at each breeding site, based on their spatial arrangement in the landscape.</w:t>
      </w:r>
    </w:p>
    <w:p w14:paraId="5C930F3E" w14:textId="4B95CC17" w:rsidR="007D58CD" w:rsidRDefault="007D58CD" w:rsidP="009949A0">
      <w:pPr>
        <w:keepLines/>
      </w:pPr>
      <w:r>
        <w:lastRenderedPageBreak/>
        <w:t xml:space="preserve">The current proposal includes the creation of a large complex wetland buffer area to avoid impacts to the pair of Brolga known to nest in the area. This would provide infrastructure free area almost ten times the mean home range size recorded by </w:t>
      </w:r>
      <w:proofErr w:type="spellStart"/>
      <w:r w:rsidRPr="00E62F51">
        <w:t>Veltheim</w:t>
      </w:r>
      <w:proofErr w:type="spellEnd"/>
      <w:r w:rsidRPr="00E62F51">
        <w:t xml:space="preserve"> et al. (2019)</w:t>
      </w:r>
      <w:r w:rsidR="00E72644">
        <w:t xml:space="preserve"> and is considered to avoid impacts on that pair effectively.</w:t>
      </w:r>
      <w:r>
        <w:t xml:space="preserve"> </w:t>
      </w:r>
    </w:p>
    <w:p w14:paraId="1F6C491B" w14:textId="7DD7D854" w:rsidR="009D2459" w:rsidRPr="00DA6358" w:rsidRDefault="009D2459" w:rsidP="00DA6358">
      <w:pPr>
        <w:pStyle w:val="Heading4"/>
      </w:pPr>
      <w:r w:rsidRPr="00DA6358">
        <w:t>Minimum tip height</w:t>
      </w:r>
    </w:p>
    <w:p w14:paraId="183D5FDC" w14:textId="5C72C2DB" w:rsidR="009D2459" w:rsidRPr="00E62F51" w:rsidRDefault="009D2459" w:rsidP="009D2459">
      <w:pPr>
        <w:pStyle w:val="BodyText"/>
      </w:pPr>
      <w:r w:rsidRPr="00E62F51">
        <w:t>A minimum tip height of</w:t>
      </w:r>
      <w:r w:rsidR="00C93AF0">
        <w:t xml:space="preserve"> </w:t>
      </w:r>
      <w:r w:rsidR="00C93AF0" w:rsidRPr="00E62F51">
        <w:t>40 metres</w:t>
      </w:r>
      <w:r w:rsidR="00C93AF0">
        <w:t xml:space="preserve"> for wind turbines</w:t>
      </w:r>
      <w:r w:rsidRPr="00E62F51">
        <w:t xml:space="preserve"> has been adopted for the project (</w:t>
      </w:r>
      <w:r w:rsidR="00C06232">
        <w:t>i.e.</w:t>
      </w:r>
      <w:r w:rsidR="00FD6CA5">
        <w:t>,</w:t>
      </w:r>
      <w:r w:rsidRPr="00E62F51">
        <w:t xml:space="preserve"> all wind turbine blades will be at least 40 metres from ground level). This limit was selected to minimise potential collision risk with Brolga (and other birds and bats). This was informed from flight behaviour data gathered by Nature Advisory over 15 years in southwest Victoria. These monitoring observations of 31 breeding Brolga pairs showed that there were approximately </w:t>
      </w:r>
      <w:r w:rsidR="00401FA4">
        <w:t>8.</w:t>
      </w:r>
      <w:r w:rsidRPr="00E62F51">
        <w:t xml:space="preserve">6% of flights estimated to be </w:t>
      </w:r>
      <w:r w:rsidR="00401FA4">
        <w:t xml:space="preserve">at or </w:t>
      </w:r>
      <w:r w:rsidRPr="00E62F51">
        <w:t>above the minimum tip height of 40 metres (see</w:t>
      </w:r>
      <w:r w:rsidR="00F210C7">
        <w:t xml:space="preserve"> </w:t>
      </w:r>
      <w:r w:rsidR="00F210C7">
        <w:fldChar w:fldCharType="begin"/>
      </w:r>
      <w:r w:rsidR="00F210C7">
        <w:instrText xml:space="preserve"> REF _Ref88555252 \h </w:instrText>
      </w:r>
      <w:r w:rsidR="00F210C7">
        <w:fldChar w:fldCharType="separate"/>
      </w:r>
      <w:r w:rsidR="00C053A5" w:rsidRPr="00DA6358">
        <w:t xml:space="preserve">Figure </w:t>
      </w:r>
      <w:r w:rsidR="00C053A5">
        <w:rPr>
          <w:noProof/>
        </w:rPr>
        <w:t>11</w:t>
      </w:r>
      <w:r w:rsidR="00C053A5" w:rsidRPr="00DA6358">
        <w:t>.</w:t>
      </w:r>
      <w:r w:rsidR="00C053A5">
        <w:rPr>
          <w:noProof/>
        </w:rPr>
        <w:t>9</w:t>
      </w:r>
      <w:r w:rsidR="00F210C7">
        <w:fldChar w:fldCharType="end"/>
      </w:r>
      <w:r w:rsidRPr="00E62F51">
        <w:t>).</w:t>
      </w:r>
    </w:p>
    <w:p w14:paraId="0593469A" w14:textId="77777777" w:rsidR="009D2459" w:rsidRPr="00DA6358" w:rsidRDefault="009D2459" w:rsidP="00DA6358">
      <w:pPr>
        <w:pStyle w:val="Heading4"/>
      </w:pPr>
      <w:r w:rsidRPr="00DA6358">
        <w:t>Hydrology</w:t>
      </w:r>
    </w:p>
    <w:p w14:paraId="7E0846F3" w14:textId="72111115" w:rsidR="009D2459" w:rsidRPr="00E62F51" w:rsidRDefault="009D2459" w:rsidP="009D2459">
      <w:pPr>
        <w:pStyle w:val="BodyText"/>
      </w:pPr>
      <w:r w:rsidRPr="00E62F51">
        <w:t xml:space="preserve">The construction of roads and hardstand areas has the potential to alter existing drainage patterns if not accounted for during design. Hydrological effects have the potential to occur over a larger area due to the nature of the shallow topographical relief of floodplain systems. The exclusion of wind turbines and other infrastructure from the entire Cockatoo Swamp ephemeral floodplain complex area will largely mitigate this potential impact. Furthermore, hydrological flood modelling was used to inform the placement of turbine locations outside of water flow paths. In areas where inundation is predicted, hardstands will be designed to ensure drainage flows away from wind turbine location. Hardstands will be slightly raised above surrounding ground level, and in several instances, foundations will be raised further to ensure floodwaters do not reach the base of the wind turbine in a 1% AEP event (refer to Chapter 10 – </w:t>
      </w:r>
      <w:r w:rsidRPr="00E62F51">
        <w:rPr>
          <w:i/>
        </w:rPr>
        <w:t>Surface water</w:t>
      </w:r>
      <w:r w:rsidRPr="00E62F51">
        <w:t xml:space="preserve"> for a description of flooding terminology). Permanent surface structures, including the substation and the battery energy storage system, would be designed to maintain existing overland flow paths and not result in increased flood levels upstream of the sites. </w:t>
      </w:r>
    </w:p>
    <w:p w14:paraId="1E96E3A5" w14:textId="77777777" w:rsidR="009D2459" w:rsidRPr="00DA6358" w:rsidRDefault="009D2459" w:rsidP="00DA6358">
      <w:pPr>
        <w:pStyle w:val="Heading4"/>
      </w:pPr>
      <w:bookmarkStart w:id="194" w:name="_Hlk99369830"/>
      <w:bookmarkEnd w:id="193"/>
      <w:r w:rsidRPr="00DA6358">
        <w:t>Minimisation of overhead transmission lines</w:t>
      </w:r>
    </w:p>
    <w:p w14:paraId="1DA80517" w14:textId="77777777" w:rsidR="009D2459" w:rsidRPr="00E62F51" w:rsidRDefault="009D2459" w:rsidP="009D2459">
      <w:pPr>
        <w:pStyle w:val="BodyText"/>
      </w:pPr>
      <w:r w:rsidRPr="00E62F51">
        <w:t>Brolgas are known to collide with powerlines (</w:t>
      </w:r>
      <w:proofErr w:type="spellStart"/>
      <w:r w:rsidRPr="00E62F51">
        <w:t>Goldstraw</w:t>
      </w:r>
      <w:proofErr w:type="spellEnd"/>
      <w:r w:rsidRPr="00E62F51">
        <w:t xml:space="preserve"> and Du Guesclin, 1991), so new powerlines associated with wind farms within Brolga habitats will pose a new collision risk.</w:t>
      </w:r>
    </w:p>
    <w:p w14:paraId="51D7F628" w14:textId="0D8EEAE3" w:rsidR="009D2459" w:rsidRPr="00E62F51" w:rsidRDefault="009D2459" w:rsidP="009D2459">
      <w:pPr>
        <w:pStyle w:val="BodyText"/>
      </w:pPr>
      <w:r w:rsidRPr="00E62F51">
        <w:t xml:space="preserve">The addition more land to the to the central part of the project in 2019 site enabled the proposed on-site substation to be relocated adjacent to the </w:t>
      </w:r>
      <w:proofErr w:type="spellStart"/>
      <w:r w:rsidRPr="00E62F51">
        <w:t>Tarrone</w:t>
      </w:r>
      <w:proofErr w:type="spellEnd"/>
      <w:r w:rsidRPr="00E62F51">
        <w:t xml:space="preserve"> Terminal Station area. This reduced the length of overhead transmission line between the on-site substation and the grid connection point at the </w:t>
      </w:r>
      <w:proofErr w:type="spellStart"/>
      <w:r w:rsidRPr="00E62F51">
        <w:t>Tarrone</w:t>
      </w:r>
      <w:proofErr w:type="spellEnd"/>
      <w:r w:rsidR="009949A0">
        <w:t> </w:t>
      </w:r>
      <w:r w:rsidRPr="00E62F51">
        <w:t xml:space="preserve">Terminal Station to be reduced from 5 kilometres to </w:t>
      </w:r>
      <w:r w:rsidR="0090267C">
        <w:t>less than</w:t>
      </w:r>
      <w:r w:rsidRPr="00E62F51">
        <w:t xml:space="preserve"> 300 metres. </w:t>
      </w:r>
      <w:r w:rsidR="008F6BC5">
        <w:t xml:space="preserve">Biosis (Appendix C2 – </w:t>
      </w:r>
      <w:r w:rsidR="008F6BC5" w:rsidRPr="00E04EDB">
        <w:rPr>
          <w:i/>
          <w:iCs/>
        </w:rPr>
        <w:t>Ecological peer review</w:t>
      </w:r>
      <w:r w:rsidR="008F6BC5">
        <w:t xml:space="preserve">) note that </w:t>
      </w:r>
      <w:r w:rsidR="008F6BC5" w:rsidRPr="008F6BC5">
        <w:t>the reduction of the proposed overhead transmission line is a significant measure that can be expected to reduce the probability of Brolgas colliding with the transmission line.</w:t>
      </w:r>
    </w:p>
    <w:p w14:paraId="650B3C36" w14:textId="6A17F1FB" w:rsidR="009D2459" w:rsidRDefault="009D2459" w:rsidP="009D2459">
      <w:pPr>
        <w:pStyle w:val="BodyText"/>
      </w:pPr>
      <w:r w:rsidRPr="00E62F51">
        <w:t>The on-site substation and overhead powerline have been located away from Brolga breeding wetlands and well outside the Brolga home range and buffer zones created for the project. All remaining electrical cabling required for the project will be placed underground and located outside the Brolga buffer zones.</w:t>
      </w:r>
    </w:p>
    <w:p w14:paraId="2B84F5A5" w14:textId="09ADEAAF" w:rsidR="0022442B" w:rsidRPr="001069F5" w:rsidRDefault="0022442B" w:rsidP="00E04EDB">
      <w:pPr>
        <w:pStyle w:val="Heading3"/>
      </w:pPr>
      <w:bookmarkStart w:id="195" w:name="_Ref88556063"/>
      <w:bookmarkStart w:id="196" w:name="_Ref88556072"/>
      <w:bookmarkStart w:id="197" w:name="_Toc104909279"/>
      <w:bookmarkEnd w:id="194"/>
      <w:r w:rsidRPr="001069F5">
        <w:t>Management</w:t>
      </w:r>
      <w:bookmarkEnd w:id="195"/>
      <w:bookmarkEnd w:id="196"/>
      <w:r>
        <w:t xml:space="preserve"> controls</w:t>
      </w:r>
      <w:bookmarkEnd w:id="197"/>
    </w:p>
    <w:p w14:paraId="26D09023" w14:textId="1C94272C" w:rsidR="0022442B" w:rsidRPr="00E62F51" w:rsidRDefault="0022442B" w:rsidP="0022442B">
      <w:pPr>
        <w:pStyle w:val="BodyText"/>
      </w:pPr>
      <w:r w:rsidRPr="00E62F51">
        <w:t xml:space="preserve">To minimise potential impacts to Brolga, the mitigation hierarchy was adopted whereby key avoidance and risk minimisation measures were applied during the design of the project. This included the development of turbine free buffers, committing to a 40-metre minimum blade height and limiting overhead transmission lines. To ensure project-related disturbance does not aversely effect Brolga breeding success, or that there are no unexpected turbine collisions the following management measures outlined in </w:t>
      </w:r>
      <w:r>
        <w:fldChar w:fldCharType="begin"/>
      </w:r>
      <w:r>
        <w:instrText xml:space="preserve"> REF _Ref78278498 \h </w:instrText>
      </w:r>
      <w:r>
        <w:fldChar w:fldCharType="separate"/>
      </w:r>
      <w:r w:rsidR="00C053A5" w:rsidRPr="004F6FEB">
        <w:t xml:space="preserve">Table </w:t>
      </w:r>
      <w:r w:rsidR="00C053A5">
        <w:rPr>
          <w:noProof/>
        </w:rPr>
        <w:t>11</w:t>
      </w:r>
      <w:r w:rsidR="00C053A5" w:rsidRPr="004F6FEB">
        <w:t>.</w:t>
      </w:r>
      <w:r w:rsidR="00C053A5">
        <w:rPr>
          <w:noProof/>
        </w:rPr>
        <w:t>6</w:t>
      </w:r>
      <w:r>
        <w:fldChar w:fldCharType="end"/>
      </w:r>
      <w:r w:rsidRPr="00E62F51">
        <w:t xml:space="preserve"> have been proposed for the project.</w:t>
      </w:r>
    </w:p>
    <w:p w14:paraId="2A365659" w14:textId="4B760B93" w:rsidR="0022442B" w:rsidRPr="004F6FEB" w:rsidRDefault="0022442B" w:rsidP="004D6301">
      <w:pPr>
        <w:pStyle w:val="Caption"/>
        <w:pageBreakBefore/>
      </w:pPr>
      <w:bookmarkStart w:id="198" w:name="_Ref78278498"/>
      <w:bookmarkStart w:id="199" w:name="_Toc104909287"/>
      <w:r w:rsidRPr="004F6FEB">
        <w:lastRenderedPageBreak/>
        <w:t xml:space="preserve">Table </w:t>
      </w:r>
      <w:r w:rsidR="00EB48E9">
        <w:fldChar w:fldCharType="begin"/>
      </w:r>
      <w:r w:rsidR="00EB48E9">
        <w:instrText xml:space="preserve"> STYLEREF 1 \s </w:instrText>
      </w:r>
      <w:r w:rsidR="00EB48E9">
        <w:fldChar w:fldCharType="separate"/>
      </w:r>
      <w:r w:rsidR="00C053A5">
        <w:rPr>
          <w:noProof/>
        </w:rPr>
        <w:t>11</w:t>
      </w:r>
      <w:r w:rsidR="00EB48E9">
        <w:rPr>
          <w:noProof/>
        </w:rPr>
        <w:fldChar w:fldCharType="end"/>
      </w:r>
      <w:r w:rsidRPr="004F6FEB">
        <w:t>.</w:t>
      </w:r>
      <w:r w:rsidR="00EB48E9">
        <w:fldChar w:fldCharType="begin"/>
      </w:r>
      <w:r w:rsidR="00EB48E9">
        <w:instrText xml:space="preserve"> SEQ Table \* ARABIC \s 1 </w:instrText>
      </w:r>
      <w:r w:rsidR="00EB48E9">
        <w:fldChar w:fldCharType="separate"/>
      </w:r>
      <w:r w:rsidR="00C053A5">
        <w:rPr>
          <w:noProof/>
        </w:rPr>
        <w:t>6</w:t>
      </w:r>
      <w:r w:rsidR="00EB48E9">
        <w:rPr>
          <w:noProof/>
        </w:rPr>
        <w:fldChar w:fldCharType="end"/>
      </w:r>
      <w:bookmarkEnd w:id="198"/>
      <w:r w:rsidRPr="004F6FEB">
        <w:tab/>
        <w:t>Measures to manage residual effects to Brolga</w:t>
      </w:r>
      <w:bookmarkEnd w:id="199"/>
    </w:p>
    <w:tbl>
      <w:tblPr>
        <w:tblStyle w:val="Table1"/>
        <w:tblW w:w="5000" w:type="pct"/>
        <w:tblLook w:val="04A0" w:firstRow="1" w:lastRow="0" w:firstColumn="1" w:lastColumn="0" w:noHBand="0" w:noVBand="1"/>
      </w:tblPr>
      <w:tblGrid>
        <w:gridCol w:w="1337"/>
        <w:gridCol w:w="1555"/>
        <w:gridCol w:w="4867"/>
        <w:gridCol w:w="1312"/>
      </w:tblGrid>
      <w:tr w:rsidR="0022442B" w:rsidRPr="00E62F51" w14:paraId="4DAD526A" w14:textId="77777777" w:rsidTr="0071298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86" w:type="pct"/>
            <w:hideMark/>
          </w:tcPr>
          <w:p w14:paraId="019B60B0" w14:textId="77777777" w:rsidR="0022442B" w:rsidRPr="00E62F51" w:rsidRDefault="0022442B" w:rsidP="002B75D3">
            <w:pPr>
              <w:pStyle w:val="TableHeading"/>
            </w:pPr>
            <w:r w:rsidRPr="00E62F51">
              <w:t>Brolga impact</w:t>
            </w:r>
          </w:p>
        </w:tc>
        <w:tc>
          <w:tcPr>
            <w:tcW w:w="874" w:type="pct"/>
            <w:hideMark/>
          </w:tcPr>
          <w:p w14:paraId="40D8F6EF" w14:textId="77777777" w:rsidR="0022442B" w:rsidRPr="00E62F51" w:rsidRDefault="0022442B" w:rsidP="002B75D3">
            <w:pPr>
              <w:pStyle w:val="TableHeading"/>
              <w:cnfStyle w:val="100000000000" w:firstRow="1" w:lastRow="0" w:firstColumn="0" w:lastColumn="0" w:oddVBand="0" w:evenVBand="0" w:oddHBand="0" w:evenHBand="0" w:firstRowFirstColumn="0" w:firstRowLastColumn="0" w:lastRowFirstColumn="0" w:lastRowLastColumn="0"/>
            </w:pPr>
            <w:r w:rsidRPr="00E62F51">
              <w:t>Project phase</w:t>
            </w:r>
          </w:p>
        </w:tc>
        <w:tc>
          <w:tcPr>
            <w:tcW w:w="2699" w:type="pct"/>
            <w:hideMark/>
          </w:tcPr>
          <w:p w14:paraId="5E86151A" w14:textId="77777777" w:rsidR="0022442B" w:rsidRPr="00E62F51" w:rsidRDefault="0022442B" w:rsidP="002B75D3">
            <w:pPr>
              <w:pStyle w:val="TableHeading"/>
              <w:cnfStyle w:val="100000000000" w:firstRow="1" w:lastRow="0" w:firstColumn="0" w:lastColumn="0" w:oddVBand="0" w:evenVBand="0" w:oddHBand="0" w:evenHBand="0" w:firstRowFirstColumn="0" w:firstRowLastColumn="0" w:lastRowFirstColumn="0" w:lastRowLastColumn="0"/>
            </w:pPr>
            <w:r w:rsidRPr="00E62F51">
              <w:t>Management measures</w:t>
            </w:r>
          </w:p>
        </w:tc>
        <w:tc>
          <w:tcPr>
            <w:tcW w:w="740" w:type="pct"/>
            <w:hideMark/>
          </w:tcPr>
          <w:p w14:paraId="58E4696D" w14:textId="66F465A2" w:rsidR="0022442B" w:rsidRPr="00E62F51" w:rsidRDefault="004D6301" w:rsidP="002B75D3">
            <w:pPr>
              <w:pStyle w:val="TableHeading"/>
              <w:jc w:val="center"/>
              <w:cnfStyle w:val="100000000000" w:firstRow="1" w:lastRow="0" w:firstColumn="0" w:lastColumn="0" w:oddVBand="0" w:evenVBand="0" w:oddHBand="0" w:evenHBand="0" w:firstRowFirstColumn="0" w:firstRowLastColumn="0" w:lastRowFirstColumn="0" w:lastRowLastColumn="0"/>
            </w:pPr>
            <w:r>
              <w:t>N</w:t>
            </w:r>
            <w:r w:rsidR="0022442B" w:rsidRPr="00E62F51">
              <w:t>umber</w:t>
            </w:r>
          </w:p>
        </w:tc>
      </w:tr>
      <w:tr w:rsidR="0022442B" w:rsidRPr="00E62F51" w14:paraId="4FF6D99C" w14:textId="77777777" w:rsidTr="00712983">
        <w:tc>
          <w:tcPr>
            <w:cnfStyle w:val="001000000000" w:firstRow="0" w:lastRow="0" w:firstColumn="1" w:lastColumn="0" w:oddVBand="0" w:evenVBand="0" w:oddHBand="0" w:evenHBand="0" w:firstRowFirstColumn="0" w:firstRowLastColumn="0" w:lastRowFirstColumn="0" w:lastRowLastColumn="0"/>
            <w:tcW w:w="686" w:type="pct"/>
          </w:tcPr>
          <w:p w14:paraId="395B0303" w14:textId="77777777" w:rsidR="0022442B" w:rsidRPr="00E62F51" w:rsidRDefault="0022442B" w:rsidP="002B75D3">
            <w:pPr>
              <w:pStyle w:val="TableText"/>
            </w:pPr>
            <w:bookmarkStart w:id="200" w:name="_Hlk99369951"/>
            <w:r w:rsidRPr="00E62F51">
              <w:t>Turbine collision</w:t>
            </w:r>
          </w:p>
        </w:tc>
        <w:tc>
          <w:tcPr>
            <w:tcW w:w="874" w:type="pct"/>
          </w:tcPr>
          <w:p w14:paraId="738F6DAB" w14:textId="77777777" w:rsidR="0022442B" w:rsidRPr="00E62F51" w:rsidRDefault="0022442B" w:rsidP="002B75D3">
            <w:pPr>
              <w:pStyle w:val="TableText"/>
              <w:cnfStyle w:val="000000000000" w:firstRow="0" w:lastRow="0" w:firstColumn="0" w:lastColumn="0" w:oddVBand="0" w:evenVBand="0" w:oddHBand="0" w:evenHBand="0" w:firstRowFirstColumn="0" w:firstRowLastColumn="0" w:lastRowFirstColumn="0" w:lastRowLastColumn="0"/>
            </w:pPr>
            <w:r w:rsidRPr="00E62F51">
              <w:t>Pre-construction</w:t>
            </w:r>
          </w:p>
        </w:tc>
        <w:tc>
          <w:tcPr>
            <w:tcW w:w="2699" w:type="pct"/>
          </w:tcPr>
          <w:p w14:paraId="606F2252" w14:textId="30D68C7F" w:rsidR="0022442B" w:rsidRPr="00E62F51" w:rsidRDefault="0022442B" w:rsidP="002B75D3">
            <w:pPr>
              <w:pStyle w:val="TableText"/>
              <w:cnfStyle w:val="000000000000" w:firstRow="0" w:lastRow="0" w:firstColumn="0" w:lastColumn="0" w:oddVBand="0" w:evenVBand="0" w:oddHBand="0" w:evenHBand="0" w:firstRowFirstColumn="0" w:firstRowLastColumn="0" w:lastRowFirstColumn="0" w:lastRowLastColumn="0"/>
            </w:pPr>
            <w:r w:rsidRPr="00E62F51">
              <w:t xml:space="preserve">Before development starts, a </w:t>
            </w:r>
            <w:r w:rsidR="00B86FBD">
              <w:t>bird</w:t>
            </w:r>
            <w:r w:rsidR="00B86FBD" w:rsidRPr="00E62F51">
              <w:t xml:space="preserve"> </w:t>
            </w:r>
            <w:r w:rsidRPr="00E62F51">
              <w:t xml:space="preserve">and </w:t>
            </w:r>
            <w:r w:rsidR="00B86FBD">
              <w:t>bat</w:t>
            </w:r>
            <w:r w:rsidR="00285BD0">
              <w:t xml:space="preserve"> </w:t>
            </w:r>
            <w:r w:rsidR="00B86FBD">
              <w:t>a</w:t>
            </w:r>
            <w:r w:rsidR="00285BD0">
              <w:t>daptive</w:t>
            </w:r>
            <w:r w:rsidR="00285BD0" w:rsidRPr="00E62F51">
              <w:t xml:space="preserve"> </w:t>
            </w:r>
            <w:r w:rsidRPr="00E62F51">
              <w:t>Management Plan is to be approved by DELWP</w:t>
            </w:r>
            <w:r w:rsidR="00285BD0">
              <w:t>, DAWE</w:t>
            </w:r>
            <w:r w:rsidRPr="00E62F51">
              <w:t xml:space="preserve"> and the responsible authority. </w:t>
            </w:r>
          </w:p>
        </w:tc>
        <w:tc>
          <w:tcPr>
            <w:tcW w:w="740" w:type="pct"/>
          </w:tcPr>
          <w:p w14:paraId="22847E88" w14:textId="16823D7E" w:rsidR="0022442B" w:rsidRPr="00E62F51" w:rsidRDefault="0022442B" w:rsidP="002B75D3">
            <w:pPr>
              <w:pStyle w:val="TableText"/>
              <w:jc w:val="center"/>
              <w:cnfStyle w:val="000000000000" w:firstRow="0" w:lastRow="0" w:firstColumn="0" w:lastColumn="0" w:oddVBand="0" w:evenVBand="0" w:oddHBand="0" w:evenHBand="0" w:firstRowFirstColumn="0" w:firstRowLastColumn="0" w:lastRowFirstColumn="0" w:lastRowLastColumn="0"/>
            </w:pPr>
            <w:r w:rsidRPr="00E62F51">
              <w:t>BR0</w:t>
            </w:r>
            <w:r w:rsidR="00712983">
              <w:t>1</w:t>
            </w:r>
          </w:p>
        </w:tc>
      </w:tr>
      <w:bookmarkEnd w:id="200"/>
      <w:tr w:rsidR="000E13CE" w:rsidRPr="00E62F51" w14:paraId="514CC265" w14:textId="77777777" w:rsidTr="00712983">
        <w:tc>
          <w:tcPr>
            <w:cnfStyle w:val="001000000000" w:firstRow="0" w:lastRow="0" w:firstColumn="1" w:lastColumn="0" w:oddVBand="0" w:evenVBand="0" w:oddHBand="0" w:evenHBand="0" w:firstRowFirstColumn="0" w:firstRowLastColumn="0" w:lastRowFirstColumn="0" w:lastRowLastColumn="0"/>
            <w:tcW w:w="686" w:type="pct"/>
          </w:tcPr>
          <w:p w14:paraId="1F6EA6FA" w14:textId="0E9176A2" w:rsidR="000E13CE" w:rsidRPr="00E62F51" w:rsidRDefault="000E13CE" w:rsidP="000E13CE">
            <w:pPr>
              <w:pStyle w:val="TableText"/>
            </w:pPr>
            <w:r w:rsidRPr="00E62F51">
              <w:t>Turbine collision</w:t>
            </w:r>
          </w:p>
        </w:tc>
        <w:tc>
          <w:tcPr>
            <w:tcW w:w="874" w:type="pct"/>
          </w:tcPr>
          <w:p w14:paraId="73088EFF" w14:textId="7D80D660" w:rsidR="000E13CE" w:rsidRPr="00E62F51" w:rsidRDefault="000E13CE" w:rsidP="000E13CE">
            <w:pPr>
              <w:pStyle w:val="TableText"/>
              <w:cnfStyle w:val="000000000000" w:firstRow="0" w:lastRow="0" w:firstColumn="0" w:lastColumn="0" w:oddVBand="0" w:evenVBand="0" w:oddHBand="0" w:evenHBand="0" w:firstRowFirstColumn="0" w:firstRowLastColumn="0" w:lastRowFirstColumn="0" w:lastRowLastColumn="0"/>
            </w:pPr>
            <w:r w:rsidRPr="00E62F51">
              <w:t>Pre-construction</w:t>
            </w:r>
          </w:p>
        </w:tc>
        <w:tc>
          <w:tcPr>
            <w:tcW w:w="2699" w:type="pct"/>
          </w:tcPr>
          <w:p w14:paraId="2A62C619" w14:textId="75666B4E" w:rsidR="000E13CE" w:rsidRPr="00E62F51" w:rsidRDefault="000E13CE" w:rsidP="000E13CE">
            <w:pPr>
              <w:pStyle w:val="TableText"/>
              <w:cnfStyle w:val="000000000000" w:firstRow="0" w:lastRow="0" w:firstColumn="0" w:lastColumn="0" w:oddVBand="0" w:evenVBand="0" w:oddHBand="0" w:evenHBand="0" w:firstRowFirstColumn="0" w:firstRowLastColumn="0" w:lastRowFirstColumn="0" w:lastRowLastColumn="0"/>
            </w:pPr>
            <w:r w:rsidRPr="00E62F51">
              <w:t xml:space="preserve">Before development starts, a </w:t>
            </w:r>
            <w:bookmarkStart w:id="201" w:name="_Hlk99369929"/>
            <w:r>
              <w:t>Brolga Compensation</w:t>
            </w:r>
            <w:r w:rsidRPr="00E62F51">
              <w:t xml:space="preserve"> Plan</w:t>
            </w:r>
            <w:bookmarkEnd w:id="201"/>
            <w:r w:rsidRPr="00E62F51">
              <w:t xml:space="preserve"> is to be approved by DELWP and the responsible authority.</w:t>
            </w:r>
          </w:p>
        </w:tc>
        <w:tc>
          <w:tcPr>
            <w:tcW w:w="740" w:type="pct"/>
          </w:tcPr>
          <w:p w14:paraId="2A56717E" w14:textId="2ACD62CC" w:rsidR="000E13CE" w:rsidRPr="00E62F51" w:rsidRDefault="000E13CE" w:rsidP="000E13CE">
            <w:pPr>
              <w:pStyle w:val="TableText"/>
              <w:jc w:val="center"/>
              <w:cnfStyle w:val="000000000000" w:firstRow="0" w:lastRow="0" w:firstColumn="0" w:lastColumn="0" w:oddVBand="0" w:evenVBand="0" w:oddHBand="0" w:evenHBand="0" w:firstRowFirstColumn="0" w:firstRowLastColumn="0" w:lastRowFirstColumn="0" w:lastRowLastColumn="0"/>
            </w:pPr>
            <w:r>
              <w:t>BR0</w:t>
            </w:r>
            <w:r w:rsidR="00712983">
              <w:t>2</w:t>
            </w:r>
          </w:p>
        </w:tc>
      </w:tr>
      <w:tr w:rsidR="000E13CE" w:rsidRPr="00E62F51" w14:paraId="06741ED3" w14:textId="77777777" w:rsidTr="00712983">
        <w:tc>
          <w:tcPr>
            <w:cnfStyle w:val="001000000000" w:firstRow="0" w:lastRow="0" w:firstColumn="1" w:lastColumn="0" w:oddVBand="0" w:evenVBand="0" w:oddHBand="0" w:evenHBand="0" w:firstRowFirstColumn="0" w:firstRowLastColumn="0" w:lastRowFirstColumn="0" w:lastRowLastColumn="0"/>
            <w:tcW w:w="686" w:type="pct"/>
          </w:tcPr>
          <w:p w14:paraId="4C0703F9" w14:textId="77777777" w:rsidR="000E13CE" w:rsidRPr="00E62F51" w:rsidRDefault="000E13CE" w:rsidP="000E13CE">
            <w:pPr>
              <w:pStyle w:val="TableText"/>
            </w:pPr>
            <w:r w:rsidRPr="00E62F51">
              <w:t>All</w:t>
            </w:r>
          </w:p>
        </w:tc>
        <w:tc>
          <w:tcPr>
            <w:tcW w:w="874" w:type="pct"/>
          </w:tcPr>
          <w:p w14:paraId="44303A2E" w14:textId="77777777" w:rsidR="000E13CE" w:rsidRPr="00E62F51" w:rsidRDefault="000E13CE" w:rsidP="000E13CE">
            <w:pPr>
              <w:pStyle w:val="TableText"/>
              <w:cnfStyle w:val="000000000000" w:firstRow="0" w:lastRow="0" w:firstColumn="0" w:lastColumn="0" w:oddVBand="0" w:evenVBand="0" w:oddHBand="0" w:evenHBand="0" w:firstRowFirstColumn="0" w:firstRowLastColumn="0" w:lastRowFirstColumn="0" w:lastRowLastColumn="0"/>
            </w:pPr>
            <w:r w:rsidRPr="00E62F51">
              <w:t>Pre-construction</w:t>
            </w:r>
          </w:p>
        </w:tc>
        <w:tc>
          <w:tcPr>
            <w:tcW w:w="2699" w:type="pct"/>
          </w:tcPr>
          <w:p w14:paraId="0934BE92" w14:textId="0176580F" w:rsidR="000E13CE" w:rsidRPr="00E62F51" w:rsidRDefault="000E13CE" w:rsidP="000E13CE">
            <w:pPr>
              <w:pStyle w:val="TableText"/>
              <w:cnfStyle w:val="000000000000" w:firstRow="0" w:lastRow="0" w:firstColumn="0" w:lastColumn="0" w:oddVBand="0" w:evenVBand="0" w:oddHBand="0" w:evenHBand="0" w:firstRowFirstColumn="0" w:firstRowLastColumn="0" w:lastRowFirstColumn="0" w:lastRowLastColumn="0"/>
            </w:pPr>
            <w:bookmarkStart w:id="202" w:name="_Hlk99369966"/>
            <w:r w:rsidRPr="00E62F51">
              <w:t>As part of the</w:t>
            </w:r>
            <w:bookmarkStart w:id="203" w:name="_Hlk99369909"/>
            <w:r w:rsidRPr="00E62F51">
              <w:t xml:space="preserve"> </w:t>
            </w:r>
            <w:r w:rsidR="00B86FBD">
              <w:t xml:space="preserve">bird and bat adaptive management plan </w:t>
            </w:r>
            <w:bookmarkEnd w:id="203"/>
            <w:r w:rsidRPr="00E62F51">
              <w:t xml:space="preserve">develop a mortality monitoring program of at least </w:t>
            </w:r>
            <w:r>
              <w:t>three</w:t>
            </w:r>
            <w:r w:rsidRPr="00E62F51">
              <w:t xml:space="preserve"> years’ duration that commences when the first turbine is commissioned.</w:t>
            </w:r>
            <w:bookmarkEnd w:id="202"/>
          </w:p>
        </w:tc>
        <w:tc>
          <w:tcPr>
            <w:tcW w:w="740" w:type="pct"/>
          </w:tcPr>
          <w:p w14:paraId="477FA1EF" w14:textId="4787FC01" w:rsidR="000E13CE" w:rsidRPr="00E62F51" w:rsidRDefault="000E13CE" w:rsidP="000E13CE">
            <w:pPr>
              <w:pStyle w:val="TableText"/>
              <w:jc w:val="center"/>
              <w:cnfStyle w:val="000000000000" w:firstRow="0" w:lastRow="0" w:firstColumn="0" w:lastColumn="0" w:oddVBand="0" w:evenVBand="0" w:oddHBand="0" w:evenHBand="0" w:firstRowFirstColumn="0" w:firstRowLastColumn="0" w:lastRowFirstColumn="0" w:lastRowLastColumn="0"/>
            </w:pPr>
            <w:r w:rsidRPr="00E62F51">
              <w:t>BR0</w:t>
            </w:r>
            <w:r w:rsidR="00712983">
              <w:t>3</w:t>
            </w:r>
          </w:p>
        </w:tc>
      </w:tr>
      <w:tr w:rsidR="000E13CE" w:rsidRPr="00E62F51" w14:paraId="12E06297" w14:textId="77777777" w:rsidTr="00712983">
        <w:tc>
          <w:tcPr>
            <w:cnfStyle w:val="001000000000" w:firstRow="0" w:lastRow="0" w:firstColumn="1" w:lastColumn="0" w:oddVBand="0" w:evenVBand="0" w:oddHBand="0" w:evenHBand="0" w:firstRowFirstColumn="0" w:firstRowLastColumn="0" w:lastRowFirstColumn="0" w:lastRowLastColumn="0"/>
            <w:tcW w:w="686" w:type="pct"/>
          </w:tcPr>
          <w:p w14:paraId="2FCF45B1" w14:textId="77777777" w:rsidR="000E13CE" w:rsidRPr="00E62F51" w:rsidRDefault="000E13CE" w:rsidP="000E13CE">
            <w:pPr>
              <w:pStyle w:val="TableText"/>
            </w:pPr>
            <w:r w:rsidRPr="00E62F51">
              <w:t>Turbine collision, disturbance</w:t>
            </w:r>
          </w:p>
        </w:tc>
        <w:tc>
          <w:tcPr>
            <w:tcW w:w="874" w:type="pct"/>
          </w:tcPr>
          <w:p w14:paraId="3DB16441" w14:textId="77777777" w:rsidR="000E13CE" w:rsidRPr="00E62F51" w:rsidRDefault="000E13CE" w:rsidP="000E13CE">
            <w:pPr>
              <w:pStyle w:val="TableText"/>
              <w:cnfStyle w:val="000000000000" w:firstRow="0" w:lastRow="0" w:firstColumn="0" w:lastColumn="0" w:oddVBand="0" w:evenVBand="0" w:oddHBand="0" w:evenHBand="0" w:firstRowFirstColumn="0" w:firstRowLastColumn="0" w:lastRowFirstColumn="0" w:lastRowLastColumn="0"/>
            </w:pPr>
            <w:r w:rsidRPr="00E62F51">
              <w:t>Construction, operation</w:t>
            </w:r>
          </w:p>
        </w:tc>
        <w:tc>
          <w:tcPr>
            <w:tcW w:w="2699" w:type="pct"/>
          </w:tcPr>
          <w:p w14:paraId="595FD9FE" w14:textId="77777777" w:rsidR="000E13CE" w:rsidRPr="00E62F51" w:rsidRDefault="000E13CE" w:rsidP="000E13CE">
            <w:pPr>
              <w:pStyle w:val="TableText"/>
              <w:cnfStyle w:val="000000000000" w:firstRow="0" w:lastRow="0" w:firstColumn="0" w:lastColumn="0" w:oddVBand="0" w:evenVBand="0" w:oddHBand="0" w:evenHBand="0" w:firstRowFirstColumn="0" w:firstRowLastColumn="0" w:lastRowFirstColumn="0" w:lastRowLastColumn="0"/>
            </w:pPr>
            <w:bookmarkStart w:id="204" w:name="_Hlk99370022"/>
            <w:r w:rsidRPr="00E62F51">
              <w:t>Monthly Brolga monitoring will be conducted between June and December for all wetlands within two kilometres of wind turbines locations.</w:t>
            </w:r>
          </w:p>
          <w:p w14:paraId="4D3AD0F2" w14:textId="77777777" w:rsidR="000E13CE" w:rsidRPr="00E62F51" w:rsidRDefault="000E13CE" w:rsidP="000E13CE">
            <w:pPr>
              <w:pStyle w:val="TableText"/>
              <w:cnfStyle w:val="000000000000" w:firstRow="0" w:lastRow="0" w:firstColumn="0" w:lastColumn="0" w:oddVBand="0" w:evenVBand="0" w:oddHBand="0" w:evenHBand="0" w:firstRowFirstColumn="0" w:firstRowLastColumn="0" w:lastRowFirstColumn="0" w:lastRowLastColumn="0"/>
            </w:pPr>
            <w:r w:rsidRPr="00E62F51">
              <w:t>Should breeding activity be observed then regular surveys will be conducted to collect the following information:</w:t>
            </w:r>
          </w:p>
          <w:p w14:paraId="646EAE6D" w14:textId="77777777" w:rsidR="000E13CE" w:rsidRPr="001069F5" w:rsidRDefault="000E13CE" w:rsidP="000E13CE">
            <w:pPr>
              <w:pStyle w:val="TableBullet1"/>
              <w:cnfStyle w:val="000000000000" w:firstRow="0" w:lastRow="0" w:firstColumn="0" w:lastColumn="0" w:oddVBand="0" w:evenVBand="0" w:oddHBand="0" w:evenHBand="0" w:firstRowFirstColumn="0" w:firstRowLastColumn="0" w:lastRowFirstColumn="0" w:lastRowLastColumn="0"/>
            </w:pPr>
            <w:r w:rsidRPr="001069F5">
              <w:t>observations of breeding behaviour</w:t>
            </w:r>
          </w:p>
          <w:p w14:paraId="052675A0" w14:textId="77777777" w:rsidR="000E13CE" w:rsidRPr="001069F5" w:rsidRDefault="000E13CE" w:rsidP="000E13CE">
            <w:pPr>
              <w:pStyle w:val="TableBullet1"/>
              <w:cnfStyle w:val="000000000000" w:firstRow="0" w:lastRow="0" w:firstColumn="0" w:lastColumn="0" w:oddVBand="0" w:evenVBand="0" w:oddHBand="0" w:evenHBand="0" w:firstRowFirstColumn="0" w:firstRowLastColumn="0" w:lastRowFirstColumn="0" w:lastRowLastColumn="0"/>
            </w:pPr>
            <w:r w:rsidRPr="001069F5">
              <w:t>observed flights, including start and end times, as well as flight path (mapped), height (including range), interaction with turbines and habitat and activity at destination (where observable)</w:t>
            </w:r>
          </w:p>
          <w:p w14:paraId="2F7B2F6D" w14:textId="77777777" w:rsidR="000E13CE" w:rsidRPr="001069F5" w:rsidRDefault="000E13CE" w:rsidP="000E13CE">
            <w:pPr>
              <w:pStyle w:val="TableBullet1"/>
              <w:cnfStyle w:val="000000000000" w:firstRow="0" w:lastRow="0" w:firstColumn="0" w:lastColumn="0" w:oddVBand="0" w:evenVBand="0" w:oddHBand="0" w:evenHBand="0" w:firstRowFirstColumn="0" w:firstRowLastColumn="0" w:lastRowFirstColumn="0" w:lastRowLastColumn="0"/>
            </w:pPr>
            <w:r w:rsidRPr="001069F5">
              <w:t>the number of young successfully fledged.</w:t>
            </w:r>
            <w:bookmarkEnd w:id="204"/>
          </w:p>
        </w:tc>
        <w:tc>
          <w:tcPr>
            <w:tcW w:w="740" w:type="pct"/>
          </w:tcPr>
          <w:p w14:paraId="23D73A32" w14:textId="4D70A0CF" w:rsidR="000E13CE" w:rsidRPr="00E62F51" w:rsidRDefault="000E13CE" w:rsidP="000E13CE">
            <w:pPr>
              <w:pStyle w:val="TableText"/>
              <w:jc w:val="center"/>
              <w:cnfStyle w:val="000000000000" w:firstRow="0" w:lastRow="0" w:firstColumn="0" w:lastColumn="0" w:oddVBand="0" w:evenVBand="0" w:oddHBand="0" w:evenHBand="0" w:firstRowFirstColumn="0" w:firstRowLastColumn="0" w:lastRowFirstColumn="0" w:lastRowLastColumn="0"/>
            </w:pPr>
            <w:r w:rsidRPr="00E62F51">
              <w:t>BR0</w:t>
            </w:r>
            <w:r w:rsidR="00712983">
              <w:t>4</w:t>
            </w:r>
          </w:p>
        </w:tc>
      </w:tr>
      <w:tr w:rsidR="000E13CE" w:rsidRPr="00E62F51" w14:paraId="341028D0" w14:textId="77777777" w:rsidTr="00712983">
        <w:tc>
          <w:tcPr>
            <w:cnfStyle w:val="001000000000" w:firstRow="0" w:lastRow="0" w:firstColumn="1" w:lastColumn="0" w:oddVBand="0" w:evenVBand="0" w:oddHBand="0" w:evenHBand="0" w:firstRowFirstColumn="0" w:firstRowLastColumn="0" w:lastRowFirstColumn="0" w:lastRowLastColumn="0"/>
            <w:tcW w:w="686" w:type="pct"/>
          </w:tcPr>
          <w:p w14:paraId="4532E6D7" w14:textId="77777777" w:rsidR="000E13CE" w:rsidRPr="00E62F51" w:rsidRDefault="000E13CE" w:rsidP="000E13CE">
            <w:pPr>
              <w:pStyle w:val="TableText"/>
            </w:pPr>
            <w:r w:rsidRPr="00E62F51">
              <w:t>Disturbance</w:t>
            </w:r>
          </w:p>
        </w:tc>
        <w:tc>
          <w:tcPr>
            <w:tcW w:w="874" w:type="pct"/>
          </w:tcPr>
          <w:p w14:paraId="4CCE917C" w14:textId="77777777" w:rsidR="000E13CE" w:rsidRPr="00E62F51" w:rsidRDefault="000E13CE" w:rsidP="000E13CE">
            <w:pPr>
              <w:pStyle w:val="TableText"/>
              <w:cnfStyle w:val="000000000000" w:firstRow="0" w:lastRow="0" w:firstColumn="0" w:lastColumn="0" w:oddVBand="0" w:evenVBand="0" w:oddHBand="0" w:evenHBand="0" w:firstRowFirstColumn="0" w:firstRowLastColumn="0" w:lastRowFirstColumn="0" w:lastRowLastColumn="0"/>
            </w:pPr>
            <w:r w:rsidRPr="00E62F51">
              <w:t>Construction</w:t>
            </w:r>
          </w:p>
        </w:tc>
        <w:tc>
          <w:tcPr>
            <w:tcW w:w="2699" w:type="pct"/>
          </w:tcPr>
          <w:p w14:paraId="2BB0118C" w14:textId="063E1FF5" w:rsidR="000E13CE" w:rsidRPr="00E62F51" w:rsidRDefault="000E13CE" w:rsidP="000E13CE">
            <w:pPr>
              <w:pStyle w:val="TableText"/>
              <w:cnfStyle w:val="000000000000" w:firstRow="0" w:lastRow="0" w:firstColumn="0" w:lastColumn="0" w:oddVBand="0" w:evenVBand="0" w:oddHBand="0" w:evenHBand="0" w:firstRowFirstColumn="0" w:firstRowLastColumn="0" w:lastRowFirstColumn="0" w:lastRowLastColumn="0"/>
            </w:pPr>
            <w:r w:rsidRPr="00E62F51">
              <w:t xml:space="preserve">If Brolga breeding activity is recorded within breeding wetlands identified in Section </w:t>
            </w:r>
            <w:r w:rsidRPr="00E62F51">
              <w:fldChar w:fldCharType="begin"/>
            </w:r>
            <w:r w:rsidRPr="00E62F51">
              <w:instrText xml:space="preserve"> REF _Ref81915350 \r \h </w:instrText>
            </w:r>
            <w:r>
              <w:instrText xml:space="preserve"> \* MERGEFORMAT </w:instrText>
            </w:r>
            <w:r w:rsidRPr="00E62F51">
              <w:fldChar w:fldCharType="separate"/>
            </w:r>
            <w:r w:rsidR="00C053A5">
              <w:t>11.5.3</w:t>
            </w:r>
            <w:r w:rsidRPr="00E62F51">
              <w:fldChar w:fldCharType="end"/>
            </w:r>
            <w:r w:rsidRPr="00E62F51">
              <w:t>, the Blast Management Plan will trigger specific measures including:</w:t>
            </w:r>
          </w:p>
          <w:p w14:paraId="1C9DF6FC" w14:textId="77777777" w:rsidR="000E13CE" w:rsidRPr="001069F5" w:rsidRDefault="000E13CE" w:rsidP="000E13CE">
            <w:pPr>
              <w:pStyle w:val="TableBullet1"/>
              <w:cnfStyle w:val="000000000000" w:firstRow="0" w:lastRow="0" w:firstColumn="0" w:lastColumn="0" w:oddVBand="0" w:evenVBand="0" w:oddHBand="0" w:evenHBand="0" w:firstRowFirstColumn="0" w:firstRowLastColumn="0" w:lastRowFirstColumn="0" w:lastRowLastColumn="0"/>
            </w:pPr>
            <w:r w:rsidRPr="001069F5">
              <w:t>conducting behavioural monitoring of Brolga coinciding with quarry blasts to determine whether there is a behavioural reaction</w:t>
            </w:r>
          </w:p>
          <w:p w14:paraId="7318F431" w14:textId="77777777" w:rsidR="000E13CE" w:rsidRPr="001069F5" w:rsidRDefault="000E13CE" w:rsidP="000E13CE">
            <w:pPr>
              <w:pStyle w:val="TableBullet1"/>
              <w:cnfStyle w:val="000000000000" w:firstRow="0" w:lastRow="0" w:firstColumn="0" w:lastColumn="0" w:oddVBand="0" w:evenVBand="0" w:oddHBand="0" w:evenHBand="0" w:firstRowFirstColumn="0" w:firstRowLastColumn="0" w:lastRowFirstColumn="0" w:lastRowLastColumn="0"/>
            </w:pPr>
            <w:r w:rsidRPr="001069F5">
              <w:t>reducing the number, charge and size of blasts</w:t>
            </w:r>
          </w:p>
          <w:p w14:paraId="1F5CE30E" w14:textId="77777777" w:rsidR="000E13CE" w:rsidRPr="001069F5" w:rsidRDefault="000E13CE" w:rsidP="000E13CE">
            <w:pPr>
              <w:pStyle w:val="TableBullet1"/>
              <w:cnfStyle w:val="000000000000" w:firstRow="0" w:lastRow="0" w:firstColumn="0" w:lastColumn="0" w:oddVBand="0" w:evenVBand="0" w:oddHBand="0" w:evenHBand="0" w:firstRowFirstColumn="0" w:firstRowLastColumn="0" w:lastRowFirstColumn="0" w:lastRowLastColumn="0"/>
            </w:pPr>
            <w:r w:rsidRPr="001069F5">
              <w:t>using directional blast methods away from the breeding area.</w:t>
            </w:r>
          </w:p>
        </w:tc>
        <w:tc>
          <w:tcPr>
            <w:tcW w:w="740" w:type="pct"/>
          </w:tcPr>
          <w:p w14:paraId="497F4F40" w14:textId="1695B808" w:rsidR="000E13CE" w:rsidRPr="00E62F51" w:rsidRDefault="000E13CE" w:rsidP="000E13CE">
            <w:pPr>
              <w:pStyle w:val="TableText"/>
              <w:jc w:val="center"/>
              <w:cnfStyle w:val="000000000000" w:firstRow="0" w:lastRow="0" w:firstColumn="0" w:lastColumn="0" w:oddVBand="0" w:evenVBand="0" w:oddHBand="0" w:evenHBand="0" w:firstRowFirstColumn="0" w:firstRowLastColumn="0" w:lastRowFirstColumn="0" w:lastRowLastColumn="0"/>
            </w:pPr>
            <w:r w:rsidRPr="00E62F51">
              <w:t>BR0</w:t>
            </w:r>
            <w:r w:rsidR="00712983">
              <w:t>5</w:t>
            </w:r>
          </w:p>
        </w:tc>
      </w:tr>
      <w:tr w:rsidR="000E13CE" w:rsidRPr="00E62F51" w14:paraId="1A9AB968" w14:textId="77777777" w:rsidTr="00712983">
        <w:tc>
          <w:tcPr>
            <w:cnfStyle w:val="001000000000" w:firstRow="0" w:lastRow="0" w:firstColumn="1" w:lastColumn="0" w:oddVBand="0" w:evenVBand="0" w:oddHBand="0" w:evenHBand="0" w:firstRowFirstColumn="0" w:firstRowLastColumn="0" w:lastRowFirstColumn="0" w:lastRowLastColumn="0"/>
            <w:tcW w:w="686" w:type="pct"/>
          </w:tcPr>
          <w:p w14:paraId="6AFA6FE1" w14:textId="77777777" w:rsidR="000E13CE" w:rsidRPr="00E62F51" w:rsidRDefault="000E13CE" w:rsidP="000E13CE">
            <w:pPr>
              <w:pStyle w:val="TableText"/>
            </w:pPr>
            <w:r w:rsidRPr="00E62F51">
              <w:t>Turbine collision</w:t>
            </w:r>
          </w:p>
        </w:tc>
        <w:tc>
          <w:tcPr>
            <w:tcW w:w="874" w:type="pct"/>
          </w:tcPr>
          <w:p w14:paraId="24A2ED0C" w14:textId="77777777" w:rsidR="000E13CE" w:rsidRPr="00E62F51" w:rsidRDefault="000E13CE" w:rsidP="000E13CE">
            <w:pPr>
              <w:pStyle w:val="TableText"/>
              <w:cnfStyle w:val="000000000000" w:firstRow="0" w:lastRow="0" w:firstColumn="0" w:lastColumn="0" w:oddVBand="0" w:evenVBand="0" w:oddHBand="0" w:evenHBand="0" w:firstRowFirstColumn="0" w:firstRowLastColumn="0" w:lastRowFirstColumn="0" w:lastRowLastColumn="0"/>
            </w:pPr>
            <w:r w:rsidRPr="00E62F51">
              <w:t>Operation</w:t>
            </w:r>
          </w:p>
        </w:tc>
        <w:tc>
          <w:tcPr>
            <w:tcW w:w="2699" w:type="pct"/>
          </w:tcPr>
          <w:p w14:paraId="196CA4D4" w14:textId="71137379" w:rsidR="000E13CE" w:rsidRPr="00E62F51" w:rsidRDefault="000E13CE" w:rsidP="000E13CE">
            <w:pPr>
              <w:pStyle w:val="TableText"/>
              <w:cnfStyle w:val="000000000000" w:firstRow="0" w:lastRow="0" w:firstColumn="0" w:lastColumn="0" w:oddVBand="0" w:evenVBand="0" w:oddHBand="0" w:evenHBand="0" w:firstRowFirstColumn="0" w:firstRowLastColumn="0" w:lastRowFirstColumn="0" w:lastRowLastColumn="0"/>
            </w:pPr>
            <w:r w:rsidRPr="00E62F51">
              <w:t>Monthly visual inspections for Brolga within a 120-metre radius of each wind turbine</w:t>
            </w:r>
            <w:r w:rsidR="00FA232F">
              <w:t xml:space="preserve"> </w:t>
            </w:r>
            <w:r w:rsidR="009B4F20">
              <w:t xml:space="preserve">during the breeding season </w:t>
            </w:r>
            <w:r w:rsidR="00FA232F">
              <w:t>for three years of operation</w:t>
            </w:r>
            <w:r w:rsidRPr="00E62F51">
              <w:t>. Any observed adverse outcome of turbine interactions (collision, death, injury) will be described in detail and reported within two business days to DEWLP’s regional manager.</w:t>
            </w:r>
          </w:p>
        </w:tc>
        <w:tc>
          <w:tcPr>
            <w:tcW w:w="740" w:type="pct"/>
          </w:tcPr>
          <w:p w14:paraId="77FC06B8" w14:textId="41A9A794" w:rsidR="000E13CE" w:rsidRPr="00E62F51" w:rsidRDefault="000E13CE" w:rsidP="000E13CE">
            <w:pPr>
              <w:pStyle w:val="TableText"/>
              <w:jc w:val="center"/>
              <w:cnfStyle w:val="000000000000" w:firstRow="0" w:lastRow="0" w:firstColumn="0" w:lastColumn="0" w:oddVBand="0" w:evenVBand="0" w:oddHBand="0" w:evenHBand="0" w:firstRowFirstColumn="0" w:firstRowLastColumn="0" w:lastRowFirstColumn="0" w:lastRowLastColumn="0"/>
            </w:pPr>
            <w:r w:rsidRPr="00E62F51">
              <w:t>BR0</w:t>
            </w:r>
            <w:r w:rsidR="00712983">
              <w:t>6</w:t>
            </w:r>
          </w:p>
        </w:tc>
      </w:tr>
      <w:tr w:rsidR="00EC6395" w:rsidRPr="00E62F51" w14:paraId="7085DF21" w14:textId="77777777" w:rsidTr="00712983">
        <w:tc>
          <w:tcPr>
            <w:cnfStyle w:val="001000000000" w:firstRow="0" w:lastRow="0" w:firstColumn="1" w:lastColumn="0" w:oddVBand="0" w:evenVBand="0" w:oddHBand="0" w:evenHBand="0" w:firstRowFirstColumn="0" w:firstRowLastColumn="0" w:lastRowFirstColumn="0" w:lastRowLastColumn="0"/>
            <w:tcW w:w="686" w:type="pct"/>
          </w:tcPr>
          <w:p w14:paraId="0A7BE48D" w14:textId="1CE076B8" w:rsidR="00EC6395" w:rsidRPr="00E62F51" w:rsidRDefault="00EC6395" w:rsidP="000E13CE">
            <w:pPr>
              <w:pStyle w:val="TableText"/>
            </w:pPr>
            <w:r>
              <w:t>Brolga compensation</w:t>
            </w:r>
            <w:r w:rsidR="00294303">
              <w:t xml:space="preserve"> monitoring</w:t>
            </w:r>
            <w:r>
              <w:t xml:space="preserve"> </w:t>
            </w:r>
          </w:p>
        </w:tc>
        <w:tc>
          <w:tcPr>
            <w:tcW w:w="874" w:type="pct"/>
          </w:tcPr>
          <w:p w14:paraId="4DFBB489" w14:textId="02945B8B" w:rsidR="00EC6395" w:rsidRPr="00E62F51" w:rsidRDefault="00294303" w:rsidP="000E13CE">
            <w:pPr>
              <w:pStyle w:val="TableText"/>
              <w:cnfStyle w:val="000000000000" w:firstRow="0" w:lastRow="0" w:firstColumn="0" w:lastColumn="0" w:oddVBand="0" w:evenVBand="0" w:oddHBand="0" w:evenHBand="0" w:firstRowFirstColumn="0" w:firstRowLastColumn="0" w:lastRowFirstColumn="0" w:lastRowLastColumn="0"/>
            </w:pPr>
            <w:r>
              <w:t>Operation</w:t>
            </w:r>
          </w:p>
        </w:tc>
        <w:tc>
          <w:tcPr>
            <w:tcW w:w="2699" w:type="pct"/>
          </w:tcPr>
          <w:p w14:paraId="58ECE194" w14:textId="2C4BF2BF" w:rsidR="00294303" w:rsidRDefault="00294303" w:rsidP="00294303">
            <w:pPr>
              <w:pStyle w:val="TableText"/>
              <w:cnfStyle w:val="000000000000" w:firstRow="0" w:lastRow="0" w:firstColumn="0" w:lastColumn="0" w:oddVBand="0" w:evenVBand="0" w:oddHBand="0" w:evenHBand="0" w:firstRowFirstColumn="0" w:firstRowLastColumn="0" w:lastRowFirstColumn="0" w:lastRowLastColumn="0"/>
            </w:pPr>
            <w:r>
              <w:t>Observations of the number and age of birds within the chosen restoration site bi-monthly during breeding season. Observations of evidence of breeding activity, including:</w:t>
            </w:r>
          </w:p>
          <w:p w14:paraId="1296C56F" w14:textId="48A3F648" w:rsidR="00294303" w:rsidRDefault="00294303" w:rsidP="00137A75">
            <w:pPr>
              <w:pStyle w:val="TableBullet1"/>
              <w:cnfStyle w:val="000000000000" w:firstRow="0" w:lastRow="0" w:firstColumn="0" w:lastColumn="0" w:oddVBand="0" w:evenVBand="0" w:oddHBand="0" w:evenHBand="0" w:firstRowFirstColumn="0" w:firstRowLastColumn="0" w:lastRowFirstColumn="0" w:lastRowLastColumn="0"/>
            </w:pPr>
            <w:r>
              <w:t>stage of breeding (i.e., nest building, laying, incubation, parental care, fledging)</w:t>
            </w:r>
          </w:p>
          <w:p w14:paraId="3D20DE8F" w14:textId="6BF5CDEE" w:rsidR="00294303" w:rsidRDefault="00294303" w:rsidP="00137A75">
            <w:pPr>
              <w:pStyle w:val="TableBullet1"/>
              <w:cnfStyle w:val="000000000000" w:firstRow="0" w:lastRow="0" w:firstColumn="0" w:lastColumn="0" w:oddVBand="0" w:evenVBand="0" w:oddHBand="0" w:evenHBand="0" w:firstRowFirstColumn="0" w:firstRowLastColumn="0" w:lastRowFirstColumn="0" w:lastRowLastColumn="0"/>
            </w:pPr>
            <w:r>
              <w:t>outcomes of breeding attempts</w:t>
            </w:r>
          </w:p>
          <w:p w14:paraId="4C49D844" w14:textId="42BF0CAA" w:rsidR="00EC6395" w:rsidRPr="00E62F51" w:rsidRDefault="00294303" w:rsidP="00137A75">
            <w:pPr>
              <w:pStyle w:val="TableBullet1"/>
              <w:cnfStyle w:val="000000000000" w:firstRow="0" w:lastRow="0" w:firstColumn="0" w:lastColumn="0" w:oddVBand="0" w:evenVBand="0" w:oddHBand="0" w:evenHBand="0" w:firstRowFirstColumn="0" w:firstRowLastColumn="0" w:lastRowFirstColumn="0" w:lastRowLastColumn="0"/>
            </w:pPr>
            <w:r>
              <w:t>water level fluctuations, predation, disturbance.</w:t>
            </w:r>
          </w:p>
        </w:tc>
        <w:tc>
          <w:tcPr>
            <w:tcW w:w="740" w:type="pct"/>
          </w:tcPr>
          <w:p w14:paraId="47FA8324" w14:textId="46B4A7C0" w:rsidR="00EC6395" w:rsidRPr="00E62F51" w:rsidRDefault="00294303" w:rsidP="000E13CE">
            <w:pPr>
              <w:pStyle w:val="TableText"/>
              <w:jc w:val="center"/>
              <w:cnfStyle w:val="000000000000" w:firstRow="0" w:lastRow="0" w:firstColumn="0" w:lastColumn="0" w:oddVBand="0" w:evenVBand="0" w:oddHBand="0" w:evenHBand="0" w:firstRowFirstColumn="0" w:firstRowLastColumn="0" w:lastRowFirstColumn="0" w:lastRowLastColumn="0"/>
            </w:pPr>
            <w:r w:rsidRPr="00E62F51">
              <w:t>BR0</w:t>
            </w:r>
            <w:r>
              <w:t>7</w:t>
            </w:r>
          </w:p>
        </w:tc>
      </w:tr>
    </w:tbl>
    <w:p w14:paraId="7B11E218" w14:textId="067632DF" w:rsidR="009D2459" w:rsidRPr="001069F5" w:rsidRDefault="009D2459" w:rsidP="001069F5">
      <w:pPr>
        <w:pStyle w:val="Heading3"/>
      </w:pPr>
      <w:bookmarkStart w:id="205" w:name="_Toc83307411"/>
      <w:bookmarkStart w:id="206" w:name="_Toc104909280"/>
      <w:bookmarkStart w:id="207" w:name="_Hlk71194342"/>
      <w:r w:rsidRPr="001069F5">
        <w:lastRenderedPageBreak/>
        <w:t>Residual effects</w:t>
      </w:r>
      <w:bookmarkEnd w:id="205"/>
      <w:bookmarkEnd w:id="206"/>
    </w:p>
    <w:p w14:paraId="781BA3EF" w14:textId="6EA4EDD2" w:rsidR="009D2459" w:rsidRPr="00E62F51" w:rsidRDefault="009D2459" w:rsidP="009949A0">
      <w:pPr>
        <w:pStyle w:val="BodyText"/>
        <w:keepNext/>
      </w:pPr>
      <w:r w:rsidRPr="00E62F51">
        <w:t>Following the development of design measures</w:t>
      </w:r>
      <w:r w:rsidR="0022442B">
        <w:t xml:space="preserve"> and implementation of management controls</w:t>
      </w:r>
      <w:r w:rsidRPr="00E62F51">
        <w:t>, an assessment of residual effects and impacts was completed describing the likely effects to the Brolga population brought about by the construction, operation and eventual decommissioning of the project.</w:t>
      </w:r>
    </w:p>
    <w:p w14:paraId="576CF358" w14:textId="77777777" w:rsidR="009D2459" w:rsidRPr="00DA6358" w:rsidRDefault="009D2459" w:rsidP="00DA6358">
      <w:pPr>
        <w:pStyle w:val="Heading4"/>
      </w:pPr>
      <w:r w:rsidRPr="00DA6358">
        <w:t>Wind turbine collision</w:t>
      </w:r>
    </w:p>
    <w:p w14:paraId="09C069FD" w14:textId="77777777" w:rsidR="009D2459" w:rsidRPr="00E62F51" w:rsidRDefault="009D2459" w:rsidP="009D2459">
      <w:pPr>
        <w:pStyle w:val="BodyText"/>
      </w:pPr>
      <w:bookmarkStart w:id="208" w:name="_Hlk99370378"/>
      <w:r w:rsidRPr="00E62F51">
        <w:t>Brolga collisions with powerlines have been reported in Victoria, however, no collisions with wind turbines have been reported to date. Brolgas spend significant portions of their time on the ground. They obtain their food on the ground and walking occupies a large part of their activity cycle. Flights are relatively infrequent and are undertaken primarily when moving between a breeding nest site and preferred foraging areas.</w:t>
      </w:r>
    </w:p>
    <w:p w14:paraId="35AEBB6B" w14:textId="77777777" w:rsidR="009D2459" w:rsidRPr="00E62F51" w:rsidRDefault="009D2459" w:rsidP="009D2459">
      <w:pPr>
        <w:pStyle w:val="BodyText"/>
        <w:rPr>
          <w:i/>
        </w:rPr>
      </w:pPr>
      <w:r w:rsidRPr="00E62F51">
        <w:t xml:space="preserve">While the likelihood of collision with turbines was assessed to be low, based on their flight behaviour and the height of turbines, there remains a risk of collision with wind turbines. The Interim Brolga Guidelines state the objective of collision risk modelling is </w:t>
      </w:r>
      <w:r w:rsidRPr="00E62F51">
        <w:rPr>
          <w:i/>
        </w:rPr>
        <w:t>“to estimate the residual number of Brolga movements which have the potential to interact with wind turbines on the proposed site and from this estimate the annual collision ris</w:t>
      </w:r>
      <w:bookmarkEnd w:id="208"/>
      <w:r w:rsidRPr="00E62F51">
        <w:rPr>
          <w:i/>
        </w:rPr>
        <w:t>k”.</w:t>
      </w:r>
    </w:p>
    <w:p w14:paraId="0B58CDAB" w14:textId="1129C6A7" w:rsidR="009D2459" w:rsidRPr="00E62F51" w:rsidRDefault="009D2459" w:rsidP="00F210C7">
      <w:pPr>
        <w:pStyle w:val="BodyText"/>
        <w:keepLines/>
      </w:pPr>
      <w:r w:rsidRPr="00E62F51">
        <w:t>To quantify this risk, a collision risk model was developed in accordance with the Interim Brolga Guidelines.</w:t>
      </w:r>
      <w:r w:rsidR="00F210C7">
        <w:t xml:space="preserve"> </w:t>
      </w:r>
      <w:r w:rsidRPr="00E62F51">
        <w:t>This model integrates spatial modelling of the probability of occurrence of the Brolga at the turbine blade</w:t>
      </w:r>
      <w:r w:rsidR="00F210C7">
        <w:t xml:space="preserve"> </w:t>
      </w:r>
      <w:r w:rsidRPr="00E62F51">
        <w:t xml:space="preserve">height (40 to 250 metres). </w:t>
      </w:r>
      <w:bookmarkStart w:id="209" w:name="_Hlk79415357"/>
      <w:r w:rsidRPr="00E62F51">
        <w:t>Model inputs have been developed from available information on the movements of Brolga around breeding sites elsewhere in its Victorian range. The model was based on conservative assumptions, including turbines operating 24 hours per day, 365 days per year. Further details of the collision risk model are provided in Appendix C1</w:t>
      </w:r>
      <w:r w:rsidR="008F6BC5">
        <w:t xml:space="preserve"> </w:t>
      </w:r>
      <w:r w:rsidR="009949A0">
        <w:t>–</w:t>
      </w:r>
      <w:r w:rsidR="008F6BC5">
        <w:t xml:space="preserve"> </w:t>
      </w:r>
      <w:r w:rsidR="008F6BC5" w:rsidRPr="00E04EDB">
        <w:rPr>
          <w:i/>
          <w:iCs/>
        </w:rPr>
        <w:t>Brolga</w:t>
      </w:r>
      <w:r w:rsidRPr="00E62F51">
        <w:t xml:space="preserve">. </w:t>
      </w:r>
    </w:p>
    <w:p w14:paraId="68D6CBC5" w14:textId="35DA0078" w:rsidR="009D2459" w:rsidRPr="00E62F51" w:rsidRDefault="009D2459" w:rsidP="009D2459">
      <w:pPr>
        <w:pStyle w:val="BodyText"/>
      </w:pPr>
      <w:r w:rsidRPr="00E62F51">
        <w:t>Eight wetlands (three of which are connected) were identified as potential Brolga breeding sites</w:t>
      </w:r>
      <w:r w:rsidR="000E13CE">
        <w:t xml:space="preserve"> within proximity to the project</w:t>
      </w:r>
      <w:r w:rsidRPr="00E62F51">
        <w:t xml:space="preserve"> (see Section </w:t>
      </w:r>
      <w:r w:rsidR="00F210C7">
        <w:fldChar w:fldCharType="begin"/>
      </w:r>
      <w:r w:rsidR="00F210C7">
        <w:instrText xml:space="preserve"> REF _Ref81915350 \r \h </w:instrText>
      </w:r>
      <w:r w:rsidR="00F210C7">
        <w:fldChar w:fldCharType="separate"/>
      </w:r>
      <w:r w:rsidR="00C053A5">
        <w:t>11.5.3</w:t>
      </w:r>
      <w:r w:rsidR="00F210C7">
        <w:fldChar w:fldCharType="end"/>
      </w:r>
      <w:r w:rsidRPr="00E62F51">
        <w:t xml:space="preserve">). It was assumed that a single Brolga pair would nest each year at one of these wetlands (consistent with field observations over the last decade). </w:t>
      </w:r>
      <w:r w:rsidR="00441253">
        <w:t>One additional pair was assumed to use one of the three isolated wetlands to the east of the wind farm three out of ten years.</w:t>
      </w:r>
      <w:r w:rsidR="00441253" w:rsidRPr="00E62F51">
        <w:t xml:space="preserve"> </w:t>
      </w:r>
      <w:r w:rsidR="00441253">
        <w:t>The model assumes that e</w:t>
      </w:r>
      <w:r w:rsidRPr="00E62F51">
        <w:t>ach member of the breeding pair make</w:t>
      </w:r>
      <w:r w:rsidR="00441253">
        <w:t>s</w:t>
      </w:r>
      <w:r w:rsidRPr="00E62F51">
        <w:t xml:space="preserve"> a flight around the breeding site once per day (a total of two outward and two inward flights per day) with a proportion of the flights at a height and distance where turbine interaction is possible. Wind turbine avoidance rates of wind turbines were modelled at 90%, 95% and 99% based on international research of cranes (Appendix C1</w:t>
      </w:r>
      <w:r w:rsidR="00852923">
        <w:t xml:space="preserve"> – </w:t>
      </w:r>
      <w:r w:rsidR="00852923" w:rsidRPr="00E04EDB">
        <w:rPr>
          <w:i/>
          <w:iCs/>
        </w:rPr>
        <w:t>Brolga</w:t>
      </w:r>
      <w:r w:rsidRPr="00E62F51">
        <w:t xml:space="preserve">). </w:t>
      </w:r>
    </w:p>
    <w:bookmarkEnd w:id="209"/>
    <w:p w14:paraId="13543CAE" w14:textId="77777777" w:rsidR="009D2459" w:rsidRPr="00E62F51" w:rsidRDefault="009D2459" w:rsidP="009D2459">
      <w:pPr>
        <w:pStyle w:val="BodyText"/>
      </w:pPr>
      <w:r w:rsidRPr="00E62F51">
        <w:t>To quantify the relative reduction of risk with the implementation of the turbine free buffers, the collision risk model was run on two wind farm layouts:</w:t>
      </w:r>
    </w:p>
    <w:p w14:paraId="21A89935" w14:textId="34D7A038" w:rsidR="009D2459" w:rsidRPr="001069F5" w:rsidRDefault="00F210C7" w:rsidP="001069F5">
      <w:pPr>
        <w:pStyle w:val="ListBullet"/>
        <w:contextualSpacing/>
      </w:pPr>
      <w:r w:rsidRPr="001069F5">
        <w:t xml:space="preserve">the </w:t>
      </w:r>
      <w:r w:rsidR="009D2459" w:rsidRPr="001069F5">
        <w:t xml:space="preserve">original layout referred to government agencies that included one-kilometre buffers around known Brolga breeding </w:t>
      </w:r>
      <w:r w:rsidR="00712983">
        <w:t>database locations</w:t>
      </w:r>
    </w:p>
    <w:p w14:paraId="5C0A505B" w14:textId="42807BDA" w:rsidR="009D2459" w:rsidRPr="001069F5" w:rsidRDefault="00F210C7" w:rsidP="001069F5">
      <w:pPr>
        <w:pStyle w:val="ListBullet"/>
        <w:contextualSpacing/>
      </w:pPr>
      <w:r w:rsidRPr="001069F5">
        <w:t xml:space="preserve">the </w:t>
      </w:r>
      <w:r w:rsidR="009D2459" w:rsidRPr="001069F5">
        <w:t xml:space="preserve">current layout that integrates the turbine free buffers (described in Section </w:t>
      </w:r>
      <w:r w:rsidR="009D2459" w:rsidRPr="001069F5">
        <w:fldChar w:fldCharType="begin"/>
      </w:r>
      <w:r w:rsidR="009D2459" w:rsidRPr="001069F5">
        <w:instrText xml:space="preserve"> REF _Ref81832724 \r \h </w:instrText>
      </w:r>
      <w:r w:rsidR="009D2459" w:rsidRPr="001069F5">
        <w:fldChar w:fldCharType="separate"/>
      </w:r>
      <w:r w:rsidR="00C053A5">
        <w:t>11.5.2</w:t>
      </w:r>
      <w:r w:rsidR="009D2459" w:rsidRPr="001069F5">
        <w:fldChar w:fldCharType="end"/>
      </w:r>
      <w:r w:rsidR="009D2459" w:rsidRPr="001069F5">
        <w:t xml:space="preserve">). </w:t>
      </w:r>
    </w:p>
    <w:p w14:paraId="538E219D" w14:textId="0E9E2556" w:rsidR="00C96726" w:rsidRDefault="009D2459" w:rsidP="009949A0">
      <w:pPr>
        <w:spacing w:before="0" w:after="160" w:line="259" w:lineRule="auto"/>
      </w:pPr>
      <w:bookmarkStart w:id="210" w:name="_Hlk79415527"/>
      <w:r w:rsidRPr="00E62F51">
        <w:t>Under the 90% wind turbine avoidance scenario, the collision risk modelling predicts, on average, there will be 0.0</w:t>
      </w:r>
      <w:r w:rsidR="000B0B80">
        <w:t>7</w:t>
      </w:r>
      <w:r w:rsidRPr="00E62F51">
        <w:t xml:space="preserve"> collisions per year, or 1.</w:t>
      </w:r>
      <w:r w:rsidR="000B0B80">
        <w:t>7</w:t>
      </w:r>
      <w:r w:rsidRPr="00E62F51">
        <w:t xml:space="preserve"> collisions over the 25-year life of the project. Statistically, there is a 95% chance that there would be between 0 and </w:t>
      </w:r>
      <w:r w:rsidR="000B0B80">
        <w:t>5</w:t>
      </w:r>
      <w:r w:rsidRPr="00E62F51">
        <w:t xml:space="preserve"> collisions over the life of the project </w:t>
      </w:r>
      <w:bookmarkEnd w:id="210"/>
      <w:r w:rsidRPr="00E62F51">
        <w:t>(see</w:t>
      </w:r>
      <w:r w:rsidR="009949A0">
        <w:t xml:space="preserve"> </w:t>
      </w:r>
      <w:r w:rsidR="009949A0">
        <w:fldChar w:fldCharType="begin"/>
      </w:r>
      <w:r w:rsidR="009949A0">
        <w:instrText xml:space="preserve"> REF _Ref78895884 \h </w:instrText>
      </w:r>
      <w:r w:rsidR="009949A0">
        <w:fldChar w:fldCharType="separate"/>
      </w:r>
      <w:r w:rsidR="00C053A5" w:rsidRPr="00F210C7">
        <w:t xml:space="preserve">Table </w:t>
      </w:r>
      <w:r w:rsidR="00C053A5">
        <w:rPr>
          <w:noProof/>
        </w:rPr>
        <w:t>11</w:t>
      </w:r>
      <w:r w:rsidR="00C053A5" w:rsidRPr="00F210C7">
        <w:t>.</w:t>
      </w:r>
      <w:r w:rsidR="00C053A5">
        <w:rPr>
          <w:noProof/>
        </w:rPr>
        <w:t>7</w:t>
      </w:r>
      <w:r w:rsidR="009949A0">
        <w:fldChar w:fldCharType="end"/>
      </w:r>
      <w:r w:rsidRPr="00E62F51">
        <w:t>). This compares to 0.1 collisions per year under the same modelling scenario for the original referred layout, or 2.8 collisions</w:t>
      </w:r>
      <w:r w:rsidR="006F158A">
        <w:t xml:space="preserve"> (95% confidence interval of between 0 and 7 collisions)</w:t>
      </w:r>
      <w:r w:rsidRPr="00E62F51">
        <w:t xml:space="preserve"> over the 25-year life of the project. This represents a reduction of collision risk by almost 50% through the adoption of the</w:t>
      </w:r>
      <w:r w:rsidR="00B86FBD">
        <w:t xml:space="preserve"> larger</w:t>
      </w:r>
      <w:r w:rsidRPr="00E62F51">
        <w:t xml:space="preserve"> turbine free buffer.</w:t>
      </w:r>
      <w:r w:rsidR="008F6BC5">
        <w:t xml:space="preserve"> </w:t>
      </w:r>
      <w:r w:rsidR="00C96726">
        <w:t xml:space="preserve">It is also </w:t>
      </w:r>
      <w:r w:rsidR="00C96726" w:rsidRPr="000B0B80">
        <w:t xml:space="preserve">significantly </w:t>
      </w:r>
      <w:r w:rsidR="00C96726">
        <w:t>lower</w:t>
      </w:r>
      <w:r w:rsidR="00C96726" w:rsidRPr="000B0B80">
        <w:t xml:space="preserve"> than the assessed </w:t>
      </w:r>
      <w:r w:rsidR="00C96726">
        <w:t>risk</w:t>
      </w:r>
      <w:r w:rsidR="00C96726" w:rsidRPr="000B0B80">
        <w:t xml:space="preserve"> of the recently approved Golden Plain’s Wind Farm</w:t>
      </w:r>
      <w:r w:rsidR="00C96726">
        <w:t xml:space="preserve"> (which ranged from &lt;1 to &lt;8 collisions)</w:t>
      </w:r>
      <w:r w:rsidR="00C96726" w:rsidRPr="000B0B80">
        <w:t xml:space="preserve"> (</w:t>
      </w:r>
      <w:r w:rsidR="00AD4BB6">
        <w:t>Brett Lane and Associates,</w:t>
      </w:r>
      <w:r w:rsidR="00C96726" w:rsidRPr="000B0B80">
        <w:t xml:space="preserve"> 2018).</w:t>
      </w:r>
      <w:r w:rsidR="00C96726">
        <w:t xml:space="preserve"> </w:t>
      </w:r>
    </w:p>
    <w:p w14:paraId="7710DAAD" w14:textId="59B02396" w:rsidR="009D2459" w:rsidRPr="00F210C7" w:rsidRDefault="009D2459" w:rsidP="009949A0">
      <w:pPr>
        <w:pStyle w:val="Caption"/>
        <w:pageBreakBefore/>
      </w:pPr>
      <w:bookmarkStart w:id="211" w:name="_Ref78895884"/>
      <w:bookmarkStart w:id="212" w:name="_Toc83308048"/>
      <w:bookmarkStart w:id="213" w:name="_Toc104909288"/>
      <w:r w:rsidRPr="00F210C7">
        <w:lastRenderedPageBreak/>
        <w:t xml:space="preserve">Table </w:t>
      </w:r>
      <w:r w:rsidR="00EB48E9">
        <w:fldChar w:fldCharType="begin"/>
      </w:r>
      <w:r w:rsidR="00EB48E9">
        <w:instrText xml:space="preserve"> STYLEREF 1 \s </w:instrText>
      </w:r>
      <w:r w:rsidR="00EB48E9">
        <w:fldChar w:fldCharType="separate"/>
      </w:r>
      <w:r w:rsidR="00C053A5">
        <w:rPr>
          <w:noProof/>
        </w:rPr>
        <w:t>11</w:t>
      </w:r>
      <w:r w:rsidR="00EB48E9">
        <w:rPr>
          <w:noProof/>
        </w:rPr>
        <w:fldChar w:fldCharType="end"/>
      </w:r>
      <w:r w:rsidR="001069F5" w:rsidRPr="00F210C7">
        <w:t>.</w:t>
      </w:r>
      <w:r w:rsidR="00EB48E9">
        <w:fldChar w:fldCharType="begin"/>
      </w:r>
      <w:r w:rsidR="00EB48E9">
        <w:instrText xml:space="preserve"> SEQ Table \* ARABIC \s 1 </w:instrText>
      </w:r>
      <w:r w:rsidR="00EB48E9">
        <w:fldChar w:fldCharType="separate"/>
      </w:r>
      <w:r w:rsidR="00C053A5">
        <w:rPr>
          <w:noProof/>
        </w:rPr>
        <w:t>7</w:t>
      </w:r>
      <w:r w:rsidR="00EB48E9">
        <w:rPr>
          <w:noProof/>
        </w:rPr>
        <w:fldChar w:fldCharType="end"/>
      </w:r>
      <w:bookmarkEnd w:id="211"/>
      <w:r w:rsidRPr="00F210C7">
        <w:tab/>
        <w:t>Results of collision risk modelling</w:t>
      </w:r>
      <w:bookmarkEnd w:id="212"/>
      <w:bookmarkEnd w:id="213"/>
      <w:r w:rsidRPr="00F210C7">
        <w:t xml:space="preserve"> </w:t>
      </w:r>
    </w:p>
    <w:tbl>
      <w:tblPr>
        <w:tblStyle w:val="Table1"/>
        <w:tblW w:w="5000" w:type="pct"/>
        <w:tblLook w:val="04A0" w:firstRow="1" w:lastRow="0" w:firstColumn="1" w:lastColumn="0" w:noHBand="0" w:noVBand="1"/>
      </w:tblPr>
      <w:tblGrid>
        <w:gridCol w:w="1423"/>
        <w:gridCol w:w="1854"/>
        <w:gridCol w:w="1426"/>
        <w:gridCol w:w="1997"/>
        <w:gridCol w:w="2371"/>
      </w:tblGrid>
      <w:tr w:rsidR="009D2459" w:rsidRPr="00E62F51" w14:paraId="730AA0B6" w14:textId="77777777" w:rsidTr="000E13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4" w:type="pct"/>
          </w:tcPr>
          <w:p w14:paraId="5CA2117D" w14:textId="77777777" w:rsidR="009D2459" w:rsidRPr="00E62F51" w:rsidRDefault="009D2459" w:rsidP="005E4C49">
            <w:pPr>
              <w:pStyle w:val="TableHeading"/>
            </w:pPr>
          </w:p>
        </w:tc>
        <w:tc>
          <w:tcPr>
            <w:tcW w:w="1022" w:type="pct"/>
          </w:tcPr>
          <w:p w14:paraId="5085BEF4" w14:textId="77777777" w:rsidR="009D2459" w:rsidRPr="00E62F51" w:rsidRDefault="009D2459" w:rsidP="00F210C7">
            <w:pPr>
              <w:pStyle w:val="TableHeading"/>
              <w:jc w:val="center"/>
              <w:cnfStyle w:val="100000000000" w:firstRow="1" w:lastRow="0" w:firstColumn="0" w:lastColumn="0" w:oddVBand="0" w:evenVBand="0" w:oddHBand="0" w:evenHBand="0" w:firstRowFirstColumn="0" w:firstRowLastColumn="0" w:lastRowFirstColumn="0" w:lastRowLastColumn="0"/>
            </w:pPr>
            <w:r w:rsidRPr="00E62F51">
              <w:t>Wind turbine avoidance rate</w:t>
            </w:r>
          </w:p>
        </w:tc>
        <w:tc>
          <w:tcPr>
            <w:tcW w:w="786" w:type="pct"/>
          </w:tcPr>
          <w:p w14:paraId="35FB689D" w14:textId="77777777" w:rsidR="009D2459" w:rsidRPr="00E62F51" w:rsidRDefault="009D2459" w:rsidP="00F210C7">
            <w:pPr>
              <w:pStyle w:val="TableHeading"/>
              <w:jc w:val="center"/>
              <w:cnfStyle w:val="100000000000" w:firstRow="1" w:lastRow="0" w:firstColumn="0" w:lastColumn="0" w:oddVBand="0" w:evenVBand="0" w:oddHBand="0" w:evenHBand="0" w:firstRowFirstColumn="0" w:firstRowLastColumn="0" w:lastRowFirstColumn="0" w:lastRowLastColumn="0"/>
            </w:pPr>
            <w:r w:rsidRPr="00E62F51">
              <w:t>Collisions per year</w:t>
            </w:r>
          </w:p>
        </w:tc>
        <w:tc>
          <w:tcPr>
            <w:tcW w:w="1101" w:type="pct"/>
          </w:tcPr>
          <w:p w14:paraId="08E91DF0" w14:textId="77777777" w:rsidR="009D2459" w:rsidRPr="00E62F51" w:rsidRDefault="009D2459" w:rsidP="00F210C7">
            <w:pPr>
              <w:pStyle w:val="TableHeading"/>
              <w:jc w:val="center"/>
              <w:cnfStyle w:val="100000000000" w:firstRow="1" w:lastRow="0" w:firstColumn="0" w:lastColumn="0" w:oddVBand="0" w:evenVBand="0" w:oddHBand="0" w:evenHBand="0" w:firstRowFirstColumn="0" w:firstRowLastColumn="0" w:lastRowFirstColumn="0" w:lastRowLastColumn="0"/>
            </w:pPr>
            <w:r w:rsidRPr="00E62F51">
              <w:t>Collisions over project life</w:t>
            </w:r>
          </w:p>
        </w:tc>
        <w:tc>
          <w:tcPr>
            <w:tcW w:w="1307" w:type="pct"/>
          </w:tcPr>
          <w:p w14:paraId="722E3DED" w14:textId="0D482586" w:rsidR="009D2459" w:rsidRPr="00E62F51" w:rsidRDefault="009D2459" w:rsidP="00F210C7">
            <w:pPr>
              <w:pStyle w:val="TableHeading"/>
              <w:jc w:val="center"/>
              <w:cnfStyle w:val="100000000000" w:firstRow="1" w:lastRow="0" w:firstColumn="0" w:lastColumn="0" w:oddVBand="0" w:evenVBand="0" w:oddHBand="0" w:evenHBand="0" w:firstRowFirstColumn="0" w:firstRowLastColumn="0" w:lastRowFirstColumn="0" w:lastRowLastColumn="0"/>
            </w:pPr>
            <w:r w:rsidRPr="00E62F51">
              <w:t>95% prediction interval</w:t>
            </w:r>
            <w:r w:rsidR="00C053A5">
              <w:rPr>
                <w:vertAlign w:val="superscript"/>
              </w:rPr>
              <w:t>1</w:t>
            </w:r>
            <w:r w:rsidRPr="00E62F51">
              <w:t xml:space="preserve"> over project life</w:t>
            </w:r>
          </w:p>
        </w:tc>
      </w:tr>
      <w:tr w:rsidR="009D2459" w:rsidRPr="00E62F51" w14:paraId="74A93F55" w14:textId="77777777" w:rsidTr="000E13CE">
        <w:tc>
          <w:tcPr>
            <w:cnfStyle w:val="001000000000" w:firstRow="0" w:lastRow="0" w:firstColumn="1" w:lastColumn="0" w:oddVBand="0" w:evenVBand="0" w:oddHBand="0" w:evenHBand="0" w:firstRowFirstColumn="0" w:firstRowLastColumn="0" w:lastRowFirstColumn="0" w:lastRowLastColumn="0"/>
            <w:tcW w:w="784" w:type="pct"/>
            <w:vMerge w:val="restart"/>
          </w:tcPr>
          <w:p w14:paraId="79C44A71" w14:textId="77777777" w:rsidR="009D2459" w:rsidRPr="00E62F51" w:rsidRDefault="009D2459" w:rsidP="005E4C49">
            <w:pPr>
              <w:pStyle w:val="TableText"/>
            </w:pPr>
            <w:r w:rsidRPr="00E62F51">
              <w:t>Original layout</w:t>
            </w:r>
          </w:p>
        </w:tc>
        <w:tc>
          <w:tcPr>
            <w:tcW w:w="1022" w:type="pct"/>
          </w:tcPr>
          <w:p w14:paraId="7A68D9A4" w14:textId="77777777" w:rsidR="009D2459" w:rsidRPr="00E62F51" w:rsidRDefault="009D2459" w:rsidP="00F210C7">
            <w:pPr>
              <w:pStyle w:val="TableText"/>
              <w:jc w:val="center"/>
              <w:cnfStyle w:val="000000000000" w:firstRow="0" w:lastRow="0" w:firstColumn="0" w:lastColumn="0" w:oddVBand="0" w:evenVBand="0" w:oddHBand="0" w:evenHBand="0" w:firstRowFirstColumn="0" w:firstRowLastColumn="0" w:lastRowFirstColumn="0" w:lastRowLastColumn="0"/>
            </w:pPr>
            <w:r w:rsidRPr="00E62F51">
              <w:t>99%</w:t>
            </w:r>
          </w:p>
        </w:tc>
        <w:tc>
          <w:tcPr>
            <w:tcW w:w="786" w:type="pct"/>
          </w:tcPr>
          <w:p w14:paraId="23726DE1" w14:textId="712AC95B" w:rsidR="009D2459" w:rsidRPr="00E62F51" w:rsidRDefault="009D2459" w:rsidP="00F210C7">
            <w:pPr>
              <w:pStyle w:val="TableText"/>
              <w:jc w:val="center"/>
              <w:cnfStyle w:val="000000000000" w:firstRow="0" w:lastRow="0" w:firstColumn="0" w:lastColumn="0" w:oddVBand="0" w:evenVBand="0" w:oddHBand="0" w:evenHBand="0" w:firstRowFirstColumn="0" w:firstRowLastColumn="0" w:lastRowFirstColumn="0" w:lastRowLastColumn="0"/>
            </w:pPr>
            <w:r w:rsidRPr="00E62F51">
              <w:t>0.</w:t>
            </w:r>
            <w:r w:rsidR="00645DDC">
              <w:t>01</w:t>
            </w:r>
          </w:p>
        </w:tc>
        <w:tc>
          <w:tcPr>
            <w:tcW w:w="1101" w:type="pct"/>
          </w:tcPr>
          <w:p w14:paraId="77EE099B" w14:textId="2E647612" w:rsidR="009D2459" w:rsidRPr="00E62F51" w:rsidRDefault="009D2459" w:rsidP="00F210C7">
            <w:pPr>
              <w:pStyle w:val="TableText"/>
              <w:jc w:val="center"/>
              <w:cnfStyle w:val="000000000000" w:firstRow="0" w:lastRow="0" w:firstColumn="0" w:lastColumn="0" w:oddVBand="0" w:evenVBand="0" w:oddHBand="0" w:evenHBand="0" w:firstRowFirstColumn="0" w:firstRowLastColumn="0" w:lastRowFirstColumn="0" w:lastRowLastColumn="0"/>
            </w:pPr>
            <w:r w:rsidRPr="00E62F51">
              <w:t>0.</w:t>
            </w:r>
            <w:r w:rsidR="006F158A">
              <w:t>3</w:t>
            </w:r>
          </w:p>
        </w:tc>
        <w:tc>
          <w:tcPr>
            <w:tcW w:w="1307" w:type="pct"/>
          </w:tcPr>
          <w:p w14:paraId="01F37A58" w14:textId="77777777" w:rsidR="009D2459" w:rsidRPr="00E62F51" w:rsidRDefault="009D2459" w:rsidP="00F210C7">
            <w:pPr>
              <w:pStyle w:val="TableText"/>
              <w:jc w:val="center"/>
              <w:cnfStyle w:val="000000000000" w:firstRow="0" w:lastRow="0" w:firstColumn="0" w:lastColumn="0" w:oddVBand="0" w:evenVBand="0" w:oddHBand="0" w:evenHBand="0" w:firstRowFirstColumn="0" w:firstRowLastColumn="0" w:lastRowFirstColumn="0" w:lastRowLastColumn="0"/>
            </w:pPr>
            <w:r w:rsidRPr="00E62F51">
              <w:t>0 to 2 birds</w:t>
            </w:r>
          </w:p>
        </w:tc>
      </w:tr>
      <w:tr w:rsidR="009D2459" w:rsidRPr="00E62F51" w14:paraId="1838F24A" w14:textId="77777777" w:rsidTr="000E13CE">
        <w:tc>
          <w:tcPr>
            <w:cnfStyle w:val="001000000000" w:firstRow="0" w:lastRow="0" w:firstColumn="1" w:lastColumn="0" w:oddVBand="0" w:evenVBand="0" w:oddHBand="0" w:evenHBand="0" w:firstRowFirstColumn="0" w:firstRowLastColumn="0" w:lastRowFirstColumn="0" w:lastRowLastColumn="0"/>
            <w:tcW w:w="784" w:type="pct"/>
            <w:vMerge/>
          </w:tcPr>
          <w:p w14:paraId="1BEF9705" w14:textId="77777777" w:rsidR="009D2459" w:rsidRPr="00E62F51" w:rsidRDefault="009D2459" w:rsidP="005E4C49">
            <w:pPr>
              <w:pStyle w:val="TableText"/>
            </w:pPr>
          </w:p>
        </w:tc>
        <w:tc>
          <w:tcPr>
            <w:tcW w:w="1022" w:type="pct"/>
          </w:tcPr>
          <w:p w14:paraId="51815E07" w14:textId="77777777" w:rsidR="009D2459" w:rsidRPr="00E62F51" w:rsidRDefault="009D2459" w:rsidP="00F210C7">
            <w:pPr>
              <w:pStyle w:val="TableText"/>
              <w:jc w:val="center"/>
              <w:cnfStyle w:val="000000000000" w:firstRow="0" w:lastRow="0" w:firstColumn="0" w:lastColumn="0" w:oddVBand="0" w:evenVBand="0" w:oddHBand="0" w:evenHBand="0" w:firstRowFirstColumn="0" w:firstRowLastColumn="0" w:lastRowFirstColumn="0" w:lastRowLastColumn="0"/>
            </w:pPr>
            <w:r w:rsidRPr="00E62F51">
              <w:t>95%</w:t>
            </w:r>
          </w:p>
        </w:tc>
        <w:tc>
          <w:tcPr>
            <w:tcW w:w="786" w:type="pct"/>
          </w:tcPr>
          <w:p w14:paraId="6B0109C2" w14:textId="76F2F061" w:rsidR="009D2459" w:rsidRPr="00E62F51" w:rsidRDefault="009D2459" w:rsidP="00F210C7">
            <w:pPr>
              <w:pStyle w:val="TableText"/>
              <w:jc w:val="center"/>
              <w:cnfStyle w:val="000000000000" w:firstRow="0" w:lastRow="0" w:firstColumn="0" w:lastColumn="0" w:oddVBand="0" w:evenVBand="0" w:oddHBand="0" w:evenHBand="0" w:firstRowFirstColumn="0" w:firstRowLastColumn="0" w:lastRowFirstColumn="0" w:lastRowLastColumn="0"/>
            </w:pPr>
            <w:r w:rsidRPr="00E62F51">
              <w:t>0.0</w:t>
            </w:r>
            <w:r w:rsidR="006F158A">
              <w:t>7</w:t>
            </w:r>
          </w:p>
        </w:tc>
        <w:tc>
          <w:tcPr>
            <w:tcW w:w="1101" w:type="pct"/>
          </w:tcPr>
          <w:p w14:paraId="21E041CD" w14:textId="7B5552D1" w:rsidR="009D2459" w:rsidRPr="00E62F51" w:rsidRDefault="009D2459" w:rsidP="00F210C7">
            <w:pPr>
              <w:pStyle w:val="TableText"/>
              <w:jc w:val="center"/>
              <w:cnfStyle w:val="000000000000" w:firstRow="0" w:lastRow="0" w:firstColumn="0" w:lastColumn="0" w:oddVBand="0" w:evenVBand="0" w:oddHBand="0" w:evenHBand="0" w:firstRowFirstColumn="0" w:firstRowLastColumn="0" w:lastRowFirstColumn="0" w:lastRowLastColumn="0"/>
            </w:pPr>
            <w:r w:rsidRPr="00E62F51">
              <w:t>1.</w:t>
            </w:r>
            <w:r w:rsidR="00645DDC">
              <w:t>6</w:t>
            </w:r>
          </w:p>
        </w:tc>
        <w:tc>
          <w:tcPr>
            <w:tcW w:w="1307" w:type="pct"/>
          </w:tcPr>
          <w:p w14:paraId="334925B9" w14:textId="31BF6FAF" w:rsidR="009D2459" w:rsidRPr="00E62F51" w:rsidRDefault="009D2459" w:rsidP="00F210C7">
            <w:pPr>
              <w:pStyle w:val="TableText"/>
              <w:jc w:val="center"/>
              <w:cnfStyle w:val="000000000000" w:firstRow="0" w:lastRow="0" w:firstColumn="0" w:lastColumn="0" w:oddVBand="0" w:evenVBand="0" w:oddHBand="0" w:evenHBand="0" w:firstRowFirstColumn="0" w:firstRowLastColumn="0" w:lastRowFirstColumn="0" w:lastRowLastColumn="0"/>
            </w:pPr>
            <w:r w:rsidRPr="00E62F51">
              <w:t xml:space="preserve">0 to </w:t>
            </w:r>
            <w:r w:rsidR="0090253C">
              <w:t>5</w:t>
            </w:r>
            <w:r w:rsidRPr="00E62F51">
              <w:t xml:space="preserve"> birds</w:t>
            </w:r>
          </w:p>
        </w:tc>
      </w:tr>
      <w:tr w:rsidR="009D2459" w:rsidRPr="00E62F51" w14:paraId="14B448D0" w14:textId="77777777" w:rsidTr="000E13CE">
        <w:tc>
          <w:tcPr>
            <w:cnfStyle w:val="001000000000" w:firstRow="0" w:lastRow="0" w:firstColumn="1" w:lastColumn="0" w:oddVBand="0" w:evenVBand="0" w:oddHBand="0" w:evenHBand="0" w:firstRowFirstColumn="0" w:firstRowLastColumn="0" w:lastRowFirstColumn="0" w:lastRowLastColumn="0"/>
            <w:tcW w:w="784" w:type="pct"/>
            <w:vMerge/>
          </w:tcPr>
          <w:p w14:paraId="5BB3D0AE" w14:textId="77777777" w:rsidR="009D2459" w:rsidRPr="00E62F51" w:rsidRDefault="009D2459" w:rsidP="005E4C49">
            <w:pPr>
              <w:pStyle w:val="TableText"/>
            </w:pPr>
          </w:p>
        </w:tc>
        <w:tc>
          <w:tcPr>
            <w:tcW w:w="1022" w:type="pct"/>
          </w:tcPr>
          <w:p w14:paraId="1C598E36" w14:textId="77777777" w:rsidR="009D2459" w:rsidRPr="00E62F51" w:rsidRDefault="009D2459" w:rsidP="00F210C7">
            <w:pPr>
              <w:pStyle w:val="TableText"/>
              <w:jc w:val="center"/>
              <w:cnfStyle w:val="000000000000" w:firstRow="0" w:lastRow="0" w:firstColumn="0" w:lastColumn="0" w:oddVBand="0" w:evenVBand="0" w:oddHBand="0" w:evenHBand="0" w:firstRowFirstColumn="0" w:firstRowLastColumn="0" w:lastRowFirstColumn="0" w:lastRowLastColumn="0"/>
            </w:pPr>
            <w:r w:rsidRPr="00E62F51">
              <w:t>90%</w:t>
            </w:r>
          </w:p>
        </w:tc>
        <w:tc>
          <w:tcPr>
            <w:tcW w:w="786" w:type="pct"/>
          </w:tcPr>
          <w:p w14:paraId="32B16FC8" w14:textId="30B66C74" w:rsidR="009D2459" w:rsidRPr="00E62F51" w:rsidRDefault="009D2459" w:rsidP="00F210C7">
            <w:pPr>
              <w:pStyle w:val="TableText"/>
              <w:jc w:val="center"/>
              <w:cnfStyle w:val="000000000000" w:firstRow="0" w:lastRow="0" w:firstColumn="0" w:lastColumn="0" w:oddVBand="0" w:evenVBand="0" w:oddHBand="0" w:evenHBand="0" w:firstRowFirstColumn="0" w:firstRowLastColumn="0" w:lastRowFirstColumn="0" w:lastRowLastColumn="0"/>
            </w:pPr>
            <w:r w:rsidRPr="00E62F51">
              <w:t>0.1</w:t>
            </w:r>
            <w:r w:rsidR="006F158A">
              <w:t>3</w:t>
            </w:r>
          </w:p>
        </w:tc>
        <w:tc>
          <w:tcPr>
            <w:tcW w:w="1101" w:type="pct"/>
          </w:tcPr>
          <w:p w14:paraId="5C1A0E0B" w14:textId="2EE656DE" w:rsidR="009D2459" w:rsidRPr="00E62F51" w:rsidRDefault="00645DDC" w:rsidP="00F210C7">
            <w:pPr>
              <w:pStyle w:val="TableText"/>
              <w:jc w:val="center"/>
              <w:cnfStyle w:val="000000000000" w:firstRow="0" w:lastRow="0" w:firstColumn="0" w:lastColumn="0" w:oddVBand="0" w:evenVBand="0" w:oddHBand="0" w:evenHBand="0" w:firstRowFirstColumn="0" w:firstRowLastColumn="0" w:lastRowFirstColumn="0" w:lastRowLastColumn="0"/>
            </w:pPr>
            <w:r>
              <w:t>3.3</w:t>
            </w:r>
          </w:p>
        </w:tc>
        <w:tc>
          <w:tcPr>
            <w:tcW w:w="1307" w:type="pct"/>
          </w:tcPr>
          <w:p w14:paraId="6E999349" w14:textId="77777777" w:rsidR="009D2459" w:rsidRPr="00E62F51" w:rsidRDefault="009D2459" w:rsidP="00F210C7">
            <w:pPr>
              <w:pStyle w:val="TableText"/>
              <w:jc w:val="center"/>
              <w:cnfStyle w:val="000000000000" w:firstRow="0" w:lastRow="0" w:firstColumn="0" w:lastColumn="0" w:oddVBand="0" w:evenVBand="0" w:oddHBand="0" w:evenHBand="0" w:firstRowFirstColumn="0" w:firstRowLastColumn="0" w:lastRowFirstColumn="0" w:lastRowLastColumn="0"/>
            </w:pPr>
            <w:r w:rsidRPr="00E62F51">
              <w:t>0 to 7 birds</w:t>
            </w:r>
          </w:p>
        </w:tc>
      </w:tr>
      <w:tr w:rsidR="009D2459" w:rsidRPr="00E62F51" w14:paraId="0AB18A94" w14:textId="77777777" w:rsidTr="000E13CE">
        <w:tc>
          <w:tcPr>
            <w:cnfStyle w:val="001000000000" w:firstRow="0" w:lastRow="0" w:firstColumn="1" w:lastColumn="0" w:oddVBand="0" w:evenVBand="0" w:oddHBand="0" w:evenHBand="0" w:firstRowFirstColumn="0" w:firstRowLastColumn="0" w:lastRowFirstColumn="0" w:lastRowLastColumn="0"/>
            <w:tcW w:w="784" w:type="pct"/>
            <w:vMerge w:val="restart"/>
          </w:tcPr>
          <w:p w14:paraId="635A1F9D" w14:textId="77777777" w:rsidR="009D2459" w:rsidRPr="00E62F51" w:rsidRDefault="009D2459" w:rsidP="005E4C49">
            <w:pPr>
              <w:pStyle w:val="TableText"/>
            </w:pPr>
            <w:r w:rsidRPr="00E62F51">
              <w:t>Current layout</w:t>
            </w:r>
          </w:p>
        </w:tc>
        <w:tc>
          <w:tcPr>
            <w:tcW w:w="1022" w:type="pct"/>
          </w:tcPr>
          <w:p w14:paraId="137BB1E4" w14:textId="77777777" w:rsidR="009D2459" w:rsidRPr="00E62F51" w:rsidRDefault="009D2459" w:rsidP="00F210C7">
            <w:pPr>
              <w:pStyle w:val="TableText"/>
              <w:jc w:val="center"/>
              <w:cnfStyle w:val="000000000000" w:firstRow="0" w:lastRow="0" w:firstColumn="0" w:lastColumn="0" w:oddVBand="0" w:evenVBand="0" w:oddHBand="0" w:evenHBand="0" w:firstRowFirstColumn="0" w:firstRowLastColumn="0" w:lastRowFirstColumn="0" w:lastRowLastColumn="0"/>
            </w:pPr>
            <w:r w:rsidRPr="00E62F51">
              <w:t>99%</w:t>
            </w:r>
          </w:p>
        </w:tc>
        <w:tc>
          <w:tcPr>
            <w:tcW w:w="786" w:type="pct"/>
          </w:tcPr>
          <w:p w14:paraId="0B6421DE" w14:textId="77777777" w:rsidR="009D2459" w:rsidRPr="00E62F51" w:rsidRDefault="009D2459" w:rsidP="00F210C7">
            <w:pPr>
              <w:pStyle w:val="TableText"/>
              <w:jc w:val="center"/>
              <w:cnfStyle w:val="000000000000" w:firstRow="0" w:lastRow="0" w:firstColumn="0" w:lastColumn="0" w:oddVBand="0" w:evenVBand="0" w:oddHBand="0" w:evenHBand="0" w:firstRowFirstColumn="0" w:firstRowLastColumn="0" w:lastRowFirstColumn="0" w:lastRowLastColumn="0"/>
            </w:pPr>
            <w:r w:rsidRPr="00E62F51">
              <w:t>0.01</w:t>
            </w:r>
          </w:p>
        </w:tc>
        <w:tc>
          <w:tcPr>
            <w:tcW w:w="1101" w:type="pct"/>
          </w:tcPr>
          <w:p w14:paraId="1B73F14E" w14:textId="6AECE445" w:rsidR="009D2459" w:rsidRPr="00E62F51" w:rsidRDefault="009D2459" w:rsidP="00F210C7">
            <w:pPr>
              <w:pStyle w:val="TableText"/>
              <w:jc w:val="center"/>
              <w:cnfStyle w:val="000000000000" w:firstRow="0" w:lastRow="0" w:firstColumn="0" w:lastColumn="0" w:oddVBand="0" w:evenVBand="0" w:oddHBand="0" w:evenHBand="0" w:firstRowFirstColumn="0" w:firstRowLastColumn="0" w:lastRowFirstColumn="0" w:lastRowLastColumn="0"/>
            </w:pPr>
            <w:r w:rsidRPr="00E62F51">
              <w:t>0.</w:t>
            </w:r>
            <w:r w:rsidR="000B0B80">
              <w:t>2</w:t>
            </w:r>
          </w:p>
        </w:tc>
        <w:tc>
          <w:tcPr>
            <w:tcW w:w="1307" w:type="pct"/>
          </w:tcPr>
          <w:p w14:paraId="49FD04E4" w14:textId="77777777" w:rsidR="009D2459" w:rsidRPr="00E62F51" w:rsidRDefault="009D2459" w:rsidP="00F210C7">
            <w:pPr>
              <w:pStyle w:val="TableText"/>
              <w:jc w:val="center"/>
              <w:cnfStyle w:val="000000000000" w:firstRow="0" w:lastRow="0" w:firstColumn="0" w:lastColumn="0" w:oddVBand="0" w:evenVBand="0" w:oddHBand="0" w:evenHBand="0" w:firstRowFirstColumn="0" w:firstRowLastColumn="0" w:lastRowFirstColumn="0" w:lastRowLastColumn="0"/>
            </w:pPr>
            <w:r w:rsidRPr="00E62F51">
              <w:t>0 to 1 bird</w:t>
            </w:r>
          </w:p>
        </w:tc>
      </w:tr>
      <w:tr w:rsidR="009D2459" w:rsidRPr="00E62F51" w14:paraId="466925DC" w14:textId="77777777" w:rsidTr="000E13CE">
        <w:tc>
          <w:tcPr>
            <w:cnfStyle w:val="001000000000" w:firstRow="0" w:lastRow="0" w:firstColumn="1" w:lastColumn="0" w:oddVBand="0" w:evenVBand="0" w:oddHBand="0" w:evenHBand="0" w:firstRowFirstColumn="0" w:firstRowLastColumn="0" w:lastRowFirstColumn="0" w:lastRowLastColumn="0"/>
            <w:tcW w:w="784" w:type="pct"/>
            <w:vMerge/>
          </w:tcPr>
          <w:p w14:paraId="581E0AE2" w14:textId="77777777" w:rsidR="009D2459" w:rsidRPr="00E62F51" w:rsidRDefault="009D2459" w:rsidP="005E4C49">
            <w:pPr>
              <w:pStyle w:val="TableText"/>
            </w:pPr>
          </w:p>
        </w:tc>
        <w:tc>
          <w:tcPr>
            <w:tcW w:w="1022" w:type="pct"/>
          </w:tcPr>
          <w:p w14:paraId="13946602" w14:textId="77777777" w:rsidR="009D2459" w:rsidRPr="00E62F51" w:rsidRDefault="009D2459" w:rsidP="00F210C7">
            <w:pPr>
              <w:pStyle w:val="TableText"/>
              <w:jc w:val="center"/>
              <w:cnfStyle w:val="000000000000" w:firstRow="0" w:lastRow="0" w:firstColumn="0" w:lastColumn="0" w:oddVBand="0" w:evenVBand="0" w:oddHBand="0" w:evenHBand="0" w:firstRowFirstColumn="0" w:firstRowLastColumn="0" w:lastRowFirstColumn="0" w:lastRowLastColumn="0"/>
            </w:pPr>
            <w:r w:rsidRPr="00E62F51">
              <w:t>95%</w:t>
            </w:r>
          </w:p>
        </w:tc>
        <w:tc>
          <w:tcPr>
            <w:tcW w:w="786" w:type="pct"/>
          </w:tcPr>
          <w:p w14:paraId="3F1A0F67" w14:textId="70462E06" w:rsidR="009D2459" w:rsidRPr="00E62F51" w:rsidRDefault="009D2459" w:rsidP="00F210C7">
            <w:pPr>
              <w:pStyle w:val="TableText"/>
              <w:jc w:val="center"/>
              <w:cnfStyle w:val="000000000000" w:firstRow="0" w:lastRow="0" w:firstColumn="0" w:lastColumn="0" w:oddVBand="0" w:evenVBand="0" w:oddHBand="0" w:evenHBand="0" w:firstRowFirstColumn="0" w:firstRowLastColumn="0" w:lastRowFirstColumn="0" w:lastRowLastColumn="0"/>
            </w:pPr>
            <w:r w:rsidRPr="00E62F51">
              <w:t>0.0</w:t>
            </w:r>
            <w:r w:rsidR="006F158A">
              <w:t>3</w:t>
            </w:r>
          </w:p>
        </w:tc>
        <w:tc>
          <w:tcPr>
            <w:tcW w:w="1101" w:type="pct"/>
          </w:tcPr>
          <w:p w14:paraId="65CDB07E" w14:textId="3296C899" w:rsidR="009D2459" w:rsidRPr="00E62F51" w:rsidRDefault="009D2459" w:rsidP="00F210C7">
            <w:pPr>
              <w:pStyle w:val="TableText"/>
              <w:jc w:val="center"/>
              <w:cnfStyle w:val="000000000000" w:firstRow="0" w:lastRow="0" w:firstColumn="0" w:lastColumn="0" w:oddVBand="0" w:evenVBand="0" w:oddHBand="0" w:evenHBand="0" w:firstRowFirstColumn="0" w:firstRowLastColumn="0" w:lastRowFirstColumn="0" w:lastRowLastColumn="0"/>
            </w:pPr>
            <w:r w:rsidRPr="00E62F51">
              <w:t>0.</w:t>
            </w:r>
            <w:r w:rsidR="00645DDC">
              <w:t>9</w:t>
            </w:r>
          </w:p>
        </w:tc>
        <w:tc>
          <w:tcPr>
            <w:tcW w:w="1307" w:type="pct"/>
          </w:tcPr>
          <w:p w14:paraId="1EF8B5F4" w14:textId="77777777" w:rsidR="009D2459" w:rsidRPr="00E62F51" w:rsidRDefault="009D2459" w:rsidP="00F210C7">
            <w:pPr>
              <w:pStyle w:val="TableText"/>
              <w:jc w:val="center"/>
              <w:cnfStyle w:val="000000000000" w:firstRow="0" w:lastRow="0" w:firstColumn="0" w:lastColumn="0" w:oddVBand="0" w:evenVBand="0" w:oddHBand="0" w:evenHBand="0" w:firstRowFirstColumn="0" w:firstRowLastColumn="0" w:lastRowFirstColumn="0" w:lastRowLastColumn="0"/>
            </w:pPr>
            <w:r w:rsidRPr="00E62F51">
              <w:t>0 to 3 birds</w:t>
            </w:r>
          </w:p>
        </w:tc>
      </w:tr>
      <w:tr w:rsidR="009D2459" w:rsidRPr="00E62F51" w14:paraId="0B3F02AE" w14:textId="77777777" w:rsidTr="000E13CE">
        <w:tc>
          <w:tcPr>
            <w:cnfStyle w:val="001000000000" w:firstRow="0" w:lastRow="0" w:firstColumn="1" w:lastColumn="0" w:oddVBand="0" w:evenVBand="0" w:oddHBand="0" w:evenHBand="0" w:firstRowFirstColumn="0" w:firstRowLastColumn="0" w:lastRowFirstColumn="0" w:lastRowLastColumn="0"/>
            <w:tcW w:w="784" w:type="pct"/>
            <w:vMerge/>
          </w:tcPr>
          <w:p w14:paraId="4ADE490E" w14:textId="77777777" w:rsidR="009D2459" w:rsidRPr="00E62F51" w:rsidRDefault="009D2459" w:rsidP="005E4C49">
            <w:pPr>
              <w:pStyle w:val="TableText"/>
            </w:pPr>
          </w:p>
        </w:tc>
        <w:tc>
          <w:tcPr>
            <w:tcW w:w="1022" w:type="pct"/>
          </w:tcPr>
          <w:p w14:paraId="4CA579A6" w14:textId="77777777" w:rsidR="009D2459" w:rsidRPr="00E62F51" w:rsidRDefault="009D2459" w:rsidP="00F210C7">
            <w:pPr>
              <w:pStyle w:val="TableText"/>
              <w:jc w:val="center"/>
              <w:cnfStyle w:val="000000000000" w:firstRow="0" w:lastRow="0" w:firstColumn="0" w:lastColumn="0" w:oddVBand="0" w:evenVBand="0" w:oddHBand="0" w:evenHBand="0" w:firstRowFirstColumn="0" w:firstRowLastColumn="0" w:lastRowFirstColumn="0" w:lastRowLastColumn="0"/>
            </w:pPr>
            <w:r w:rsidRPr="00E62F51">
              <w:t>90%</w:t>
            </w:r>
          </w:p>
        </w:tc>
        <w:tc>
          <w:tcPr>
            <w:tcW w:w="786" w:type="pct"/>
          </w:tcPr>
          <w:p w14:paraId="0338ADCD" w14:textId="093DB4F5" w:rsidR="009D2459" w:rsidRPr="00E62F51" w:rsidRDefault="009D2459" w:rsidP="00F210C7">
            <w:pPr>
              <w:pStyle w:val="TableText"/>
              <w:jc w:val="center"/>
              <w:cnfStyle w:val="000000000000" w:firstRow="0" w:lastRow="0" w:firstColumn="0" w:lastColumn="0" w:oddVBand="0" w:evenVBand="0" w:oddHBand="0" w:evenHBand="0" w:firstRowFirstColumn="0" w:firstRowLastColumn="0" w:lastRowFirstColumn="0" w:lastRowLastColumn="0"/>
            </w:pPr>
            <w:r w:rsidRPr="00E62F51">
              <w:t>0.0</w:t>
            </w:r>
            <w:r w:rsidR="00645DDC">
              <w:t>7</w:t>
            </w:r>
          </w:p>
        </w:tc>
        <w:tc>
          <w:tcPr>
            <w:tcW w:w="1101" w:type="pct"/>
          </w:tcPr>
          <w:p w14:paraId="30703271" w14:textId="286432F6" w:rsidR="009D2459" w:rsidRPr="00E62F51" w:rsidRDefault="009D2459" w:rsidP="00F210C7">
            <w:pPr>
              <w:pStyle w:val="TableText"/>
              <w:jc w:val="center"/>
              <w:cnfStyle w:val="000000000000" w:firstRow="0" w:lastRow="0" w:firstColumn="0" w:lastColumn="0" w:oddVBand="0" w:evenVBand="0" w:oddHBand="0" w:evenHBand="0" w:firstRowFirstColumn="0" w:firstRowLastColumn="0" w:lastRowFirstColumn="0" w:lastRowLastColumn="0"/>
            </w:pPr>
            <w:r w:rsidRPr="00E62F51">
              <w:t>1.</w:t>
            </w:r>
            <w:r w:rsidR="000B0B80">
              <w:t>7</w:t>
            </w:r>
          </w:p>
        </w:tc>
        <w:tc>
          <w:tcPr>
            <w:tcW w:w="1307" w:type="pct"/>
          </w:tcPr>
          <w:p w14:paraId="5B4BEFE5" w14:textId="03D9528C" w:rsidR="009D2459" w:rsidRPr="00E62F51" w:rsidRDefault="009D2459" w:rsidP="00F210C7">
            <w:pPr>
              <w:pStyle w:val="TableText"/>
              <w:jc w:val="center"/>
              <w:cnfStyle w:val="000000000000" w:firstRow="0" w:lastRow="0" w:firstColumn="0" w:lastColumn="0" w:oddVBand="0" w:evenVBand="0" w:oddHBand="0" w:evenHBand="0" w:firstRowFirstColumn="0" w:firstRowLastColumn="0" w:lastRowFirstColumn="0" w:lastRowLastColumn="0"/>
            </w:pPr>
            <w:r w:rsidRPr="00E62F51">
              <w:t xml:space="preserve">0 to </w:t>
            </w:r>
            <w:r w:rsidR="0090253C">
              <w:t>5</w:t>
            </w:r>
            <w:r w:rsidRPr="00E62F51">
              <w:t xml:space="preserve"> birds</w:t>
            </w:r>
          </w:p>
        </w:tc>
      </w:tr>
    </w:tbl>
    <w:p w14:paraId="06C74C49" w14:textId="39D1EF72" w:rsidR="00C053A5" w:rsidRDefault="00C053A5" w:rsidP="00C053A5">
      <w:pPr>
        <w:pStyle w:val="Footnotes"/>
      </w:pPr>
      <w:bookmarkStart w:id="214" w:name="_Hlk79415650"/>
      <w:r w:rsidRPr="00541337">
        <w:t>A prediction interval is an estimate of an interval in which a future observation will fall, with a certain probability, given what has already been observed.</w:t>
      </w:r>
    </w:p>
    <w:p w14:paraId="5F2837F8" w14:textId="7379127D" w:rsidR="000E13CE" w:rsidRPr="00007903" w:rsidRDefault="00401FA4" w:rsidP="00007903">
      <w:pPr>
        <w:pStyle w:val="BodyText"/>
      </w:pPr>
      <w:r>
        <w:t xml:space="preserve">Biosis (Appendix C2 – </w:t>
      </w:r>
      <w:r w:rsidRPr="00E04EDB">
        <w:rPr>
          <w:i/>
          <w:iCs/>
        </w:rPr>
        <w:t xml:space="preserve">Ecological </w:t>
      </w:r>
      <w:r w:rsidR="00AD4BB6">
        <w:rPr>
          <w:i/>
          <w:iCs/>
        </w:rPr>
        <w:t xml:space="preserve">independent </w:t>
      </w:r>
      <w:r w:rsidRPr="00E04EDB">
        <w:rPr>
          <w:i/>
          <w:iCs/>
        </w:rPr>
        <w:t>peer review</w:t>
      </w:r>
      <w:r>
        <w:t>) note that these are likely to over-estimate of potential collision risk to Brolga at Willatook since the</w:t>
      </w:r>
      <w:r w:rsidRPr="008F6BC5">
        <w:t xml:space="preserve"> </w:t>
      </w:r>
      <w:r>
        <w:t xml:space="preserve">results produce a </w:t>
      </w:r>
      <w:r w:rsidRPr="008F6BC5">
        <w:t>measure of the number of flights-at risk of collision, not the number of birds at risk of collision</w:t>
      </w:r>
      <w:r>
        <w:t xml:space="preserve">. </w:t>
      </w:r>
      <w:r w:rsidR="00B86FBD">
        <w:t xml:space="preserve">They </w:t>
      </w:r>
      <w:r w:rsidR="000E13CE">
        <w:t xml:space="preserve">conclude the </w:t>
      </w:r>
      <w:r w:rsidR="000E13CE" w:rsidRPr="00D24315">
        <w:t xml:space="preserve">results </w:t>
      </w:r>
      <w:r w:rsidR="000E13CE">
        <w:t>the collision risk and population viability analysis</w:t>
      </w:r>
      <w:r w:rsidR="000E13CE" w:rsidRPr="00D24315">
        <w:t xml:space="preserve"> </w:t>
      </w:r>
      <w:r w:rsidR="000E13CE">
        <w:t>“</w:t>
      </w:r>
      <w:r w:rsidR="00B86FBD">
        <w:t>indicate extremely low potential for impact on the population” and they “agree with that as an overall assessment</w:t>
      </w:r>
      <w:r w:rsidR="000E13CE">
        <w:t>”</w:t>
      </w:r>
      <w:r w:rsidR="000E13CE" w:rsidRPr="00D24315">
        <w:t xml:space="preserve">. </w:t>
      </w:r>
      <w:r w:rsidR="000E13CE">
        <w:t xml:space="preserve">They also note that </w:t>
      </w:r>
      <w:r w:rsidR="00945E14">
        <w:t xml:space="preserve">there is </w:t>
      </w:r>
      <w:r w:rsidR="000E13CE">
        <w:t>“</w:t>
      </w:r>
      <w:r w:rsidR="000E13CE" w:rsidRPr="00D24315">
        <w:t>no documentary evidence for any Brolga collisions with turbines at operational wind farms, also suggests that this form of impact on the species is very unlikely to occur</w:t>
      </w:r>
      <w:r w:rsidR="000E13CE">
        <w:t>”.</w:t>
      </w:r>
    </w:p>
    <w:p w14:paraId="04857363" w14:textId="19250DA3" w:rsidR="000E13CE" w:rsidRPr="00E62F51" w:rsidRDefault="000E13CE" w:rsidP="000E13CE">
      <w:pPr>
        <w:pStyle w:val="BodyText"/>
      </w:pPr>
      <w:r w:rsidRPr="00E62F51">
        <w:t>To ensure predictions relating to Brolga outlined in this EES are accurate, a</w:t>
      </w:r>
      <w:r w:rsidR="00466978">
        <w:t xml:space="preserve"> bird and bat adaptive management plan</w:t>
      </w:r>
      <w:r w:rsidRPr="00E62F51">
        <w:t xml:space="preserve"> will be prepared to the satisfaction of DELWP that will detail a Brolga monitoring program. This would include both behavioural observations as well as a mortality monitoring to identify any unexpected turbine interactions (resulting in injury or death) as outlined in Section </w:t>
      </w:r>
      <w:r>
        <w:fldChar w:fldCharType="begin"/>
      </w:r>
      <w:r>
        <w:instrText xml:space="preserve"> REF _Ref88556063 \r \h </w:instrText>
      </w:r>
      <w:r>
        <w:fldChar w:fldCharType="separate"/>
      </w:r>
      <w:r w:rsidR="00C053A5">
        <w:t>11.6.3</w:t>
      </w:r>
      <w:r>
        <w:fldChar w:fldCharType="end"/>
      </w:r>
      <w:r w:rsidRPr="00E62F51">
        <w:t>.</w:t>
      </w:r>
    </w:p>
    <w:p w14:paraId="10DB8E61" w14:textId="6D857EB5" w:rsidR="009D2459" w:rsidRPr="00E62F51" w:rsidRDefault="009D2459" w:rsidP="009D2459">
      <w:pPr>
        <w:pStyle w:val="BodyText"/>
      </w:pPr>
      <w:bookmarkStart w:id="215" w:name="_Hlk99370533"/>
      <w:r w:rsidRPr="00E62F51">
        <w:t>To assess the impact Victorian Brolga population under various collision risk modelling scenarios, a</w:t>
      </w:r>
      <w:r w:rsidR="00F210C7">
        <w:t xml:space="preserve"> </w:t>
      </w:r>
      <w:r w:rsidRPr="00E62F51">
        <w:t>Population Viability Assessment was completed by Professor Michael McCarthy from the University of Melbourne</w:t>
      </w:r>
      <w:r w:rsidR="00401FA4">
        <w:t xml:space="preserve"> (included in Appendix C1 – </w:t>
      </w:r>
      <w:r w:rsidR="00401FA4" w:rsidRPr="00401FA4">
        <w:rPr>
          <w:i/>
          <w:iCs/>
        </w:rPr>
        <w:t>Brolga</w:t>
      </w:r>
      <w:r w:rsidR="00401FA4">
        <w:t>)</w:t>
      </w:r>
      <w:r w:rsidRPr="00E62F51">
        <w:t>. This predicted that the population size would be reduced by between 0.</w:t>
      </w:r>
      <w:r w:rsidR="00C96726">
        <w:t>3</w:t>
      </w:r>
      <w:r w:rsidRPr="00E62F51">
        <w:t xml:space="preserve"> and 0.8 birds compared with baseline conditions. Using the worst-case scenario collision impact rate, this represents a reduction of about 0.1% in the population</w:t>
      </w:r>
      <w:bookmarkEnd w:id="214"/>
      <w:r w:rsidRPr="00E62F51">
        <w:t>.</w:t>
      </w:r>
      <w:bookmarkEnd w:id="215"/>
      <w:r w:rsidRPr="00E62F51">
        <w:t> </w:t>
      </w:r>
    </w:p>
    <w:p w14:paraId="51F1DE54" w14:textId="1D943F73" w:rsidR="009D2459" w:rsidRPr="00E62F51" w:rsidRDefault="009D2459" w:rsidP="009D2459">
      <w:pPr>
        <w:pStyle w:val="BodyText"/>
      </w:pPr>
      <w:bookmarkStart w:id="216" w:name="_Hlk99370176"/>
      <w:r w:rsidRPr="00E62F51">
        <w:t>The Interim Brolga Guidelines require that the worst-case scenario (</w:t>
      </w:r>
      <w:r w:rsidR="00C06232">
        <w:t>i.e.</w:t>
      </w:r>
      <w:r w:rsidR="00441253">
        <w:t>,</w:t>
      </w:r>
      <w:r w:rsidRPr="00E62F51">
        <w:t xml:space="preserve"> the upper 95% confidence interval) be adopted and offset through the implementation of a Brolga Compensation Plan. Based on the collision risk model this results in an upper limit of </w:t>
      </w:r>
      <w:r w:rsidR="00F84085">
        <w:t>five</w:t>
      </w:r>
      <w:r w:rsidRPr="00E62F51">
        <w:t xml:space="preserve"> Brolga that may collide with wind turbines over the 25-year life of the project that require creation of a suitable offset</w:t>
      </w:r>
      <w:r w:rsidR="000E13CE">
        <w:t xml:space="preserve"> </w:t>
      </w:r>
      <w:r w:rsidR="000E13CE" w:rsidRPr="00264416">
        <w:t>through the</w:t>
      </w:r>
      <w:r w:rsidR="000E13CE">
        <w:t xml:space="preserve"> </w:t>
      </w:r>
      <w:r w:rsidR="000E13CE" w:rsidRPr="00264416">
        <w:t>restoration of breeding habitat so that additional</w:t>
      </w:r>
      <w:r w:rsidR="000E13CE">
        <w:t xml:space="preserve"> </w:t>
      </w:r>
      <w:r w:rsidR="000E13CE" w:rsidRPr="00264416">
        <w:t>breeding pairs can produce increased numbers of</w:t>
      </w:r>
      <w:r w:rsidR="000E13CE">
        <w:t xml:space="preserve"> </w:t>
      </w:r>
      <w:r w:rsidR="000E13CE" w:rsidRPr="00264416">
        <w:t>young that survive to become breeding adults</w:t>
      </w:r>
      <w:r w:rsidRPr="00E62F51">
        <w:t xml:space="preserve">. This will ensure that the expected minimum population size remains the same. </w:t>
      </w:r>
      <w:r w:rsidR="000E13CE">
        <w:t xml:space="preserve">A framework for this plan is outlined in Appendix C1 – </w:t>
      </w:r>
      <w:r w:rsidR="000E13CE" w:rsidRPr="00E85079">
        <w:rPr>
          <w:i/>
          <w:iCs/>
        </w:rPr>
        <w:t>Brolga</w:t>
      </w:r>
      <w:r w:rsidR="000E13CE">
        <w:rPr>
          <w:i/>
          <w:iCs/>
        </w:rPr>
        <w:t xml:space="preserve"> </w:t>
      </w:r>
      <w:r w:rsidR="000E13CE">
        <w:t>along with an assessment of its feasibility.</w:t>
      </w:r>
    </w:p>
    <w:bookmarkEnd w:id="216"/>
    <w:p w14:paraId="1C8EE09B" w14:textId="77777777" w:rsidR="009D2459" w:rsidRPr="00DA6358" w:rsidRDefault="009D2459" w:rsidP="00DA6358">
      <w:pPr>
        <w:pStyle w:val="Heading4"/>
      </w:pPr>
      <w:r w:rsidRPr="00DA6358">
        <w:t>Disturbance</w:t>
      </w:r>
    </w:p>
    <w:p w14:paraId="304B5D4C" w14:textId="49FBCE6C" w:rsidR="009D2459" w:rsidRPr="00E62F51" w:rsidRDefault="009D2459" w:rsidP="009D2459">
      <w:pPr>
        <w:pStyle w:val="BodyText"/>
      </w:pPr>
      <w:r w:rsidRPr="00E62F51">
        <w:t xml:space="preserve">The on-site quarry is proposed and would operate during the construction stage of the </w:t>
      </w:r>
      <w:r w:rsidR="00B3458C">
        <w:t>p</w:t>
      </w:r>
      <w:r w:rsidRPr="00E62F51">
        <w:t>roject. The</w:t>
      </w:r>
      <w:r w:rsidR="009949A0">
        <w:t> </w:t>
      </w:r>
      <w:r w:rsidRPr="00E62F51">
        <w:t>proposed quarry is located approximately 2.1 kilometres from the closest Brolga breeding wetland. The</w:t>
      </w:r>
      <w:r w:rsidR="009949A0">
        <w:t> </w:t>
      </w:r>
      <w:r w:rsidRPr="00E62F51">
        <w:t>sensitivity of Brolga to ground motions and low air blast and noise levels from distant blasts is unknown. Based on observations and presence of other bird species near regional quarries, it is likely that occasional blast events at the quarry would not cause disturbance to Brolgas nesting or foraging (as discussed in Appendix E</w:t>
      </w:r>
      <w:r w:rsidR="00AD4BB6">
        <w:t>4</w:t>
      </w:r>
      <w:r w:rsidRPr="00E62F51">
        <w:t xml:space="preserve"> </w:t>
      </w:r>
      <w:r w:rsidR="004F6FEB">
        <w:t>–</w:t>
      </w:r>
      <w:r w:rsidRPr="00E62F51">
        <w:t xml:space="preserve"> </w:t>
      </w:r>
      <w:r w:rsidR="00AD4BB6" w:rsidRPr="00007903">
        <w:rPr>
          <w:i/>
          <w:iCs/>
        </w:rPr>
        <w:t>Quarry blasting</w:t>
      </w:r>
      <w:r w:rsidRPr="00E62F51">
        <w:t xml:space="preserve">). Blasting would occur about two times per month and would be of a similar intensity to thunder at the distance of the Brolga breeding wetlands and therefore would not be expected to result in significant disturbance. </w:t>
      </w:r>
      <w:r w:rsidR="008F6BC5">
        <w:t xml:space="preserve">Based on monitoring of the effects of quarry blasting on wetland birds close to an operational basalt quarry in southern Victoria, Biosis concluded that they </w:t>
      </w:r>
      <w:r w:rsidR="008F6BC5" w:rsidRPr="008F6BC5">
        <w:t>would not expect Brolgas to respond negatively to</w:t>
      </w:r>
      <w:r w:rsidR="008F6BC5">
        <w:t xml:space="preserve"> proposed</w:t>
      </w:r>
      <w:r w:rsidR="008F6BC5" w:rsidRPr="008F6BC5">
        <w:t xml:space="preserve"> quarry blasting operations at a distance of </w:t>
      </w:r>
      <w:r w:rsidR="008F6BC5">
        <w:t xml:space="preserve">at least </w:t>
      </w:r>
      <w:r w:rsidR="008F6BC5" w:rsidRPr="008F6BC5">
        <w:t>2.1</w:t>
      </w:r>
      <w:r w:rsidR="009949A0">
        <w:t> </w:t>
      </w:r>
      <w:r w:rsidR="008F6BC5">
        <w:t>kilometres</w:t>
      </w:r>
      <w:r w:rsidR="00852923">
        <w:t xml:space="preserve"> (Appendix</w:t>
      </w:r>
      <w:r w:rsidR="009949A0">
        <w:t> </w:t>
      </w:r>
      <w:r w:rsidR="00852923">
        <w:t xml:space="preserve">C2 – </w:t>
      </w:r>
      <w:r w:rsidR="00852923" w:rsidRPr="00E04EDB">
        <w:rPr>
          <w:i/>
          <w:iCs/>
        </w:rPr>
        <w:t xml:space="preserve">Ecological </w:t>
      </w:r>
      <w:r w:rsidR="00AD4BB6">
        <w:rPr>
          <w:i/>
          <w:iCs/>
        </w:rPr>
        <w:t xml:space="preserve">independent </w:t>
      </w:r>
      <w:r w:rsidR="00852923" w:rsidRPr="00E04EDB">
        <w:rPr>
          <w:i/>
          <w:iCs/>
        </w:rPr>
        <w:t>peer review</w:t>
      </w:r>
      <w:r w:rsidR="00852923">
        <w:t>)</w:t>
      </w:r>
      <w:r w:rsidR="008F6BC5" w:rsidRPr="008F6BC5">
        <w:t>.</w:t>
      </w:r>
    </w:p>
    <w:p w14:paraId="5646EEEB" w14:textId="77777777" w:rsidR="009D2459" w:rsidRPr="00E62F51" w:rsidRDefault="009D2459" w:rsidP="00C053A5">
      <w:pPr>
        <w:pStyle w:val="BodyText"/>
        <w:keepLines/>
      </w:pPr>
      <w:bookmarkStart w:id="217" w:name="_Hlk82759403"/>
      <w:r w:rsidRPr="00E62F51">
        <w:lastRenderedPageBreak/>
        <w:t xml:space="preserve">To ensure project-related disturbance does not aversely effect Brolga breeding attempts, behavioural monitoring of Brolga will be conducted throughout the breeding season period. Measures to limit disturbance for recorded Brolga nesting, may include scheduling construction activities for those wind turbine locations closest to the breeding site to occur outside the breeding season or </w:t>
      </w:r>
      <w:proofErr w:type="spellStart"/>
      <w:r w:rsidRPr="00E62F51">
        <w:t>micrositing</w:t>
      </w:r>
      <w:proofErr w:type="spellEnd"/>
      <w:r w:rsidRPr="00E62F51">
        <w:t xml:space="preserve"> the closest turbine(s) further from the wetland. </w:t>
      </w:r>
    </w:p>
    <w:bookmarkEnd w:id="217"/>
    <w:p w14:paraId="7A48A40E" w14:textId="1C87A9C7" w:rsidR="009D2459" w:rsidRPr="00E62F51" w:rsidRDefault="009D2459" w:rsidP="009D2459">
      <w:pPr>
        <w:pStyle w:val="BodyText"/>
      </w:pPr>
      <w:r w:rsidRPr="00E62F51">
        <w:t>Brolga monitoring at Macarthur Wind Farm indicates that Brolga have nested within 200 metres of constructed and operational wind turbines and they will forage consistently within 100 metres of the base of operating turbines (</w:t>
      </w:r>
      <w:r w:rsidR="004A2EC5">
        <w:t xml:space="preserve">Appendix C1 – </w:t>
      </w:r>
      <w:r w:rsidR="004A2EC5" w:rsidRPr="00401FA4">
        <w:rPr>
          <w:i/>
          <w:iCs/>
        </w:rPr>
        <w:t>Brolga</w:t>
      </w:r>
      <w:r w:rsidRPr="00E62F51">
        <w:t>).</w:t>
      </w:r>
      <w:r>
        <w:t xml:space="preserve"> </w:t>
      </w:r>
      <w:r w:rsidRPr="00E62F51">
        <w:t xml:space="preserve">Once construction of the project is complete, the lower level of vehicle traffic and human activity associated with operating the completed wind farm is considered unlikely to disturb fauna in adjacent habitats persistently. </w:t>
      </w:r>
    </w:p>
    <w:p w14:paraId="4FCAA27F" w14:textId="3F3A203F" w:rsidR="009D2459" w:rsidRPr="00DA6358" w:rsidRDefault="009D2459" w:rsidP="00DA6358">
      <w:pPr>
        <w:pStyle w:val="Heading4"/>
      </w:pPr>
      <w:r w:rsidRPr="00DA6358">
        <w:t xml:space="preserve">Cumulative </w:t>
      </w:r>
      <w:r w:rsidR="004F6FEB">
        <w:t>i</w:t>
      </w:r>
      <w:r w:rsidRPr="00DA6358">
        <w:t>mpacts</w:t>
      </w:r>
    </w:p>
    <w:p w14:paraId="2BC8D441" w14:textId="58F61837" w:rsidR="009D2459" w:rsidRPr="00E62F51" w:rsidRDefault="009D2459" w:rsidP="009D2459">
      <w:pPr>
        <w:pStyle w:val="BodyText"/>
      </w:pPr>
      <w:r w:rsidRPr="00E62F51">
        <w:t xml:space="preserve">Potential cumulative impacts to the Victorian Brolga population are assessed in Chapter 24 – </w:t>
      </w:r>
      <w:r w:rsidRPr="00E62F51">
        <w:rPr>
          <w:i/>
        </w:rPr>
        <w:t xml:space="preserve">Cumulative </w:t>
      </w:r>
      <w:r w:rsidR="004F6FEB">
        <w:rPr>
          <w:i/>
        </w:rPr>
        <w:t>effects</w:t>
      </w:r>
      <w:r w:rsidRPr="00E62F51">
        <w:t xml:space="preserve">. </w:t>
      </w:r>
    </w:p>
    <w:p w14:paraId="5010641E" w14:textId="77777777" w:rsidR="009D2459" w:rsidRPr="001069F5" w:rsidRDefault="009D2459" w:rsidP="001069F5">
      <w:pPr>
        <w:pStyle w:val="Heading2"/>
      </w:pPr>
      <w:bookmarkStart w:id="218" w:name="_Toc83307413"/>
      <w:bookmarkStart w:id="219" w:name="_Toc104909281"/>
      <w:bookmarkEnd w:id="207"/>
      <w:r w:rsidRPr="001069F5">
        <w:t>Conclusions</w:t>
      </w:r>
      <w:bookmarkEnd w:id="218"/>
      <w:bookmarkEnd w:id="219"/>
    </w:p>
    <w:p w14:paraId="1FDDAD1E" w14:textId="76E0066F" w:rsidR="009D2459" w:rsidRPr="00E62F51" w:rsidRDefault="009D2459" w:rsidP="009D2459">
      <w:pPr>
        <w:pStyle w:val="BodyText"/>
      </w:pPr>
      <w:r w:rsidRPr="00E62F51">
        <w:t>Over the last decade there has been a significant effort to assess Brolga and their habitat for the project. A</w:t>
      </w:r>
      <w:r w:rsidR="009949A0">
        <w:t> </w:t>
      </w:r>
      <w:r w:rsidRPr="00E62F51">
        <w:t xml:space="preserve">total of </w:t>
      </w:r>
      <w:r w:rsidR="003B2B47">
        <w:t>28</w:t>
      </w:r>
      <w:r w:rsidR="00F46EED" w:rsidRPr="00E62F51">
        <w:t xml:space="preserve"> </w:t>
      </w:r>
      <w:r w:rsidRPr="00E62F51">
        <w:t xml:space="preserve">Brolga breeding sites have been identified within </w:t>
      </w:r>
      <w:r w:rsidR="00401FA4">
        <w:t>the area of investigation,</w:t>
      </w:r>
      <w:r w:rsidR="003B2B47">
        <w:t xml:space="preserve"> </w:t>
      </w:r>
      <w:r w:rsidR="003B2B47" w:rsidRPr="0076695D">
        <w:t>and of these</w:t>
      </w:r>
      <w:r w:rsidR="00401FA4">
        <w:t>,</w:t>
      </w:r>
      <w:r w:rsidR="003B2B47" w:rsidRPr="0076695D">
        <w:t xml:space="preserve"> 23</w:t>
      </w:r>
      <w:r w:rsidR="009949A0">
        <w:t> </w:t>
      </w:r>
      <w:r w:rsidR="00401FA4">
        <w:t>were</w:t>
      </w:r>
      <w:r w:rsidR="003B2B47" w:rsidRPr="0076695D">
        <w:t xml:space="preserve"> attributed to a functional wetland</w:t>
      </w:r>
      <w:r w:rsidR="003B2B47">
        <w:t>. S</w:t>
      </w:r>
      <w:r w:rsidR="000E13CE">
        <w:t>ix</w:t>
      </w:r>
      <w:r w:rsidR="000E13CE" w:rsidRPr="00E62F51">
        <w:t xml:space="preserve"> </w:t>
      </w:r>
      <w:r w:rsidRPr="00E62F51">
        <w:t xml:space="preserve">of </w:t>
      </w:r>
      <w:r w:rsidR="003B2B47">
        <w:t xml:space="preserve">these sites </w:t>
      </w:r>
      <w:r w:rsidRPr="00E62F51">
        <w:t xml:space="preserve">are within </w:t>
      </w:r>
      <w:r w:rsidR="000E13CE">
        <w:t>3</w:t>
      </w:r>
      <w:r w:rsidRPr="00E62F51">
        <w:t xml:space="preserve"> kilometres of a potential wind turbine location. Field surveys conducted for the project between 2010 and 2021, recorded five pairs of Brolga breeding within the 10 kilometres of the project site. One pair were repeatedly observed nesting within the Cockatoo Swamp complex area. </w:t>
      </w:r>
    </w:p>
    <w:p w14:paraId="16470B27" w14:textId="4F78497D" w:rsidR="009D2459" w:rsidRPr="00E62F51" w:rsidRDefault="009D2459" w:rsidP="009D2459">
      <w:pPr>
        <w:pStyle w:val="BodyText"/>
      </w:pPr>
      <w:r w:rsidRPr="00E62F51">
        <w:t xml:space="preserve">To minimise the impact of the project on the Victorian Brolga population, turbine free buffers were developed. These buffers incorporate wetlands used for the </w:t>
      </w:r>
      <w:r w:rsidR="00E72644">
        <w:t xml:space="preserve">foraging, </w:t>
      </w:r>
      <w:r w:rsidRPr="00E62F51">
        <w:t xml:space="preserve">breeding (nest, egg incubation) and night roosting, non-wetland areas around breeding wetlands used for foraging, and movement corridors between </w:t>
      </w:r>
      <w:r w:rsidR="00E72644">
        <w:t xml:space="preserve">foraging and </w:t>
      </w:r>
      <w:r w:rsidRPr="00E62F51">
        <w:t>breeding wetlands to other</w:t>
      </w:r>
      <w:r w:rsidR="00E72644">
        <w:t xml:space="preserve"> functional</w:t>
      </w:r>
      <w:r w:rsidRPr="00E62F51">
        <w:t xml:space="preserve"> wetlands. A single turbine free buffer was created around Cockatoo Swamp that is </w:t>
      </w:r>
      <w:r w:rsidR="00B84AB8" w:rsidRPr="00B84AB8">
        <w:t>2</w:t>
      </w:r>
      <w:r w:rsidR="00B84AB8">
        <w:t>,</w:t>
      </w:r>
      <w:r w:rsidR="00B84AB8" w:rsidRPr="00B84AB8">
        <w:t>65</w:t>
      </w:r>
      <w:r w:rsidR="00B84AB8">
        <w:t>8</w:t>
      </w:r>
      <w:r w:rsidRPr="00E62F51">
        <w:t xml:space="preserve"> hectares in size. This incorporates five wetlands with a </w:t>
      </w:r>
      <w:r w:rsidR="00833784">
        <w:br/>
      </w:r>
      <w:r w:rsidRPr="00E62F51">
        <w:t xml:space="preserve">795-metre buffer from the outer perimeter of both known Brolga breeding wetlands and </w:t>
      </w:r>
      <w:r w:rsidR="00E72644">
        <w:t xml:space="preserve">other functional </w:t>
      </w:r>
      <w:r w:rsidRPr="00E62F51">
        <w:t xml:space="preserve">wetlands. </w:t>
      </w:r>
      <w:r w:rsidR="000E13CE">
        <w:t>This buffered area is</w:t>
      </w:r>
      <w:r w:rsidRPr="00E62F51">
        <w:t xml:space="preserve"> similar </w:t>
      </w:r>
      <w:r w:rsidR="00E72644">
        <w:t xml:space="preserve">to </w:t>
      </w:r>
      <w:r w:rsidRPr="00E62F51">
        <w:t>or larger than buffers developed for other operating wind farms in the Brolga</w:t>
      </w:r>
      <w:r w:rsidR="00E72644">
        <w:t>’s</w:t>
      </w:r>
      <w:r w:rsidRPr="00E62F51">
        <w:t xml:space="preserve"> range in Victoria. </w:t>
      </w:r>
    </w:p>
    <w:p w14:paraId="3E8393EF" w14:textId="78026189" w:rsidR="009D2459" w:rsidRDefault="009D2459" w:rsidP="00833784">
      <w:pPr>
        <w:pStyle w:val="BodyText"/>
        <w:keepLines/>
      </w:pPr>
      <w:r w:rsidRPr="00E62F51">
        <w:t>In accordance with the Interim Brolga Guideline, a risk-based approach was applied to the project, whereby turbine collision risk was modelled. The model predicts that under the most conservative turbine avoidance scenario where Brolga avoid wind turbines 90% of the time, there would be 0.06 collisions per year on average, o</w:t>
      </w:r>
      <w:r w:rsidRPr="00C96726">
        <w:t>r 1.</w:t>
      </w:r>
      <w:r w:rsidR="00C96726" w:rsidRPr="00C96726">
        <w:t>7</w:t>
      </w:r>
      <w:r w:rsidRPr="00C96726">
        <w:t xml:space="preserve"> co</w:t>
      </w:r>
      <w:r w:rsidRPr="00E62F51">
        <w:t xml:space="preserve">llisions over the 25-year life of the project. Statistically, there is a 95% chance </w:t>
      </w:r>
      <w:r w:rsidR="00E72644">
        <w:t>of</w:t>
      </w:r>
      <w:r w:rsidRPr="00E62F51">
        <w:t xml:space="preserve"> between zero and </w:t>
      </w:r>
      <w:r w:rsidR="00F84085">
        <w:t>five</w:t>
      </w:r>
      <w:r w:rsidRPr="00E62F51">
        <w:t xml:space="preserve"> collisions over 25 years. A Population Viability Assessment was also completed to assess the impact to the Victorian Brolga population. The assessment predicted the population size would be </w:t>
      </w:r>
      <w:r w:rsidRPr="00C96726">
        <w:t>reduced by between 0.</w:t>
      </w:r>
      <w:r w:rsidR="00C96726" w:rsidRPr="00C96726">
        <w:t>3</w:t>
      </w:r>
      <w:r w:rsidRPr="00C96726">
        <w:t xml:space="preserve"> and 0.8 birds over the project life compared with baseline conditions, or 0.1%</w:t>
      </w:r>
      <w:r w:rsidRPr="00E62F51">
        <w:t xml:space="preserve"> of the south</w:t>
      </w:r>
      <w:r w:rsidR="009949A0">
        <w:noBreakHyphen/>
      </w:r>
      <w:r w:rsidRPr="00E62F51">
        <w:t xml:space="preserve">east Australian Brolga population. </w:t>
      </w:r>
    </w:p>
    <w:p w14:paraId="3EF326AC" w14:textId="7C54EDAD" w:rsidR="00A04537" w:rsidRPr="00A04537" w:rsidRDefault="00A04537" w:rsidP="00E04EDB">
      <w:r>
        <w:t>T</w:t>
      </w:r>
      <w:r w:rsidRPr="00264416">
        <w:t>hrough the</w:t>
      </w:r>
      <w:r>
        <w:t xml:space="preserve"> </w:t>
      </w:r>
      <w:r w:rsidRPr="00264416">
        <w:t xml:space="preserve">restoration of breeding habitat </w:t>
      </w:r>
      <w:r>
        <w:t xml:space="preserve">as part of a Brolga Compensation Plan </w:t>
      </w:r>
      <w:r w:rsidRPr="00264416">
        <w:t>additional</w:t>
      </w:r>
      <w:r>
        <w:t xml:space="preserve"> </w:t>
      </w:r>
      <w:r w:rsidRPr="00264416">
        <w:t xml:space="preserve">breeding </w:t>
      </w:r>
      <w:r>
        <w:t>success is expected to</w:t>
      </w:r>
      <w:r w:rsidRPr="00264416">
        <w:t xml:space="preserve"> increase </w:t>
      </w:r>
      <w:r>
        <w:t>the number</w:t>
      </w:r>
      <w:r w:rsidRPr="00264416">
        <w:t xml:space="preserve"> of</w:t>
      </w:r>
      <w:r>
        <w:t xml:space="preserve"> </w:t>
      </w:r>
      <w:r w:rsidRPr="00264416">
        <w:t>young that survive to become breeding adults</w:t>
      </w:r>
      <w:r>
        <w:t xml:space="preserve">. </w:t>
      </w:r>
    </w:p>
    <w:p w14:paraId="54EA572F" w14:textId="77777777" w:rsidR="009D2459" w:rsidRPr="009D2459" w:rsidRDefault="009D2459" w:rsidP="009D2459">
      <w:bookmarkStart w:id="220" w:name="EndPasteHere"/>
      <w:bookmarkEnd w:id="2"/>
      <w:bookmarkEnd w:id="220"/>
    </w:p>
    <w:sectPr w:rsidR="009D2459" w:rsidRPr="009D2459" w:rsidSect="009D2459">
      <w:pgSz w:w="11907" w:h="16839" w:code="9"/>
      <w:pgMar w:top="1276" w:right="1418" w:bottom="1134" w:left="1418" w:header="709" w:footer="284" w:gutter="0"/>
      <w:pgNumType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CD412E" w14:textId="77777777" w:rsidR="00B2458F" w:rsidRDefault="00B2458F" w:rsidP="00DC10B3">
      <w:pPr>
        <w:spacing w:after="0"/>
      </w:pPr>
      <w:r>
        <w:separator/>
      </w:r>
    </w:p>
    <w:p w14:paraId="594A5508" w14:textId="77777777" w:rsidR="00B2458F" w:rsidRDefault="00B2458F"/>
  </w:endnote>
  <w:endnote w:type="continuationSeparator" w:id="0">
    <w:p w14:paraId="6C128B17" w14:textId="77777777" w:rsidR="00B2458F" w:rsidRDefault="00B2458F" w:rsidP="00DC10B3">
      <w:pPr>
        <w:spacing w:after="0"/>
      </w:pPr>
      <w:r>
        <w:continuationSeparator/>
      </w:r>
    </w:p>
    <w:p w14:paraId="1E6EEBB7" w14:textId="77777777" w:rsidR="00B2458F" w:rsidRDefault="00B2458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old">
    <w:panose1 w:val="020B07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Montserrat">
    <w:altName w:val="Courier New"/>
    <w:panose1 w:val="00000500000000000000"/>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2"/>
      <w:gridCol w:w="8640"/>
    </w:tblGrid>
    <w:tr w:rsidR="0032621A" w14:paraId="28F909BC" w14:textId="77777777" w:rsidTr="00CD6056">
      <w:tc>
        <w:tcPr>
          <w:tcW w:w="425" w:type="dxa"/>
          <w:tcMar>
            <w:left w:w="0" w:type="dxa"/>
            <w:right w:w="0" w:type="dxa"/>
          </w:tcMar>
        </w:tcPr>
        <w:p w14:paraId="103188B6" w14:textId="77777777" w:rsidR="0032621A" w:rsidRPr="00632BD3" w:rsidRDefault="0032621A" w:rsidP="0032621A">
          <w:pPr>
            <w:pStyle w:val="Footer"/>
            <w:rPr>
              <w:b/>
            </w:rPr>
          </w:pPr>
          <w:r w:rsidRPr="00632BD3">
            <w:rPr>
              <w:b/>
              <w:color w:val="auto"/>
            </w:rPr>
            <w:fldChar w:fldCharType="begin"/>
          </w:r>
          <w:r w:rsidRPr="00632BD3">
            <w:rPr>
              <w:b/>
              <w:color w:val="auto"/>
            </w:rPr>
            <w:instrText xml:space="preserve"> PAGE   \* MERGEFORMAT </w:instrText>
          </w:r>
          <w:r w:rsidRPr="00632BD3">
            <w:rPr>
              <w:b/>
              <w:color w:val="auto"/>
            </w:rPr>
            <w:fldChar w:fldCharType="separate"/>
          </w:r>
          <w:r w:rsidRPr="00632BD3">
            <w:rPr>
              <w:b/>
              <w:color w:val="auto"/>
            </w:rPr>
            <w:t>1-1</w:t>
          </w:r>
          <w:r w:rsidRPr="00632BD3">
            <w:rPr>
              <w:b/>
              <w:noProof/>
              <w:color w:val="auto"/>
            </w:rPr>
            <w:fldChar w:fldCharType="end"/>
          </w:r>
        </w:p>
      </w:tc>
      <w:tc>
        <w:tcPr>
          <w:tcW w:w="8506" w:type="dxa"/>
        </w:tcPr>
        <w:p w14:paraId="575668A3" w14:textId="4CAA9D75" w:rsidR="0032621A" w:rsidRPr="009949A0" w:rsidRDefault="004D6301" w:rsidP="0032621A">
          <w:pPr>
            <w:pStyle w:val="Footer"/>
          </w:pPr>
          <w:fldSimple w:instr=" TITLE   \* MERGEFORMAT ">
            <w:r w:rsidR="00C053A5" w:rsidRPr="00C053A5">
              <w:rPr>
                <w:b/>
                <w:bCs/>
              </w:rPr>
              <w:t>Willatook Wind Farm</w:t>
            </w:r>
            <w:r w:rsidR="00C053A5">
              <w:t xml:space="preserve"> | Environment Effects Statement</w:t>
            </w:r>
          </w:fldSimple>
          <w:fldSimple w:instr=" STYLEREF  &quot;Heading 1&quot;  \* MERGEFORMAT ">
            <w:r w:rsidR="00EB48E9" w:rsidRPr="00EB48E9">
              <w:rPr>
                <w:noProof/>
                <w:lang w:val="en-US"/>
              </w:rPr>
              <w:br/>
              <w:t>Brolga</w:t>
            </w:r>
          </w:fldSimple>
          <w:r w:rsidR="0032621A" w:rsidRPr="009949A0">
            <w:t xml:space="preserve"> </w:t>
          </w:r>
        </w:p>
      </w:tc>
    </w:tr>
  </w:tbl>
  <w:p w14:paraId="74F746F0" w14:textId="77777777" w:rsidR="00895F12" w:rsidRPr="0032621A" w:rsidRDefault="00895F12" w:rsidP="0032621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9072"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9"/>
      <w:gridCol w:w="423"/>
    </w:tblGrid>
    <w:tr w:rsidR="0032621A" w14:paraId="44B17264" w14:textId="77777777" w:rsidTr="00CD6056">
      <w:trPr>
        <w:jc w:val="right"/>
      </w:trPr>
      <w:tc>
        <w:tcPr>
          <w:tcW w:w="8647" w:type="dxa"/>
        </w:tcPr>
        <w:bookmarkStart w:id="74" w:name="_Hlk88553383"/>
        <w:bookmarkStart w:id="75" w:name="_Hlk88553384"/>
        <w:bookmarkStart w:id="76" w:name="_Hlk88553395"/>
        <w:bookmarkStart w:id="77" w:name="_Hlk88553396"/>
        <w:p w14:paraId="5D2D38A0" w14:textId="5A4B3922" w:rsidR="0032621A" w:rsidRPr="009949A0" w:rsidRDefault="008A76B5" w:rsidP="00335632">
          <w:pPr>
            <w:pStyle w:val="Footer"/>
            <w:jc w:val="right"/>
          </w:pPr>
          <w:r w:rsidRPr="009949A0">
            <w:fldChar w:fldCharType="begin"/>
          </w:r>
          <w:r w:rsidRPr="009949A0">
            <w:instrText xml:space="preserve"> TITLE   \* MERGEFORMAT </w:instrText>
          </w:r>
          <w:r w:rsidRPr="009949A0">
            <w:fldChar w:fldCharType="separate"/>
          </w:r>
          <w:r w:rsidR="00C053A5" w:rsidRPr="00C053A5">
            <w:rPr>
              <w:b/>
              <w:bCs/>
            </w:rPr>
            <w:t>Willatook Wind Farm</w:t>
          </w:r>
          <w:r w:rsidR="00C053A5">
            <w:t xml:space="preserve"> | Environment Effects Statement</w:t>
          </w:r>
          <w:r w:rsidRPr="009949A0">
            <w:fldChar w:fldCharType="end"/>
          </w:r>
          <w:fldSimple w:instr=" STYLEREF  &quot;Heading 1&quot;  \* MERGEFORMAT ">
            <w:r w:rsidR="00EB48E9" w:rsidRPr="00EB48E9">
              <w:rPr>
                <w:noProof/>
                <w:lang w:val="en-US"/>
              </w:rPr>
              <w:br/>
              <w:t>Brolga</w:t>
            </w:r>
          </w:fldSimple>
          <w:r w:rsidR="0032621A" w:rsidRPr="009949A0">
            <w:t xml:space="preserve"> </w:t>
          </w:r>
        </w:p>
      </w:tc>
      <w:tc>
        <w:tcPr>
          <w:tcW w:w="423" w:type="dxa"/>
          <w:tcMar>
            <w:left w:w="0" w:type="dxa"/>
            <w:right w:w="0" w:type="dxa"/>
          </w:tcMar>
        </w:tcPr>
        <w:p w14:paraId="2AE23FAC" w14:textId="77777777" w:rsidR="0032621A" w:rsidRPr="00632BD3" w:rsidRDefault="0032621A" w:rsidP="00335632">
          <w:pPr>
            <w:pStyle w:val="Footer"/>
            <w:jc w:val="right"/>
            <w:rPr>
              <w:b/>
              <w:color w:val="5BC3EB"/>
            </w:rPr>
          </w:pPr>
          <w:r w:rsidRPr="00632BD3">
            <w:rPr>
              <w:b/>
              <w:color w:val="auto"/>
            </w:rPr>
            <w:fldChar w:fldCharType="begin"/>
          </w:r>
          <w:r w:rsidRPr="00632BD3">
            <w:rPr>
              <w:b/>
              <w:color w:val="auto"/>
            </w:rPr>
            <w:instrText xml:space="preserve"> PAGE   \* MERGEFORMAT </w:instrText>
          </w:r>
          <w:r w:rsidRPr="00632BD3">
            <w:rPr>
              <w:b/>
              <w:color w:val="auto"/>
            </w:rPr>
            <w:fldChar w:fldCharType="separate"/>
          </w:r>
          <w:r w:rsidRPr="00632BD3">
            <w:rPr>
              <w:b/>
              <w:color w:val="auto"/>
            </w:rPr>
            <w:t>1-1</w:t>
          </w:r>
          <w:r w:rsidRPr="00632BD3">
            <w:rPr>
              <w:b/>
              <w:noProof/>
              <w:color w:val="auto"/>
            </w:rPr>
            <w:fldChar w:fldCharType="end"/>
          </w:r>
        </w:p>
      </w:tc>
    </w:tr>
    <w:bookmarkEnd w:id="74"/>
    <w:bookmarkEnd w:id="75"/>
    <w:bookmarkEnd w:id="76"/>
    <w:bookmarkEnd w:id="77"/>
  </w:tbl>
  <w:p w14:paraId="667E360D" w14:textId="77777777" w:rsidR="00A8282B" w:rsidRDefault="00A8282B" w:rsidP="0032621A">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466BFD" w14:textId="2E9E1640" w:rsidR="00E13EA9" w:rsidRDefault="004D6301" w:rsidP="008C12B0">
    <w:pPr>
      <w:pStyle w:val="Footer"/>
      <w:jc w:val="right"/>
    </w:pPr>
    <w:fldSimple w:instr=" TITLE   \* MERGEFORMAT ">
      <w:r w:rsidR="00C053A5">
        <w:t>Willatook Wind Farm | Environment Effects Statement</w:t>
      </w:r>
    </w:fldSimple>
    <w:r w:rsidR="00E13EA9">
      <w:t xml:space="preserve"> 2018 </w:t>
    </w:r>
    <w:r w:rsidR="00E13EA9" w:rsidRPr="008D2F0D">
      <w:rPr>
        <w:b/>
      </w:rPr>
      <w:t xml:space="preserve">| </w:t>
    </w:r>
    <w:r w:rsidR="00E13EA9" w:rsidRPr="008D2F0D">
      <w:rPr>
        <w:b/>
      </w:rPr>
      <w:fldChar w:fldCharType="begin"/>
    </w:r>
    <w:r w:rsidR="00E13EA9" w:rsidRPr="008D2F0D">
      <w:rPr>
        <w:b/>
      </w:rPr>
      <w:instrText xml:space="preserve"> PAGE   \* MERGEFORMAT </w:instrText>
    </w:r>
    <w:r w:rsidR="00E13EA9" w:rsidRPr="008D2F0D">
      <w:rPr>
        <w:b/>
      </w:rPr>
      <w:fldChar w:fldCharType="separate"/>
    </w:r>
    <w:r w:rsidR="00E13EA9">
      <w:rPr>
        <w:b/>
        <w:noProof/>
      </w:rPr>
      <w:t>2</w:t>
    </w:r>
    <w:r w:rsidR="00E13EA9" w:rsidRPr="008D2F0D">
      <w:rPr>
        <w:b/>
        <w:noProof/>
      </w:rPr>
      <w:fldChar w:fldCharType="end"/>
    </w:r>
  </w:p>
  <w:p w14:paraId="51A9A871" w14:textId="77777777" w:rsidR="00E13EA9" w:rsidRDefault="00E13EA9" w:rsidP="008C12B0"/>
  <w:p w14:paraId="74AFE797" w14:textId="77777777" w:rsidR="00E13EA9" w:rsidRPr="008C12B0" w:rsidRDefault="00E13EA9" w:rsidP="008C12B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96ADE5" w14:textId="77777777" w:rsidR="00B2458F" w:rsidRDefault="00B2458F" w:rsidP="00DC10B3">
      <w:pPr>
        <w:spacing w:after="0"/>
      </w:pPr>
      <w:r>
        <w:separator/>
      </w:r>
    </w:p>
    <w:p w14:paraId="059A1771" w14:textId="77777777" w:rsidR="00B2458F" w:rsidRDefault="00B2458F"/>
  </w:footnote>
  <w:footnote w:type="continuationSeparator" w:id="0">
    <w:p w14:paraId="2BF0C0D7" w14:textId="77777777" w:rsidR="00B2458F" w:rsidRDefault="00B2458F" w:rsidP="00DC10B3">
      <w:pPr>
        <w:spacing w:after="0"/>
      </w:pPr>
      <w:r>
        <w:continuationSeparator/>
      </w:r>
    </w:p>
    <w:p w14:paraId="4E22B446" w14:textId="77777777" w:rsidR="00B2458F" w:rsidRDefault="00B2458F"/>
  </w:footnote>
  <w:footnote w:id="1">
    <w:p w14:paraId="26CC4204" w14:textId="0083F405" w:rsidR="009B4F20" w:rsidRDefault="009B4F20">
      <w:pPr>
        <w:pStyle w:val="FootnoteText"/>
      </w:pPr>
      <w:r>
        <w:rPr>
          <w:rStyle w:val="FootnoteReference"/>
        </w:rPr>
        <w:footnoteRef/>
      </w:r>
      <w:r>
        <w:t xml:space="preserve"> </w:t>
      </w:r>
      <w:r w:rsidR="009949A0">
        <w:tab/>
      </w:r>
      <w:r w:rsidRPr="009B4F20">
        <w:rPr>
          <w:sz w:val="16"/>
          <w:szCs w:val="16"/>
        </w:rPr>
        <w:t>The 120-day inundation period criterion was established with advice from DELWP early in the assessment.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EF034" w14:textId="77777777" w:rsidR="00094EB8" w:rsidRDefault="00B02211">
    <w:pPr>
      <w:pStyle w:val="Header"/>
    </w:pPr>
    <w:r>
      <w:rPr>
        <w:noProof/>
      </w:rPr>
      <w:drawing>
        <wp:anchor distT="0" distB="0" distL="114300" distR="114300" simplePos="0" relativeHeight="251676672" behindDoc="0" locked="0" layoutInCell="1" allowOverlap="1" wp14:anchorId="310164FA" wp14:editId="02135260">
          <wp:simplePos x="0" y="0"/>
          <wp:positionH relativeFrom="column">
            <wp:posOffset>-885825</wp:posOffset>
          </wp:positionH>
          <wp:positionV relativeFrom="paragraph">
            <wp:posOffset>-438785</wp:posOffset>
          </wp:positionV>
          <wp:extent cx="3600000" cy="565395"/>
          <wp:effectExtent l="0" t="0" r="0" b="0"/>
          <wp:wrapSquare wrapText="bothSides"/>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2607" b="94738"/>
                  <a:stretch/>
                </pic:blipFill>
                <pic:spPr bwMode="auto">
                  <a:xfrm flipH="1">
                    <a:off x="0" y="0"/>
                    <a:ext cx="3600000" cy="565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91FBAE" w14:textId="77777777" w:rsidR="00E13EA9" w:rsidRDefault="00B02211">
    <w:pPr>
      <w:pStyle w:val="Header"/>
    </w:pPr>
    <w:bookmarkStart w:id="52" w:name="_Hlk88553330"/>
    <w:bookmarkStart w:id="53" w:name="_Hlk88553331"/>
    <w:bookmarkStart w:id="54" w:name="_Hlk88553353"/>
    <w:bookmarkStart w:id="55" w:name="_Hlk88553354"/>
    <w:bookmarkStart w:id="56" w:name="_Hlk88553381"/>
    <w:bookmarkStart w:id="57" w:name="_Hlk88553382"/>
    <w:bookmarkStart w:id="58" w:name="_Hlk88553393"/>
    <w:bookmarkStart w:id="59" w:name="_Hlk88553394"/>
    <w:bookmarkStart w:id="60" w:name="_Hlk88553423"/>
    <w:bookmarkStart w:id="61" w:name="_Hlk88553424"/>
    <w:bookmarkStart w:id="62" w:name="_Hlk88553457"/>
    <w:bookmarkStart w:id="63" w:name="_Hlk88553458"/>
    <w:bookmarkStart w:id="64" w:name="_Hlk88553494"/>
    <w:bookmarkStart w:id="65" w:name="_Hlk88553495"/>
    <w:bookmarkStart w:id="66" w:name="_Hlk88553528"/>
    <w:bookmarkStart w:id="67" w:name="_Hlk88553529"/>
    <w:bookmarkStart w:id="68" w:name="_Hlk88553560"/>
    <w:bookmarkStart w:id="69" w:name="_Hlk88553561"/>
    <w:bookmarkStart w:id="70" w:name="_Hlk88553590"/>
    <w:bookmarkStart w:id="71" w:name="_Hlk88553591"/>
    <w:bookmarkStart w:id="72" w:name="_Hlk88553653"/>
    <w:bookmarkStart w:id="73" w:name="_Hlk88553654"/>
    <w:r>
      <w:rPr>
        <w:noProof/>
      </w:rPr>
      <w:drawing>
        <wp:anchor distT="0" distB="0" distL="114300" distR="114300" simplePos="0" relativeHeight="251674624" behindDoc="0" locked="0" layoutInCell="1" allowOverlap="1" wp14:anchorId="10F97BEA" wp14:editId="7B6484BD">
          <wp:simplePos x="0" y="0"/>
          <wp:positionH relativeFrom="column">
            <wp:posOffset>3061335</wp:posOffset>
          </wp:positionH>
          <wp:positionV relativeFrom="paragraph">
            <wp:posOffset>-440690</wp:posOffset>
          </wp:positionV>
          <wp:extent cx="3600000" cy="565395"/>
          <wp:effectExtent l="0" t="0" r="635" b="0"/>
          <wp:wrapSquare wrapText="bothSides"/>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2607" b="94738"/>
                  <a:stretch/>
                </pic:blipFill>
                <pic:spPr bwMode="auto">
                  <a:xfrm>
                    <a:off x="0" y="0"/>
                    <a:ext cx="3600000" cy="565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47D666" w14:textId="77777777" w:rsidR="00E13EA9" w:rsidRDefault="00E13EA9">
    <w:pPr>
      <w:pStyle w:val="Header"/>
    </w:pPr>
    <w:bookmarkStart w:id="78" w:name="_Hlk519249691"/>
    <w:bookmarkStart w:id="79" w:name="_Hlk519249692"/>
    <w:bookmarkStart w:id="80" w:name="_Hlk519249693"/>
    <w:bookmarkStart w:id="81" w:name="_Hlk88553332"/>
    <w:bookmarkStart w:id="82" w:name="_Hlk88553333"/>
    <w:bookmarkStart w:id="83" w:name="_Hlk88553355"/>
    <w:bookmarkStart w:id="84" w:name="_Hlk88553356"/>
    <w:bookmarkStart w:id="85" w:name="_Hlk88553385"/>
    <w:bookmarkStart w:id="86" w:name="_Hlk88553386"/>
    <w:bookmarkStart w:id="87" w:name="_Hlk88553397"/>
    <w:bookmarkStart w:id="88" w:name="_Hlk88553398"/>
    <w:bookmarkStart w:id="89" w:name="_Hlk88553425"/>
    <w:bookmarkStart w:id="90" w:name="_Hlk88553426"/>
    <w:bookmarkStart w:id="91" w:name="_Hlk88553459"/>
    <w:bookmarkStart w:id="92" w:name="_Hlk88553460"/>
    <w:bookmarkStart w:id="93" w:name="_Hlk88553496"/>
    <w:bookmarkStart w:id="94" w:name="_Hlk88553497"/>
    <w:bookmarkStart w:id="95" w:name="_Hlk88553530"/>
    <w:bookmarkStart w:id="96" w:name="_Hlk88553531"/>
    <w:bookmarkStart w:id="97" w:name="_Hlk88553562"/>
    <w:bookmarkStart w:id="98" w:name="_Hlk88553563"/>
    <w:bookmarkStart w:id="99" w:name="_Hlk88553592"/>
    <w:bookmarkStart w:id="100" w:name="_Hlk88553593"/>
    <w:bookmarkStart w:id="101" w:name="_Hlk88553656"/>
    <w:bookmarkStart w:id="102" w:name="_Hlk8855365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EAC857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747E6FCE"/>
    <w:lvl w:ilvl="0">
      <w:start w:val="1"/>
      <w:numFmt w:val="decimal"/>
      <w:pStyle w:val="ListNumber4"/>
      <w:lvlText w:val="%1."/>
      <w:lvlJc w:val="left"/>
      <w:pPr>
        <w:tabs>
          <w:tab w:val="num" w:pos="1209"/>
        </w:tabs>
        <w:ind w:left="1209" w:hanging="360"/>
      </w:pPr>
    </w:lvl>
  </w:abstractNum>
  <w:abstractNum w:abstractNumId="2" w15:restartNumberingAfterBreak="0">
    <w:nsid w:val="FFFFFF89"/>
    <w:multiLevelType w:val="singleLevel"/>
    <w:tmpl w:val="58EA6D9A"/>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36F68CE"/>
    <w:multiLevelType w:val="multilevel"/>
    <w:tmpl w:val="9F2A8B76"/>
    <w:styleLink w:val="MyListNumbering"/>
    <w:lvl w:ilvl="0">
      <w:start w:val="1"/>
      <w:numFmt w:val="lowerLetter"/>
      <w:lvlText w:val="(%1)"/>
      <w:lvlJc w:val="left"/>
      <w:pPr>
        <w:tabs>
          <w:tab w:val="num" w:pos="567"/>
        </w:tabs>
        <w:ind w:left="360" w:hanging="360"/>
      </w:pPr>
      <w:rPr>
        <w:rFonts w:hint="default"/>
      </w:rPr>
    </w:lvl>
    <w:lvl w:ilvl="1">
      <w:start w:val="1"/>
      <w:numFmt w:val="lowerRoman"/>
      <w:lvlText w:val="%2."/>
      <w:lvlJc w:val="left"/>
      <w:pPr>
        <w:ind w:left="1440" w:hanging="360"/>
      </w:pPr>
      <w:rPr>
        <w:rFonts w:hint="default"/>
      </w:rPr>
    </w:lvl>
    <w:lvl w:ilvl="2">
      <w:start w:val="1"/>
      <w:numFmt w:val="decimal"/>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03B57116"/>
    <w:multiLevelType w:val="multilevel"/>
    <w:tmpl w:val="5B0EA9CA"/>
    <w:lvl w:ilvl="0">
      <w:start w:val="1"/>
      <w:numFmt w:val="none"/>
      <w:suff w:val="nothing"/>
      <w:lvlText w:val=""/>
      <w:lvlJc w:val="left"/>
      <w:pPr>
        <w:ind w:left="113" w:firstLine="0"/>
      </w:pPr>
      <w:rPr>
        <w:rFonts w:hint="default"/>
      </w:rPr>
    </w:lvl>
    <w:lvl w:ilvl="1">
      <w:start w:val="1"/>
      <w:numFmt w:val="decimal"/>
      <w:pStyle w:val="Footnotes"/>
      <w:lvlText w:val="%2."/>
      <w:lvlJc w:val="left"/>
      <w:pPr>
        <w:tabs>
          <w:tab w:val="num" w:pos="357"/>
        </w:tabs>
        <w:ind w:left="357" w:hanging="357"/>
      </w:pPr>
      <w:rPr>
        <w:rFonts w:hint="default"/>
        <w:b w:val="0"/>
        <w:bCs/>
        <w:i w:val="0"/>
        <w:color w:val="1C2B39" w:themeColor="text2"/>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5" w15:restartNumberingAfterBreak="0">
    <w:nsid w:val="064F3927"/>
    <w:multiLevelType w:val="multilevel"/>
    <w:tmpl w:val="5262EEF0"/>
    <w:numStyleLink w:val="LXRANumberedList"/>
  </w:abstractNum>
  <w:abstractNum w:abstractNumId="6" w15:restartNumberingAfterBreak="0">
    <w:nsid w:val="0FB2573F"/>
    <w:multiLevelType w:val="multilevel"/>
    <w:tmpl w:val="DE1A4C60"/>
    <w:lvl w:ilvl="0">
      <w:start w:val="1"/>
      <w:numFmt w:val="none"/>
      <w:suff w:val="nothing"/>
      <w:lvlText w:val=""/>
      <w:lvlJc w:val="left"/>
      <w:pPr>
        <w:ind w:left="113" w:firstLine="0"/>
      </w:pPr>
      <w:rPr>
        <w:rFonts w:hint="default"/>
        <w:spacing w:val="-10"/>
      </w:rPr>
    </w:lvl>
    <w:lvl w:ilvl="1">
      <w:start w:val="1"/>
      <w:numFmt w:val="decimal"/>
      <w:pStyle w:val="TableFootnotes"/>
      <w:lvlText w:val="(%2)"/>
      <w:lvlJc w:val="left"/>
      <w:pPr>
        <w:tabs>
          <w:tab w:val="num" w:pos="425"/>
        </w:tabs>
        <w:ind w:left="425" w:hanging="425"/>
      </w:pPr>
      <w:rPr>
        <w:rFonts w:hint="default"/>
        <w:spacing w:val="0"/>
        <w:w w:val="100"/>
        <w:kern w:val="0"/>
        <w:position w:val="0"/>
      </w:rPr>
    </w:lvl>
    <w:lvl w:ilvl="2">
      <w:start w:val="1"/>
      <w:numFmt w:val="none"/>
      <w:lvlRestart w:val="1"/>
      <w:lvlText w:val=""/>
      <w:lvlJc w:val="left"/>
      <w:pPr>
        <w:tabs>
          <w:tab w:val="num" w:pos="284"/>
        </w:tabs>
        <w:ind w:left="284" w:hanging="284"/>
      </w:pPr>
      <w:rPr>
        <w:rFonts w:hint="default"/>
        <w:color w:val="auto"/>
        <w:spacing w:val="-4"/>
      </w:rPr>
    </w:lvl>
    <w:lvl w:ilvl="3">
      <w:start w:val="1"/>
      <w:numFmt w:val="none"/>
      <w:lvlText w:val=""/>
      <w:lvlJc w:val="left"/>
      <w:pPr>
        <w:tabs>
          <w:tab w:val="num" w:pos="0"/>
        </w:tabs>
        <w:ind w:left="-709" w:firstLine="0"/>
      </w:pPr>
      <w:rPr>
        <w:rFonts w:hint="default"/>
        <w:spacing w:val="-10"/>
        <w:w w:val="100"/>
      </w:rPr>
    </w:lvl>
    <w:lvl w:ilvl="4">
      <w:start w:val="1"/>
      <w:numFmt w:val="none"/>
      <w:lvlText w:val=""/>
      <w:lvlJc w:val="left"/>
      <w:pPr>
        <w:tabs>
          <w:tab w:val="num" w:pos="2835"/>
        </w:tabs>
        <w:ind w:left="2835" w:hanging="567"/>
      </w:pPr>
      <w:rPr>
        <w:rFonts w:hint="default"/>
      </w:rPr>
    </w:lvl>
    <w:lvl w:ilvl="5">
      <w:start w:val="1"/>
      <w:numFmt w:val="none"/>
      <w:lvlText w:val=""/>
      <w:lvlJc w:val="left"/>
      <w:pPr>
        <w:tabs>
          <w:tab w:val="num" w:pos="2160"/>
        </w:tabs>
        <w:ind w:left="2016" w:hanging="936"/>
      </w:pPr>
      <w:rPr>
        <w:rFonts w:hint="default"/>
      </w:rPr>
    </w:lvl>
    <w:lvl w:ilvl="6">
      <w:start w:val="1"/>
      <w:numFmt w:val="lowerRoman"/>
      <w:lvlRestart w:val="1"/>
      <w:lvlText w:val="%7"/>
      <w:lvlJc w:val="left"/>
      <w:pPr>
        <w:tabs>
          <w:tab w:val="num" w:pos="369"/>
        </w:tabs>
        <w:ind w:left="369" w:hanging="369"/>
      </w:pPr>
      <w:rPr>
        <w:rFonts w:hint="default"/>
      </w:rPr>
    </w:lvl>
    <w:lvl w:ilvl="7">
      <w:start w:val="1"/>
      <w:numFmt w:val="lowerLetter"/>
      <w:lvlText w:val="%8."/>
      <w:lvlJc w:val="left"/>
      <w:pPr>
        <w:tabs>
          <w:tab w:val="num" w:pos="737"/>
        </w:tabs>
        <w:ind w:left="737" w:hanging="368"/>
      </w:pPr>
      <w:rPr>
        <w:rFonts w:hint="default"/>
        <w:position w:val="0"/>
      </w:rPr>
    </w:lvl>
    <w:lvl w:ilvl="8">
      <w:start w:val="1"/>
      <w:numFmt w:val="bullet"/>
      <w:lvlText w:val=""/>
      <w:lvlJc w:val="left"/>
      <w:pPr>
        <w:tabs>
          <w:tab w:val="num" w:pos="1106"/>
        </w:tabs>
        <w:ind w:left="1106" w:hanging="369"/>
      </w:pPr>
      <w:rPr>
        <w:rFonts w:ascii="Symbol" w:hAnsi="Symbol" w:hint="default"/>
        <w:position w:val="2"/>
        <w:sz w:val="20"/>
        <w:szCs w:val="20"/>
      </w:rPr>
    </w:lvl>
  </w:abstractNum>
  <w:abstractNum w:abstractNumId="7" w15:restartNumberingAfterBreak="0">
    <w:nsid w:val="1AC53308"/>
    <w:multiLevelType w:val="multilevel"/>
    <w:tmpl w:val="F7BEFC16"/>
    <w:lvl w:ilvl="0">
      <w:start w:val="11"/>
      <w:numFmt w:val="decimal"/>
      <w:pStyle w:val="Heading1"/>
      <w:suff w:val="nothing"/>
      <w:lvlText w:val="Chapter %1"/>
      <w:lvlJc w:val="left"/>
      <w:pPr>
        <w:ind w:left="1134" w:hanging="1134"/>
      </w:pPr>
      <w:rPr>
        <w:rFonts w:hint="default"/>
        <w:color w:val="auto"/>
        <w:sz w:val="48"/>
        <w:szCs w:val="48"/>
      </w:rPr>
    </w:lvl>
    <w:lvl w:ilvl="1">
      <w:start w:val="1"/>
      <w:numFmt w:val="decimal"/>
      <w:pStyle w:val="Heading2"/>
      <w:lvlText w:val="%1.%2"/>
      <w:lvlJc w:val="left"/>
      <w:pPr>
        <w:ind w:left="1134" w:hanging="1134"/>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1134" w:hanging="1134"/>
      </w:pPr>
      <w:rPr>
        <w:rFonts w:hint="default"/>
        <w:b w:val="0"/>
        <w:bCs w:val="0"/>
      </w:rPr>
    </w:lvl>
    <w:lvl w:ilvl="3">
      <w:start w:val="1"/>
      <w:numFmt w:val="decimal"/>
      <w:lvlText w:val="%1.%2.%3.%4"/>
      <w:lvlJc w:val="left"/>
      <w:pPr>
        <w:ind w:left="1134" w:hanging="1134"/>
      </w:pPr>
      <w:rPr>
        <w:rFonts w:hint="default"/>
      </w:rPr>
    </w:lvl>
    <w:lvl w:ilvl="4">
      <w:start w:val="1"/>
      <w:numFmt w:val="none"/>
      <w:lvlText w:val=""/>
      <w:lvlJc w:val="left"/>
      <w:pPr>
        <w:ind w:left="1134" w:hanging="1134"/>
      </w:pPr>
      <w:rPr>
        <w:rFonts w:hint="default"/>
      </w:rPr>
    </w:lvl>
    <w:lvl w:ilvl="5">
      <w:start w:val="1"/>
      <w:numFmt w:val="none"/>
      <w:lvlText w:val=""/>
      <w:lvlJc w:val="left"/>
      <w:pPr>
        <w:ind w:left="1134" w:hanging="1134"/>
      </w:pPr>
      <w:rPr>
        <w:rFonts w:hint="default"/>
      </w:rPr>
    </w:lvl>
    <w:lvl w:ilvl="6">
      <w:start w:val="1"/>
      <w:numFmt w:val="none"/>
      <w:lvlText w:val=""/>
      <w:lvlJc w:val="left"/>
      <w:pPr>
        <w:ind w:left="1134" w:hanging="1134"/>
      </w:pPr>
      <w:rPr>
        <w:rFonts w:hint="default"/>
      </w:rPr>
    </w:lvl>
    <w:lvl w:ilvl="7">
      <w:start w:val="1"/>
      <w:numFmt w:val="none"/>
      <w:lvlText w:val=""/>
      <w:lvlJc w:val="left"/>
      <w:pPr>
        <w:ind w:left="1134" w:hanging="1134"/>
      </w:pPr>
      <w:rPr>
        <w:rFonts w:hint="default"/>
      </w:rPr>
    </w:lvl>
    <w:lvl w:ilvl="8">
      <w:start w:val="1"/>
      <w:numFmt w:val="none"/>
      <w:lvlText w:val=""/>
      <w:lvlJc w:val="left"/>
      <w:pPr>
        <w:ind w:left="1134" w:hanging="1134"/>
      </w:pPr>
      <w:rPr>
        <w:rFonts w:hint="default"/>
      </w:rPr>
    </w:lvl>
  </w:abstractNum>
  <w:abstractNum w:abstractNumId="8" w15:restartNumberingAfterBreak="0">
    <w:nsid w:val="27C445F5"/>
    <w:multiLevelType w:val="multilevel"/>
    <w:tmpl w:val="0EDEA0D8"/>
    <w:styleLink w:val="HangingList"/>
    <w:lvl w:ilvl="0">
      <w:start w:val="1"/>
      <w:numFmt w:val="none"/>
      <w:suff w:val="nothing"/>
      <w:lvlText w:val=""/>
      <w:lvlJc w:val="left"/>
      <w:pPr>
        <w:ind w:left="992" w:hanging="992"/>
      </w:pPr>
      <w:rPr>
        <w:rFonts w:hint="default"/>
      </w:rPr>
    </w:lvl>
    <w:lvl w:ilvl="1">
      <w:start w:val="1"/>
      <w:numFmt w:val="none"/>
      <w:suff w:val="nothing"/>
      <w:lvlText w:val=""/>
      <w:lvlJc w:val="left"/>
      <w:pPr>
        <w:ind w:left="1701" w:hanging="709"/>
      </w:pPr>
      <w:rPr>
        <w:rFonts w:hint="default"/>
      </w:rPr>
    </w:lvl>
    <w:lvl w:ilvl="2">
      <w:start w:val="1"/>
      <w:numFmt w:val="none"/>
      <w:suff w:val="nothing"/>
      <w:lvlText w:val=""/>
      <w:lvlJc w:val="left"/>
      <w:pPr>
        <w:ind w:left="2410" w:hanging="709"/>
      </w:pPr>
      <w:rPr>
        <w:rFonts w:hint="default"/>
      </w:rPr>
    </w:lvl>
    <w:lvl w:ilvl="3">
      <w:start w:val="1"/>
      <w:numFmt w:val="none"/>
      <w:suff w:val="nothing"/>
      <w:lvlText w:val=""/>
      <w:lvlJc w:val="left"/>
      <w:pPr>
        <w:ind w:left="3119" w:hanging="709"/>
      </w:pPr>
      <w:rPr>
        <w:rFonts w:hint="default"/>
      </w:rPr>
    </w:lvl>
    <w:lvl w:ilvl="4">
      <w:start w:val="1"/>
      <w:numFmt w:val="none"/>
      <w:suff w:val="nothing"/>
      <w:lvlText w:val=""/>
      <w:lvlJc w:val="left"/>
      <w:pPr>
        <w:ind w:left="3828" w:hanging="709"/>
      </w:pPr>
      <w:rPr>
        <w:rFonts w:hint="default"/>
      </w:rPr>
    </w:lvl>
    <w:lvl w:ilvl="5">
      <w:start w:val="1"/>
      <w:numFmt w:val="none"/>
      <w:suff w:val="nothing"/>
      <w:lvlText w:val=""/>
      <w:lvlJc w:val="left"/>
      <w:pPr>
        <w:ind w:left="4537" w:hanging="710"/>
      </w:pPr>
      <w:rPr>
        <w:rFonts w:hint="default"/>
      </w:rPr>
    </w:lvl>
    <w:lvl w:ilvl="6">
      <w:start w:val="1"/>
      <w:numFmt w:val="none"/>
      <w:suff w:val="nothing"/>
      <w:lvlText w:val=""/>
      <w:lvlJc w:val="left"/>
      <w:pPr>
        <w:ind w:left="5246" w:hanging="710"/>
      </w:pPr>
      <w:rPr>
        <w:rFonts w:hint="default"/>
      </w:rPr>
    </w:lvl>
    <w:lvl w:ilvl="7">
      <w:start w:val="1"/>
      <w:numFmt w:val="none"/>
      <w:suff w:val="nothing"/>
      <w:lvlText w:val=""/>
      <w:lvlJc w:val="left"/>
      <w:pPr>
        <w:ind w:left="5955" w:hanging="992"/>
      </w:pPr>
      <w:rPr>
        <w:rFonts w:hint="default"/>
      </w:rPr>
    </w:lvl>
    <w:lvl w:ilvl="8">
      <w:start w:val="1"/>
      <w:numFmt w:val="none"/>
      <w:suff w:val="nothing"/>
      <w:lvlText w:val=""/>
      <w:lvlJc w:val="left"/>
      <w:pPr>
        <w:ind w:left="6664" w:hanging="992"/>
      </w:pPr>
      <w:rPr>
        <w:rFonts w:hint="default"/>
      </w:rPr>
    </w:lvl>
  </w:abstractNum>
  <w:abstractNum w:abstractNumId="9" w15:restartNumberingAfterBreak="0">
    <w:nsid w:val="2C976934"/>
    <w:multiLevelType w:val="multilevel"/>
    <w:tmpl w:val="C9881CB4"/>
    <w:styleLink w:val="TableBullets"/>
    <w:lvl w:ilvl="0">
      <w:start w:val="1"/>
      <w:numFmt w:val="bullet"/>
      <w:suff w:val="nothing"/>
      <w:lvlText w:val=""/>
      <w:lvlJc w:val="left"/>
      <w:pPr>
        <w:ind w:left="284" w:hanging="171"/>
      </w:pPr>
      <w:rPr>
        <w:rFonts w:ascii="Symbol" w:hAnsi="Symbol" w:hint="default"/>
        <w:color w:val="auto"/>
      </w:rPr>
    </w:lvl>
    <w:lvl w:ilvl="1">
      <w:start w:val="1"/>
      <w:numFmt w:val="bullet"/>
      <w:lvlText w:val="–"/>
      <w:lvlJc w:val="left"/>
      <w:pPr>
        <w:ind w:left="454" w:hanging="170"/>
      </w:pPr>
      <w:rPr>
        <w:rFonts w:ascii="Georgia" w:hAnsi="Georgia" w:hint="default"/>
        <w:color w:val="auto"/>
      </w:rPr>
    </w:lvl>
    <w:lvl w:ilvl="2">
      <w:start w:val="1"/>
      <w:numFmt w:val="bullet"/>
      <w:lvlText w:val="o"/>
      <w:lvlJc w:val="left"/>
      <w:pPr>
        <w:tabs>
          <w:tab w:val="num" w:pos="454"/>
        </w:tabs>
        <w:ind w:left="624" w:hanging="170"/>
      </w:pPr>
      <w:rPr>
        <w:rFonts w:ascii="Courier New" w:hAnsi="Courier New"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10" w15:restartNumberingAfterBreak="0">
    <w:nsid w:val="3178730F"/>
    <w:multiLevelType w:val="multilevel"/>
    <w:tmpl w:val="AB24EEA4"/>
    <w:name w:val="WSP Appendices"/>
    <w:lvl w:ilvl="0">
      <w:start w:val="1"/>
      <w:numFmt w:val="upperLetter"/>
      <w:lvlText w:val="Appendix %1"/>
      <w:lvlJc w:val="left"/>
      <w:pPr>
        <w:ind w:left="1134" w:hanging="1134"/>
      </w:pPr>
      <w:rPr>
        <w:rFonts w:hint="default"/>
      </w:rPr>
    </w:lvl>
    <w:lvl w:ilvl="1">
      <w:start w:val="1"/>
      <w:numFmt w:val="decimal"/>
      <w:lvlText w:val="%1.%2"/>
      <w:lvlJc w:val="left"/>
      <w:pPr>
        <w:ind w:left="1134" w:hanging="1134"/>
      </w:pPr>
      <w:rPr>
        <w:rFonts w:hint="default"/>
      </w:rPr>
    </w:lvl>
    <w:lvl w:ilvl="2">
      <w:start w:val="1"/>
      <w:numFmt w:val="decimal"/>
      <w:lvlText w:val="%1.%2.%3"/>
      <w:lvlJc w:val="left"/>
      <w:pPr>
        <w:ind w:left="1134" w:hanging="1134"/>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1134" w:hanging="1134"/>
      </w:pPr>
      <w:rPr>
        <w:rFonts w:hint="default"/>
      </w:rPr>
    </w:lvl>
    <w:lvl w:ilvl="5">
      <w:start w:val="1"/>
      <w:numFmt w:val="lowerRoman"/>
      <w:lvlText w:val="%6."/>
      <w:lvlJc w:val="left"/>
      <w:pPr>
        <w:ind w:left="1134" w:hanging="1134"/>
      </w:pPr>
      <w:rPr>
        <w:rFonts w:hint="default"/>
      </w:rPr>
    </w:lvl>
    <w:lvl w:ilvl="6">
      <w:start w:val="1"/>
      <w:numFmt w:val="decimal"/>
      <w:lvlText w:val="%7."/>
      <w:lvlJc w:val="left"/>
      <w:pPr>
        <w:ind w:left="1134" w:hanging="1134"/>
      </w:pPr>
      <w:rPr>
        <w:rFonts w:hint="default"/>
      </w:rPr>
    </w:lvl>
    <w:lvl w:ilvl="7">
      <w:start w:val="1"/>
      <w:numFmt w:val="lowerLetter"/>
      <w:lvlText w:val="%8."/>
      <w:lvlJc w:val="left"/>
      <w:pPr>
        <w:ind w:left="1134" w:hanging="1134"/>
      </w:pPr>
      <w:rPr>
        <w:rFonts w:hint="default"/>
      </w:rPr>
    </w:lvl>
    <w:lvl w:ilvl="8">
      <w:start w:val="1"/>
      <w:numFmt w:val="lowerRoman"/>
      <w:lvlText w:val="%9."/>
      <w:lvlJc w:val="right"/>
      <w:pPr>
        <w:ind w:left="1134" w:hanging="1134"/>
      </w:pPr>
      <w:rPr>
        <w:rFonts w:hint="default"/>
      </w:rPr>
    </w:lvl>
  </w:abstractNum>
  <w:abstractNum w:abstractNumId="11" w15:restartNumberingAfterBreak="0">
    <w:nsid w:val="3AAB7112"/>
    <w:multiLevelType w:val="multilevel"/>
    <w:tmpl w:val="5262EEF0"/>
    <w:styleLink w:val="LXRANumberedList"/>
    <w:lvl w:ilvl="0">
      <w:start w:val="1"/>
      <w:numFmt w:val="decimal"/>
      <w:pStyle w:val="ListNumber"/>
      <w:lvlText w:val="%1."/>
      <w:lvlJc w:val="left"/>
      <w:pPr>
        <w:tabs>
          <w:tab w:val="num" w:pos="360"/>
        </w:tabs>
        <w:ind w:left="284" w:hanging="284"/>
      </w:pPr>
      <w:rPr>
        <w:rFonts w:hint="default"/>
      </w:rPr>
    </w:lvl>
    <w:lvl w:ilvl="1">
      <w:start w:val="1"/>
      <w:numFmt w:val="lowerLetter"/>
      <w:pStyle w:val="ListNumber2"/>
      <w:lvlText w:val="%2."/>
      <w:lvlJc w:val="left"/>
      <w:pPr>
        <w:tabs>
          <w:tab w:val="num" w:pos="2835"/>
        </w:tabs>
        <w:ind w:left="567" w:hanging="283"/>
      </w:pPr>
      <w:rPr>
        <w:rFonts w:hint="default"/>
      </w:rPr>
    </w:lvl>
    <w:lvl w:ilvl="2">
      <w:start w:val="1"/>
      <w:numFmt w:val="lowerRoman"/>
      <w:pStyle w:val="ListNumber3"/>
      <w:lvlText w:val="%3."/>
      <w:lvlJc w:val="left"/>
      <w:pPr>
        <w:ind w:left="851" w:hanging="284"/>
      </w:pPr>
      <w:rPr>
        <w:rFonts w:hint="default"/>
      </w:rPr>
    </w:lvl>
    <w:lvl w:ilvl="3">
      <w:start w:val="1"/>
      <w:numFmt w:val="none"/>
      <w:lvlText w:val="%4"/>
      <w:lvlJc w:val="left"/>
      <w:pPr>
        <w:ind w:left="1134" w:hanging="283"/>
      </w:pPr>
      <w:rPr>
        <w:rFonts w:hint="default"/>
      </w:rPr>
    </w:lvl>
    <w:lvl w:ilvl="4">
      <w:start w:val="1"/>
      <w:numFmt w:val="none"/>
      <w:lvlText w:val="%5"/>
      <w:lvlJc w:val="left"/>
      <w:pPr>
        <w:ind w:left="1418" w:hanging="284"/>
      </w:pPr>
      <w:rPr>
        <w:rFonts w:hint="default"/>
      </w:rPr>
    </w:lvl>
    <w:lvl w:ilvl="5">
      <w:start w:val="1"/>
      <w:numFmt w:val="none"/>
      <w:lvlText w:val="%6"/>
      <w:lvlJc w:val="right"/>
      <w:pPr>
        <w:ind w:left="4320" w:hanging="180"/>
      </w:pPr>
      <w:rPr>
        <w:rFonts w:hint="default"/>
      </w:rPr>
    </w:lvl>
    <w:lvl w:ilvl="6">
      <w:start w:val="1"/>
      <w:numFmt w:val="none"/>
      <w:lvlText w:val="%7"/>
      <w:lvlJc w:val="left"/>
      <w:pPr>
        <w:ind w:left="5040" w:hanging="360"/>
      </w:pPr>
      <w:rPr>
        <w:rFonts w:hint="default"/>
      </w:rPr>
    </w:lvl>
    <w:lvl w:ilvl="7">
      <w:start w:val="1"/>
      <w:numFmt w:val="none"/>
      <w:lvlText w:val="%8"/>
      <w:lvlJc w:val="left"/>
      <w:pPr>
        <w:ind w:left="5760" w:hanging="360"/>
      </w:pPr>
      <w:rPr>
        <w:rFonts w:hint="default"/>
      </w:rPr>
    </w:lvl>
    <w:lvl w:ilvl="8">
      <w:start w:val="1"/>
      <w:numFmt w:val="none"/>
      <w:lvlText w:val="%9"/>
      <w:lvlJc w:val="right"/>
      <w:pPr>
        <w:ind w:left="6480" w:hanging="180"/>
      </w:pPr>
      <w:rPr>
        <w:rFonts w:hint="default"/>
      </w:rPr>
    </w:lvl>
  </w:abstractNum>
  <w:abstractNum w:abstractNumId="12" w15:restartNumberingAfterBreak="0">
    <w:nsid w:val="3CB352F4"/>
    <w:multiLevelType w:val="multilevel"/>
    <w:tmpl w:val="B176A4CE"/>
    <w:styleLink w:val="LXRABullets"/>
    <w:lvl w:ilvl="0">
      <w:start w:val="1"/>
      <w:numFmt w:val="bullet"/>
      <w:pStyle w:val="ListBullet"/>
      <w:lvlText w:val="•"/>
      <w:lvlJc w:val="left"/>
      <w:pPr>
        <w:ind w:left="284" w:hanging="284"/>
      </w:pPr>
      <w:rPr>
        <w:rFonts w:ascii="Calibri" w:hAnsi="Calibri" w:hint="default"/>
      </w:rPr>
    </w:lvl>
    <w:lvl w:ilvl="1">
      <w:start w:val="1"/>
      <w:numFmt w:val="bullet"/>
      <w:pStyle w:val="ListBullet2"/>
      <w:lvlText w:val="̵"/>
      <w:lvlJc w:val="left"/>
      <w:pPr>
        <w:ind w:left="567" w:hanging="283"/>
      </w:pPr>
      <w:rPr>
        <w:rFonts w:ascii="Courier New" w:hAnsi="Courier New" w:hint="default"/>
      </w:rPr>
    </w:lvl>
    <w:lvl w:ilvl="2">
      <w:start w:val="1"/>
      <w:numFmt w:val="bullet"/>
      <w:pStyle w:val="ListBullet3"/>
      <w:lvlText w:val="›"/>
      <w:lvlJc w:val="left"/>
      <w:pPr>
        <w:ind w:left="851" w:hanging="284"/>
      </w:pPr>
      <w:rPr>
        <w:rFonts w:ascii="Calibri" w:hAnsi="Calibri" w:hint="default"/>
      </w:rPr>
    </w:lvl>
    <w:lvl w:ilvl="3">
      <w:start w:val="1"/>
      <w:numFmt w:val="bullet"/>
      <w:pStyle w:val="ListBullet4"/>
      <w:lvlText w:val="▪"/>
      <w:lvlJc w:val="left"/>
      <w:pPr>
        <w:ind w:left="1134" w:hanging="283"/>
      </w:pPr>
      <w:rPr>
        <w:rFonts w:ascii="Calibri" w:hAnsi="Calibri" w:hint="default"/>
      </w:rPr>
    </w:lvl>
    <w:lvl w:ilvl="4">
      <w:start w:val="1"/>
      <w:numFmt w:val="bullet"/>
      <w:pStyle w:val="ListBullet5"/>
      <w:lvlText w:val="▫"/>
      <w:lvlJc w:val="left"/>
      <w:pPr>
        <w:ind w:left="1418" w:hanging="284"/>
      </w:pPr>
      <w:rPr>
        <w:rFonts w:ascii="Calibri" w:hAnsi="Calibri" w:hint="default"/>
      </w:rPr>
    </w:lvl>
    <w:lvl w:ilvl="5">
      <w:start w:val="1"/>
      <w:numFmt w:val="none"/>
      <w:lvlText w:val=""/>
      <w:lvlJc w:val="left"/>
      <w:pPr>
        <w:ind w:left="4539" w:hanging="284"/>
      </w:pPr>
      <w:rPr>
        <w:rFonts w:hint="default"/>
      </w:rPr>
    </w:lvl>
    <w:lvl w:ilvl="6">
      <w:start w:val="1"/>
      <w:numFmt w:val="none"/>
      <w:lvlText w:val=""/>
      <w:lvlJc w:val="left"/>
      <w:pPr>
        <w:ind w:left="5390" w:hanging="284"/>
      </w:pPr>
      <w:rPr>
        <w:rFonts w:hint="default"/>
      </w:rPr>
    </w:lvl>
    <w:lvl w:ilvl="7">
      <w:start w:val="1"/>
      <w:numFmt w:val="none"/>
      <w:lvlText w:val=""/>
      <w:lvlJc w:val="left"/>
      <w:pPr>
        <w:ind w:left="6241" w:hanging="284"/>
      </w:pPr>
      <w:rPr>
        <w:rFonts w:hint="default"/>
      </w:rPr>
    </w:lvl>
    <w:lvl w:ilvl="8">
      <w:start w:val="1"/>
      <w:numFmt w:val="none"/>
      <w:lvlText w:val=""/>
      <w:lvlJc w:val="left"/>
      <w:pPr>
        <w:ind w:left="7092" w:hanging="284"/>
      </w:pPr>
      <w:rPr>
        <w:rFonts w:hint="default"/>
      </w:rPr>
    </w:lvl>
  </w:abstractNum>
  <w:abstractNum w:abstractNumId="13" w15:restartNumberingAfterBreak="0">
    <w:nsid w:val="48151EE0"/>
    <w:multiLevelType w:val="multilevel"/>
    <w:tmpl w:val="0C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4" w15:restartNumberingAfterBreak="0">
    <w:nsid w:val="4C063496"/>
    <w:multiLevelType w:val="multilevel"/>
    <w:tmpl w:val="9ADC5578"/>
    <w:styleLink w:val="TableNumbering"/>
    <w:lvl w:ilvl="0">
      <w:start w:val="1"/>
      <w:numFmt w:val="decimal"/>
      <w:lvlText w:val="%1."/>
      <w:lvlJc w:val="left"/>
      <w:pPr>
        <w:ind w:left="680" w:hanging="567"/>
      </w:pPr>
      <w:rPr>
        <w:rFonts w:hint="default"/>
      </w:rPr>
    </w:lvl>
    <w:lvl w:ilvl="1">
      <w:start w:val="1"/>
      <w:numFmt w:val="decimal"/>
      <w:lvlText w:val="%1.%2"/>
      <w:lvlJc w:val="left"/>
      <w:pPr>
        <w:ind w:left="680" w:hanging="567"/>
      </w:pPr>
      <w:rPr>
        <w:rFonts w:hint="default"/>
      </w:rPr>
    </w:lvl>
    <w:lvl w:ilvl="2">
      <w:start w:val="1"/>
      <w:numFmt w:val="decimal"/>
      <w:lvlText w:val="%1.%2.%3"/>
      <w:lvlJc w:val="left"/>
      <w:pPr>
        <w:ind w:left="680" w:hanging="567"/>
      </w:pPr>
      <w:rPr>
        <w:rFonts w:hint="default"/>
      </w:rPr>
    </w:lvl>
    <w:lvl w:ilvl="3">
      <w:start w:val="1"/>
      <w:numFmt w:val="none"/>
      <w:lvlText w:val=""/>
      <w:lvlJc w:val="left"/>
      <w:pPr>
        <w:ind w:left="1019" w:hanging="906"/>
      </w:pPr>
      <w:rPr>
        <w:rFonts w:hint="default"/>
      </w:rPr>
    </w:lvl>
    <w:lvl w:ilvl="4">
      <w:start w:val="1"/>
      <w:numFmt w:val="none"/>
      <w:lvlText w:val=""/>
      <w:lvlJc w:val="left"/>
      <w:pPr>
        <w:ind w:left="1132" w:hanging="1019"/>
      </w:pPr>
      <w:rPr>
        <w:rFonts w:hint="default"/>
      </w:rPr>
    </w:lvl>
    <w:lvl w:ilvl="5">
      <w:start w:val="1"/>
      <w:numFmt w:val="none"/>
      <w:lvlText w:val=""/>
      <w:lvlJc w:val="left"/>
      <w:pPr>
        <w:ind w:left="1245" w:hanging="1132"/>
      </w:pPr>
      <w:rPr>
        <w:rFonts w:hint="default"/>
      </w:rPr>
    </w:lvl>
    <w:lvl w:ilvl="6">
      <w:start w:val="1"/>
      <w:numFmt w:val="none"/>
      <w:lvlText w:val=""/>
      <w:lvlJc w:val="left"/>
      <w:pPr>
        <w:ind w:left="1358" w:hanging="1245"/>
      </w:pPr>
      <w:rPr>
        <w:rFonts w:hint="default"/>
      </w:rPr>
    </w:lvl>
    <w:lvl w:ilvl="7">
      <w:start w:val="1"/>
      <w:numFmt w:val="none"/>
      <w:lvlText w:val=""/>
      <w:lvlJc w:val="left"/>
      <w:pPr>
        <w:tabs>
          <w:tab w:val="num" w:pos="5103"/>
        </w:tabs>
        <w:ind w:left="1471" w:hanging="1358"/>
      </w:pPr>
      <w:rPr>
        <w:rFonts w:hint="default"/>
      </w:rPr>
    </w:lvl>
    <w:lvl w:ilvl="8">
      <w:start w:val="1"/>
      <w:numFmt w:val="none"/>
      <w:lvlText w:val=""/>
      <w:lvlJc w:val="left"/>
      <w:pPr>
        <w:ind w:left="1584" w:hanging="1471"/>
      </w:pPr>
      <w:rPr>
        <w:rFonts w:hint="default"/>
      </w:rPr>
    </w:lvl>
  </w:abstractNum>
  <w:abstractNum w:abstractNumId="15" w15:restartNumberingAfterBreak="0">
    <w:nsid w:val="52890B29"/>
    <w:multiLevelType w:val="hybridMultilevel"/>
    <w:tmpl w:val="067CFC18"/>
    <w:name w:val="MyHeadings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58741D25"/>
    <w:multiLevelType w:val="multilevel"/>
    <w:tmpl w:val="10107B4A"/>
    <w:styleLink w:val="TableFootnotes0"/>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17" w15:restartNumberingAfterBreak="0">
    <w:nsid w:val="5D820AEB"/>
    <w:multiLevelType w:val="multilevel"/>
    <w:tmpl w:val="B176A4CE"/>
    <w:numStyleLink w:val="LXRABullets"/>
  </w:abstractNum>
  <w:abstractNum w:abstractNumId="18" w15:restartNumberingAfterBreak="0">
    <w:nsid w:val="6DFC32B5"/>
    <w:multiLevelType w:val="multilevel"/>
    <w:tmpl w:val="0C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7EBD7459"/>
    <w:multiLevelType w:val="multilevel"/>
    <w:tmpl w:val="0C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1"/>
  </w:num>
  <w:num w:numId="2">
    <w:abstractNumId w:val="0"/>
  </w:num>
  <w:num w:numId="3">
    <w:abstractNumId w:val="12"/>
  </w:num>
  <w:num w:numId="4">
    <w:abstractNumId w:val="11"/>
  </w:num>
  <w:num w:numId="5">
    <w:abstractNumId w:val="5"/>
    <w:lvlOverride w:ilvl="0">
      <w:lvl w:ilvl="0">
        <w:start w:val="1"/>
        <w:numFmt w:val="decimal"/>
        <w:pStyle w:val="ListNumber"/>
        <w:lvlText w:val="%1."/>
        <w:lvlJc w:val="left"/>
        <w:pPr>
          <w:tabs>
            <w:tab w:val="num" w:pos="360"/>
          </w:tabs>
          <w:ind w:left="284" w:hanging="284"/>
        </w:pPr>
        <w:rPr>
          <w:rFonts w:hint="default"/>
        </w:rPr>
      </w:lvl>
    </w:lvlOverride>
    <w:lvlOverride w:ilvl="1">
      <w:lvl w:ilvl="1">
        <w:start w:val="1"/>
        <w:numFmt w:val="lowerLetter"/>
        <w:pStyle w:val="ListNumber2"/>
        <w:lvlText w:val="%2."/>
        <w:lvlJc w:val="left"/>
        <w:pPr>
          <w:tabs>
            <w:tab w:val="num" w:pos="2835"/>
          </w:tabs>
          <w:ind w:left="567" w:hanging="283"/>
        </w:pPr>
        <w:rPr>
          <w:rFonts w:hint="default"/>
        </w:rPr>
      </w:lvl>
    </w:lvlOverride>
    <w:lvlOverride w:ilvl="2">
      <w:lvl w:ilvl="2">
        <w:start w:val="1"/>
        <w:numFmt w:val="lowerRoman"/>
        <w:pStyle w:val="ListNumber3"/>
        <w:lvlText w:val="%3."/>
        <w:lvlJc w:val="left"/>
        <w:pPr>
          <w:ind w:left="851" w:hanging="284"/>
        </w:pPr>
        <w:rPr>
          <w:rFonts w:hint="default"/>
        </w:rPr>
      </w:lvl>
    </w:lvlOverride>
    <w:lvlOverride w:ilvl="3">
      <w:lvl w:ilvl="3">
        <w:start w:val="1"/>
        <w:numFmt w:val="none"/>
        <w:lvlText w:val="%4"/>
        <w:lvlJc w:val="left"/>
        <w:pPr>
          <w:ind w:left="1134" w:hanging="283"/>
        </w:pPr>
        <w:rPr>
          <w:rFonts w:hint="default"/>
        </w:rPr>
      </w:lvl>
    </w:lvlOverride>
    <w:lvlOverride w:ilvl="4">
      <w:lvl w:ilvl="4">
        <w:start w:val="1"/>
        <w:numFmt w:val="none"/>
        <w:lvlText w:val="%5"/>
        <w:lvlJc w:val="left"/>
        <w:pPr>
          <w:ind w:left="1418" w:hanging="284"/>
        </w:pPr>
        <w:rPr>
          <w:rFonts w:hint="default"/>
        </w:rPr>
      </w:lvl>
    </w:lvlOverride>
    <w:lvlOverride w:ilvl="5">
      <w:lvl w:ilvl="5">
        <w:start w:val="1"/>
        <w:numFmt w:val="none"/>
        <w:lvlText w:val="%6"/>
        <w:lvlJc w:val="right"/>
        <w:pPr>
          <w:ind w:left="4320" w:hanging="180"/>
        </w:pPr>
        <w:rPr>
          <w:rFonts w:hint="default"/>
        </w:rPr>
      </w:lvl>
    </w:lvlOverride>
    <w:lvlOverride w:ilvl="6">
      <w:lvl w:ilvl="6">
        <w:start w:val="1"/>
        <w:numFmt w:val="none"/>
        <w:lvlText w:val="%7"/>
        <w:lvlJc w:val="left"/>
        <w:pPr>
          <w:ind w:left="5040" w:hanging="360"/>
        </w:pPr>
        <w:rPr>
          <w:rFonts w:hint="default"/>
        </w:rPr>
      </w:lvl>
    </w:lvlOverride>
    <w:lvlOverride w:ilvl="7">
      <w:lvl w:ilvl="7">
        <w:start w:val="1"/>
        <w:numFmt w:val="none"/>
        <w:lvlText w:val="%8"/>
        <w:lvlJc w:val="left"/>
        <w:pPr>
          <w:ind w:left="5760" w:hanging="360"/>
        </w:pPr>
        <w:rPr>
          <w:rFonts w:hint="default"/>
        </w:rPr>
      </w:lvl>
    </w:lvlOverride>
    <w:lvlOverride w:ilvl="8">
      <w:lvl w:ilvl="8">
        <w:start w:val="1"/>
        <w:numFmt w:val="none"/>
        <w:lvlText w:val="%9"/>
        <w:lvlJc w:val="right"/>
        <w:pPr>
          <w:ind w:left="6480" w:hanging="180"/>
        </w:pPr>
        <w:rPr>
          <w:rFonts w:hint="default"/>
        </w:rPr>
      </w:lvl>
    </w:lvlOverride>
  </w:num>
  <w:num w:numId="6">
    <w:abstractNumId w:val="17"/>
  </w:num>
  <w:num w:numId="7">
    <w:abstractNumId w:val="7"/>
  </w:num>
  <w:num w:numId="8">
    <w:abstractNumId w:val="4"/>
  </w:num>
  <w:num w:numId="9">
    <w:abstractNumId w:val="8"/>
  </w:num>
  <w:num w:numId="10">
    <w:abstractNumId w:val="3"/>
  </w:num>
  <w:num w:numId="11">
    <w:abstractNumId w:val="6"/>
  </w:num>
  <w:num w:numId="12">
    <w:abstractNumId w:val="9"/>
  </w:num>
  <w:num w:numId="13">
    <w:abstractNumId w:val="16"/>
  </w:num>
  <w:num w:numId="14">
    <w:abstractNumId w:val="14"/>
  </w:num>
  <w:num w:numId="15">
    <w:abstractNumId w:val="18"/>
  </w:num>
  <w:num w:numId="16">
    <w:abstractNumId w:val="19"/>
  </w:num>
  <w:num w:numId="17">
    <w:abstractNumId w:val="13"/>
  </w:num>
  <w:num w:numId="18">
    <w:abstractNumId w:val="2"/>
  </w:num>
  <w:num w:numId="19">
    <w:abstractNumId w:val="17"/>
  </w:num>
  <w:num w:numId="20">
    <w:abstractNumId w:val="17"/>
  </w:num>
  <w:num w:numId="21">
    <w:abstractNumId w:val="15"/>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cumentProtection w:edit="trackedChanges" w:enforcement="0"/>
  <w:defaultTabStop w:val="720"/>
  <w:evenAndOddHeaders/>
  <w:drawingGridHorizontalSpacing w:val="95"/>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xAppendixName" w:val="Appendix"/>
  </w:docVars>
  <w:rsids>
    <w:rsidRoot w:val="00243C9A"/>
    <w:rsid w:val="00003949"/>
    <w:rsid w:val="00007903"/>
    <w:rsid w:val="00014147"/>
    <w:rsid w:val="0002237F"/>
    <w:rsid w:val="00032E82"/>
    <w:rsid w:val="000337DA"/>
    <w:rsid w:val="00034F8D"/>
    <w:rsid w:val="00041CC6"/>
    <w:rsid w:val="00041E70"/>
    <w:rsid w:val="00043402"/>
    <w:rsid w:val="00044F86"/>
    <w:rsid w:val="00047205"/>
    <w:rsid w:val="00050902"/>
    <w:rsid w:val="00053373"/>
    <w:rsid w:val="00057EFC"/>
    <w:rsid w:val="0006151E"/>
    <w:rsid w:val="00067A81"/>
    <w:rsid w:val="00074A7D"/>
    <w:rsid w:val="000751CD"/>
    <w:rsid w:val="000773B9"/>
    <w:rsid w:val="00084512"/>
    <w:rsid w:val="00090AA3"/>
    <w:rsid w:val="0009234B"/>
    <w:rsid w:val="00092597"/>
    <w:rsid w:val="00092DC7"/>
    <w:rsid w:val="00094EB8"/>
    <w:rsid w:val="000963CD"/>
    <w:rsid w:val="000A07B3"/>
    <w:rsid w:val="000A0FB9"/>
    <w:rsid w:val="000A36C5"/>
    <w:rsid w:val="000A3786"/>
    <w:rsid w:val="000A72A4"/>
    <w:rsid w:val="000A7D48"/>
    <w:rsid w:val="000B0B80"/>
    <w:rsid w:val="000B6D57"/>
    <w:rsid w:val="000B6E30"/>
    <w:rsid w:val="000C2447"/>
    <w:rsid w:val="000C3BCA"/>
    <w:rsid w:val="000C4C89"/>
    <w:rsid w:val="000C5E8B"/>
    <w:rsid w:val="000C66AD"/>
    <w:rsid w:val="000D1E34"/>
    <w:rsid w:val="000D5F71"/>
    <w:rsid w:val="000D74C6"/>
    <w:rsid w:val="000D7729"/>
    <w:rsid w:val="000D7ECE"/>
    <w:rsid w:val="000E13CE"/>
    <w:rsid w:val="000E1FAE"/>
    <w:rsid w:val="000E54C9"/>
    <w:rsid w:val="000E7382"/>
    <w:rsid w:val="000F4EC0"/>
    <w:rsid w:val="000F5FB5"/>
    <w:rsid w:val="000F6116"/>
    <w:rsid w:val="000F7996"/>
    <w:rsid w:val="001029CF"/>
    <w:rsid w:val="00106518"/>
    <w:rsid w:val="001069F5"/>
    <w:rsid w:val="001134D2"/>
    <w:rsid w:val="00116CB6"/>
    <w:rsid w:val="00121829"/>
    <w:rsid w:val="00122694"/>
    <w:rsid w:val="0012483F"/>
    <w:rsid w:val="001250D4"/>
    <w:rsid w:val="0012604A"/>
    <w:rsid w:val="00130B8B"/>
    <w:rsid w:val="00130F10"/>
    <w:rsid w:val="00131634"/>
    <w:rsid w:val="0013604A"/>
    <w:rsid w:val="001375EE"/>
    <w:rsid w:val="00137A75"/>
    <w:rsid w:val="00141EFB"/>
    <w:rsid w:val="00151B93"/>
    <w:rsid w:val="00153B07"/>
    <w:rsid w:val="00154761"/>
    <w:rsid w:val="00156875"/>
    <w:rsid w:val="001575B6"/>
    <w:rsid w:val="00161C13"/>
    <w:rsid w:val="00173082"/>
    <w:rsid w:val="0017327A"/>
    <w:rsid w:val="00173E17"/>
    <w:rsid w:val="0017694B"/>
    <w:rsid w:val="0018121D"/>
    <w:rsid w:val="00185F14"/>
    <w:rsid w:val="00190218"/>
    <w:rsid w:val="00196C75"/>
    <w:rsid w:val="001A579F"/>
    <w:rsid w:val="001A697F"/>
    <w:rsid w:val="001A6D68"/>
    <w:rsid w:val="001A71DB"/>
    <w:rsid w:val="001B2001"/>
    <w:rsid w:val="001B2A7D"/>
    <w:rsid w:val="001B41B5"/>
    <w:rsid w:val="001B456D"/>
    <w:rsid w:val="001B4E88"/>
    <w:rsid w:val="001C17C1"/>
    <w:rsid w:val="001D2AFC"/>
    <w:rsid w:val="001D3600"/>
    <w:rsid w:val="001D6E30"/>
    <w:rsid w:val="001E1CB0"/>
    <w:rsid w:val="001E2E84"/>
    <w:rsid w:val="001E5900"/>
    <w:rsid w:val="001E71B3"/>
    <w:rsid w:val="001E7E9E"/>
    <w:rsid w:val="001F3F7A"/>
    <w:rsid w:val="001F6712"/>
    <w:rsid w:val="002073B3"/>
    <w:rsid w:val="00211012"/>
    <w:rsid w:val="00214CF9"/>
    <w:rsid w:val="002173F7"/>
    <w:rsid w:val="0022096F"/>
    <w:rsid w:val="00223B9D"/>
    <w:rsid w:val="0022442B"/>
    <w:rsid w:val="00224794"/>
    <w:rsid w:val="002317A9"/>
    <w:rsid w:val="00236983"/>
    <w:rsid w:val="00240091"/>
    <w:rsid w:val="002436AE"/>
    <w:rsid w:val="00243C9A"/>
    <w:rsid w:val="00243D01"/>
    <w:rsid w:val="00251DC3"/>
    <w:rsid w:val="00253F72"/>
    <w:rsid w:val="00254677"/>
    <w:rsid w:val="00256AF2"/>
    <w:rsid w:val="00257986"/>
    <w:rsid w:val="00260E7F"/>
    <w:rsid w:val="00264416"/>
    <w:rsid w:val="00275E6B"/>
    <w:rsid w:val="00280154"/>
    <w:rsid w:val="002855B8"/>
    <w:rsid w:val="00285896"/>
    <w:rsid w:val="00285BD0"/>
    <w:rsid w:val="002900B0"/>
    <w:rsid w:val="00292A42"/>
    <w:rsid w:val="00294303"/>
    <w:rsid w:val="002954C4"/>
    <w:rsid w:val="00297F0E"/>
    <w:rsid w:val="002A40A3"/>
    <w:rsid w:val="002A6B91"/>
    <w:rsid w:val="002B0C3E"/>
    <w:rsid w:val="002B0E3C"/>
    <w:rsid w:val="002B5952"/>
    <w:rsid w:val="002B6B86"/>
    <w:rsid w:val="002D26D0"/>
    <w:rsid w:val="002E031A"/>
    <w:rsid w:val="002E44C4"/>
    <w:rsid w:val="002F2DC9"/>
    <w:rsid w:val="002F4451"/>
    <w:rsid w:val="002F7BB1"/>
    <w:rsid w:val="002F7FF9"/>
    <w:rsid w:val="0030014A"/>
    <w:rsid w:val="00304D1F"/>
    <w:rsid w:val="00305E4E"/>
    <w:rsid w:val="00307CF1"/>
    <w:rsid w:val="00310DC2"/>
    <w:rsid w:val="0031547F"/>
    <w:rsid w:val="00316236"/>
    <w:rsid w:val="003176AE"/>
    <w:rsid w:val="00323D83"/>
    <w:rsid w:val="0032621A"/>
    <w:rsid w:val="00332895"/>
    <w:rsid w:val="00334011"/>
    <w:rsid w:val="003353D7"/>
    <w:rsid w:val="00340C7C"/>
    <w:rsid w:val="003443B9"/>
    <w:rsid w:val="0034724F"/>
    <w:rsid w:val="003530B5"/>
    <w:rsid w:val="003547A2"/>
    <w:rsid w:val="003555F5"/>
    <w:rsid w:val="003559BE"/>
    <w:rsid w:val="00356089"/>
    <w:rsid w:val="0036247D"/>
    <w:rsid w:val="003635F6"/>
    <w:rsid w:val="00363D9B"/>
    <w:rsid w:val="00363E3A"/>
    <w:rsid w:val="00364984"/>
    <w:rsid w:val="00384DC4"/>
    <w:rsid w:val="0038521A"/>
    <w:rsid w:val="0038601C"/>
    <w:rsid w:val="00391774"/>
    <w:rsid w:val="00395A74"/>
    <w:rsid w:val="003A1172"/>
    <w:rsid w:val="003A46A7"/>
    <w:rsid w:val="003B2B47"/>
    <w:rsid w:val="003C1035"/>
    <w:rsid w:val="003C2EF1"/>
    <w:rsid w:val="003C7BFA"/>
    <w:rsid w:val="003D2036"/>
    <w:rsid w:val="003D46C3"/>
    <w:rsid w:val="003E3E83"/>
    <w:rsid w:val="003F25E6"/>
    <w:rsid w:val="003F2F68"/>
    <w:rsid w:val="003F496E"/>
    <w:rsid w:val="003F76B5"/>
    <w:rsid w:val="00400EA1"/>
    <w:rsid w:val="00401FA4"/>
    <w:rsid w:val="0041245A"/>
    <w:rsid w:val="00412758"/>
    <w:rsid w:val="004163B4"/>
    <w:rsid w:val="00417545"/>
    <w:rsid w:val="00433860"/>
    <w:rsid w:val="00437790"/>
    <w:rsid w:val="004408F8"/>
    <w:rsid w:val="00440D2A"/>
    <w:rsid w:val="00441253"/>
    <w:rsid w:val="0044142D"/>
    <w:rsid w:val="00441EA2"/>
    <w:rsid w:val="00443834"/>
    <w:rsid w:val="00446D88"/>
    <w:rsid w:val="0045228E"/>
    <w:rsid w:val="004535F6"/>
    <w:rsid w:val="0046117A"/>
    <w:rsid w:val="00466978"/>
    <w:rsid w:val="00471329"/>
    <w:rsid w:val="00473C32"/>
    <w:rsid w:val="00480336"/>
    <w:rsid w:val="004813E6"/>
    <w:rsid w:val="0048656F"/>
    <w:rsid w:val="004867BB"/>
    <w:rsid w:val="00486CF7"/>
    <w:rsid w:val="00495500"/>
    <w:rsid w:val="00497150"/>
    <w:rsid w:val="0049729A"/>
    <w:rsid w:val="00497B45"/>
    <w:rsid w:val="004A2EC5"/>
    <w:rsid w:val="004A6F0A"/>
    <w:rsid w:val="004B0674"/>
    <w:rsid w:val="004B21B9"/>
    <w:rsid w:val="004B23D9"/>
    <w:rsid w:val="004B45C0"/>
    <w:rsid w:val="004B4F12"/>
    <w:rsid w:val="004B54E0"/>
    <w:rsid w:val="004B6F8C"/>
    <w:rsid w:val="004C2AC6"/>
    <w:rsid w:val="004C6692"/>
    <w:rsid w:val="004C6C22"/>
    <w:rsid w:val="004C7A7E"/>
    <w:rsid w:val="004C7D60"/>
    <w:rsid w:val="004D4F46"/>
    <w:rsid w:val="004D6301"/>
    <w:rsid w:val="004E0577"/>
    <w:rsid w:val="004F0CDF"/>
    <w:rsid w:val="004F30BD"/>
    <w:rsid w:val="004F59B4"/>
    <w:rsid w:val="004F6997"/>
    <w:rsid w:val="004F6FEB"/>
    <w:rsid w:val="00502066"/>
    <w:rsid w:val="005056CD"/>
    <w:rsid w:val="00516520"/>
    <w:rsid w:val="00522481"/>
    <w:rsid w:val="00525440"/>
    <w:rsid w:val="00525B8C"/>
    <w:rsid w:val="00534E42"/>
    <w:rsid w:val="00534E9E"/>
    <w:rsid w:val="0053742F"/>
    <w:rsid w:val="0053761F"/>
    <w:rsid w:val="00541337"/>
    <w:rsid w:val="00545523"/>
    <w:rsid w:val="00545732"/>
    <w:rsid w:val="0055374E"/>
    <w:rsid w:val="0055631C"/>
    <w:rsid w:val="00571376"/>
    <w:rsid w:val="0057227E"/>
    <w:rsid w:val="0057409C"/>
    <w:rsid w:val="005750A5"/>
    <w:rsid w:val="005775CE"/>
    <w:rsid w:val="005820FC"/>
    <w:rsid w:val="00584971"/>
    <w:rsid w:val="0059127D"/>
    <w:rsid w:val="00592694"/>
    <w:rsid w:val="00597911"/>
    <w:rsid w:val="005A1B01"/>
    <w:rsid w:val="005A1D43"/>
    <w:rsid w:val="005A770E"/>
    <w:rsid w:val="005B36AC"/>
    <w:rsid w:val="005B4860"/>
    <w:rsid w:val="005B4EE1"/>
    <w:rsid w:val="005C274E"/>
    <w:rsid w:val="005C4B71"/>
    <w:rsid w:val="005C5295"/>
    <w:rsid w:val="005C68F1"/>
    <w:rsid w:val="005D0790"/>
    <w:rsid w:val="005D124F"/>
    <w:rsid w:val="005D14B6"/>
    <w:rsid w:val="005D4811"/>
    <w:rsid w:val="005D734B"/>
    <w:rsid w:val="005F6DED"/>
    <w:rsid w:val="0060173F"/>
    <w:rsid w:val="00603106"/>
    <w:rsid w:val="006077C7"/>
    <w:rsid w:val="00607EC2"/>
    <w:rsid w:val="00610B90"/>
    <w:rsid w:val="006238B5"/>
    <w:rsid w:val="00627F58"/>
    <w:rsid w:val="00632BD3"/>
    <w:rsid w:val="00645DDC"/>
    <w:rsid w:val="00647B85"/>
    <w:rsid w:val="00651066"/>
    <w:rsid w:val="00652F95"/>
    <w:rsid w:val="0065433C"/>
    <w:rsid w:val="00657D28"/>
    <w:rsid w:val="006659D0"/>
    <w:rsid w:val="006666CE"/>
    <w:rsid w:val="00676102"/>
    <w:rsid w:val="0068224A"/>
    <w:rsid w:val="00685888"/>
    <w:rsid w:val="00686D62"/>
    <w:rsid w:val="006978AC"/>
    <w:rsid w:val="006A265C"/>
    <w:rsid w:val="006A37D1"/>
    <w:rsid w:val="006A4757"/>
    <w:rsid w:val="006A5EE1"/>
    <w:rsid w:val="006A6312"/>
    <w:rsid w:val="006A6AFE"/>
    <w:rsid w:val="006C100C"/>
    <w:rsid w:val="006C7357"/>
    <w:rsid w:val="006D01D9"/>
    <w:rsid w:val="006D5EB0"/>
    <w:rsid w:val="006D761B"/>
    <w:rsid w:val="006E5348"/>
    <w:rsid w:val="006E62E1"/>
    <w:rsid w:val="006E67F6"/>
    <w:rsid w:val="006E6BED"/>
    <w:rsid w:val="006F158A"/>
    <w:rsid w:val="006F1DC6"/>
    <w:rsid w:val="006F5C58"/>
    <w:rsid w:val="00701977"/>
    <w:rsid w:val="00710AE2"/>
    <w:rsid w:val="00712983"/>
    <w:rsid w:val="007134A7"/>
    <w:rsid w:val="0071463F"/>
    <w:rsid w:val="00714CAC"/>
    <w:rsid w:val="00720744"/>
    <w:rsid w:val="0072670F"/>
    <w:rsid w:val="00731F9A"/>
    <w:rsid w:val="007344FE"/>
    <w:rsid w:val="00734512"/>
    <w:rsid w:val="007404F1"/>
    <w:rsid w:val="00741E23"/>
    <w:rsid w:val="00745A8A"/>
    <w:rsid w:val="0074656C"/>
    <w:rsid w:val="00754DFE"/>
    <w:rsid w:val="0076323B"/>
    <w:rsid w:val="007662FC"/>
    <w:rsid w:val="0076695D"/>
    <w:rsid w:val="007752D7"/>
    <w:rsid w:val="00776AB0"/>
    <w:rsid w:val="007857A4"/>
    <w:rsid w:val="00785ADA"/>
    <w:rsid w:val="00786FF5"/>
    <w:rsid w:val="007907CC"/>
    <w:rsid w:val="007940EC"/>
    <w:rsid w:val="007A1A74"/>
    <w:rsid w:val="007A360D"/>
    <w:rsid w:val="007B107A"/>
    <w:rsid w:val="007B446D"/>
    <w:rsid w:val="007B6773"/>
    <w:rsid w:val="007C1C1C"/>
    <w:rsid w:val="007C6FD1"/>
    <w:rsid w:val="007C73B2"/>
    <w:rsid w:val="007C7738"/>
    <w:rsid w:val="007D0612"/>
    <w:rsid w:val="007D57FA"/>
    <w:rsid w:val="007D58CD"/>
    <w:rsid w:val="007E6D44"/>
    <w:rsid w:val="007E7CC5"/>
    <w:rsid w:val="007F3425"/>
    <w:rsid w:val="00802342"/>
    <w:rsid w:val="008031B4"/>
    <w:rsid w:val="008057BA"/>
    <w:rsid w:val="0080669C"/>
    <w:rsid w:val="00806D28"/>
    <w:rsid w:val="008150A0"/>
    <w:rsid w:val="00816521"/>
    <w:rsid w:val="00821B7B"/>
    <w:rsid w:val="00821F4C"/>
    <w:rsid w:val="00821FA1"/>
    <w:rsid w:val="008225B6"/>
    <w:rsid w:val="00823A1A"/>
    <w:rsid w:val="008249DD"/>
    <w:rsid w:val="00833784"/>
    <w:rsid w:val="00841B3F"/>
    <w:rsid w:val="00841CC2"/>
    <w:rsid w:val="008428BF"/>
    <w:rsid w:val="00843E6D"/>
    <w:rsid w:val="0084748C"/>
    <w:rsid w:val="00847B12"/>
    <w:rsid w:val="00852923"/>
    <w:rsid w:val="008530DB"/>
    <w:rsid w:val="008604BB"/>
    <w:rsid w:val="00860B2A"/>
    <w:rsid w:val="00861822"/>
    <w:rsid w:val="008657A0"/>
    <w:rsid w:val="00865FD2"/>
    <w:rsid w:val="00881351"/>
    <w:rsid w:val="00881655"/>
    <w:rsid w:val="00881B88"/>
    <w:rsid w:val="00882EB4"/>
    <w:rsid w:val="00883127"/>
    <w:rsid w:val="00884258"/>
    <w:rsid w:val="00892F50"/>
    <w:rsid w:val="00895AD0"/>
    <w:rsid w:val="00895F12"/>
    <w:rsid w:val="008A2BDA"/>
    <w:rsid w:val="008A50E7"/>
    <w:rsid w:val="008A76B5"/>
    <w:rsid w:val="008B0CDE"/>
    <w:rsid w:val="008B76B8"/>
    <w:rsid w:val="008B7A83"/>
    <w:rsid w:val="008B7E8D"/>
    <w:rsid w:val="008C12B0"/>
    <w:rsid w:val="008C1C8E"/>
    <w:rsid w:val="008C2D6C"/>
    <w:rsid w:val="008D1DE0"/>
    <w:rsid w:val="008D2F0D"/>
    <w:rsid w:val="008D3CD9"/>
    <w:rsid w:val="008D672C"/>
    <w:rsid w:val="008E3DAB"/>
    <w:rsid w:val="008E44A3"/>
    <w:rsid w:val="008E4A63"/>
    <w:rsid w:val="008E4D0B"/>
    <w:rsid w:val="008F1B0C"/>
    <w:rsid w:val="008F6BC5"/>
    <w:rsid w:val="008F7422"/>
    <w:rsid w:val="008F79BC"/>
    <w:rsid w:val="009004C8"/>
    <w:rsid w:val="0090253C"/>
    <w:rsid w:val="0090267C"/>
    <w:rsid w:val="009044B1"/>
    <w:rsid w:val="00905C25"/>
    <w:rsid w:val="00907D98"/>
    <w:rsid w:val="00913A05"/>
    <w:rsid w:val="00922DE5"/>
    <w:rsid w:val="0092406A"/>
    <w:rsid w:val="009255C9"/>
    <w:rsid w:val="0092773E"/>
    <w:rsid w:val="00932DF9"/>
    <w:rsid w:val="00943AF6"/>
    <w:rsid w:val="00945E14"/>
    <w:rsid w:val="009500E0"/>
    <w:rsid w:val="009540DA"/>
    <w:rsid w:val="00957BD2"/>
    <w:rsid w:val="009620D7"/>
    <w:rsid w:val="0096344B"/>
    <w:rsid w:val="009643F7"/>
    <w:rsid w:val="009647B8"/>
    <w:rsid w:val="009709B1"/>
    <w:rsid w:val="0097346B"/>
    <w:rsid w:val="00973990"/>
    <w:rsid w:val="00974904"/>
    <w:rsid w:val="00976D85"/>
    <w:rsid w:val="00984474"/>
    <w:rsid w:val="00985453"/>
    <w:rsid w:val="009912AF"/>
    <w:rsid w:val="009949A0"/>
    <w:rsid w:val="00994EE1"/>
    <w:rsid w:val="00995DF6"/>
    <w:rsid w:val="00997720"/>
    <w:rsid w:val="009A7D2A"/>
    <w:rsid w:val="009B43C1"/>
    <w:rsid w:val="009B4F20"/>
    <w:rsid w:val="009B7D26"/>
    <w:rsid w:val="009C03FF"/>
    <w:rsid w:val="009C0A25"/>
    <w:rsid w:val="009C1993"/>
    <w:rsid w:val="009C2F8E"/>
    <w:rsid w:val="009D04AE"/>
    <w:rsid w:val="009D10E5"/>
    <w:rsid w:val="009D2459"/>
    <w:rsid w:val="009D7D7F"/>
    <w:rsid w:val="009E1BEB"/>
    <w:rsid w:val="009E745E"/>
    <w:rsid w:val="009E7EF5"/>
    <w:rsid w:val="009F21CA"/>
    <w:rsid w:val="009F5244"/>
    <w:rsid w:val="009F7558"/>
    <w:rsid w:val="00A01B05"/>
    <w:rsid w:val="00A01CAE"/>
    <w:rsid w:val="00A03EBF"/>
    <w:rsid w:val="00A04537"/>
    <w:rsid w:val="00A04665"/>
    <w:rsid w:val="00A05CB6"/>
    <w:rsid w:val="00A1017F"/>
    <w:rsid w:val="00A10956"/>
    <w:rsid w:val="00A11370"/>
    <w:rsid w:val="00A11B54"/>
    <w:rsid w:val="00A160FE"/>
    <w:rsid w:val="00A17DB0"/>
    <w:rsid w:val="00A2038A"/>
    <w:rsid w:val="00A2708D"/>
    <w:rsid w:val="00A347F8"/>
    <w:rsid w:val="00A3636D"/>
    <w:rsid w:val="00A375AB"/>
    <w:rsid w:val="00A43502"/>
    <w:rsid w:val="00A448D6"/>
    <w:rsid w:val="00A45B0A"/>
    <w:rsid w:val="00A510B3"/>
    <w:rsid w:val="00A51A61"/>
    <w:rsid w:val="00A523B7"/>
    <w:rsid w:val="00A53858"/>
    <w:rsid w:val="00A558EF"/>
    <w:rsid w:val="00A61BF2"/>
    <w:rsid w:val="00A70C6D"/>
    <w:rsid w:val="00A7335F"/>
    <w:rsid w:val="00A74701"/>
    <w:rsid w:val="00A75B52"/>
    <w:rsid w:val="00A81116"/>
    <w:rsid w:val="00A817AC"/>
    <w:rsid w:val="00A8282B"/>
    <w:rsid w:val="00A86A6F"/>
    <w:rsid w:val="00A86DBC"/>
    <w:rsid w:val="00A96270"/>
    <w:rsid w:val="00AA187A"/>
    <w:rsid w:val="00AA77A0"/>
    <w:rsid w:val="00AA7D3E"/>
    <w:rsid w:val="00AB4EF5"/>
    <w:rsid w:val="00AC4EFA"/>
    <w:rsid w:val="00AC7B92"/>
    <w:rsid w:val="00AD4BB6"/>
    <w:rsid w:val="00AD572D"/>
    <w:rsid w:val="00AD6677"/>
    <w:rsid w:val="00AD7C6B"/>
    <w:rsid w:val="00AE244B"/>
    <w:rsid w:val="00AE3F04"/>
    <w:rsid w:val="00AF1F60"/>
    <w:rsid w:val="00AF7392"/>
    <w:rsid w:val="00AF740A"/>
    <w:rsid w:val="00AF7680"/>
    <w:rsid w:val="00B02211"/>
    <w:rsid w:val="00B0248E"/>
    <w:rsid w:val="00B10B2C"/>
    <w:rsid w:val="00B137C9"/>
    <w:rsid w:val="00B2458F"/>
    <w:rsid w:val="00B26F42"/>
    <w:rsid w:val="00B3458C"/>
    <w:rsid w:val="00B34D46"/>
    <w:rsid w:val="00B3684C"/>
    <w:rsid w:val="00B37312"/>
    <w:rsid w:val="00B3746C"/>
    <w:rsid w:val="00B37FA9"/>
    <w:rsid w:val="00B40441"/>
    <w:rsid w:val="00B414BB"/>
    <w:rsid w:val="00B44969"/>
    <w:rsid w:val="00B45187"/>
    <w:rsid w:val="00B62492"/>
    <w:rsid w:val="00B70838"/>
    <w:rsid w:val="00B71BBE"/>
    <w:rsid w:val="00B76487"/>
    <w:rsid w:val="00B7758C"/>
    <w:rsid w:val="00B81639"/>
    <w:rsid w:val="00B817F3"/>
    <w:rsid w:val="00B84AB8"/>
    <w:rsid w:val="00B86FBD"/>
    <w:rsid w:val="00B91DE3"/>
    <w:rsid w:val="00BA4CB5"/>
    <w:rsid w:val="00BB0720"/>
    <w:rsid w:val="00BB34CA"/>
    <w:rsid w:val="00BB46A6"/>
    <w:rsid w:val="00BB4A68"/>
    <w:rsid w:val="00BB5316"/>
    <w:rsid w:val="00BB69B5"/>
    <w:rsid w:val="00BC00A4"/>
    <w:rsid w:val="00BC0ECC"/>
    <w:rsid w:val="00BC4B9A"/>
    <w:rsid w:val="00BC4FEA"/>
    <w:rsid w:val="00BC5732"/>
    <w:rsid w:val="00BD0E38"/>
    <w:rsid w:val="00BD1BCF"/>
    <w:rsid w:val="00BD3B9B"/>
    <w:rsid w:val="00BD7201"/>
    <w:rsid w:val="00BE0FFB"/>
    <w:rsid w:val="00BE3BCF"/>
    <w:rsid w:val="00BE3F13"/>
    <w:rsid w:val="00BE4430"/>
    <w:rsid w:val="00BF4E0D"/>
    <w:rsid w:val="00BF7FDB"/>
    <w:rsid w:val="00C023E3"/>
    <w:rsid w:val="00C053A5"/>
    <w:rsid w:val="00C06232"/>
    <w:rsid w:val="00C1019B"/>
    <w:rsid w:val="00C10E0B"/>
    <w:rsid w:val="00C13358"/>
    <w:rsid w:val="00C13A47"/>
    <w:rsid w:val="00C148C0"/>
    <w:rsid w:val="00C16B1F"/>
    <w:rsid w:val="00C2472F"/>
    <w:rsid w:val="00C30B71"/>
    <w:rsid w:val="00C32F84"/>
    <w:rsid w:val="00C33FCA"/>
    <w:rsid w:val="00C361A3"/>
    <w:rsid w:val="00C36470"/>
    <w:rsid w:val="00C37DEA"/>
    <w:rsid w:val="00C447D6"/>
    <w:rsid w:val="00C47E03"/>
    <w:rsid w:val="00C50CD7"/>
    <w:rsid w:val="00C512E2"/>
    <w:rsid w:val="00C52B46"/>
    <w:rsid w:val="00C53377"/>
    <w:rsid w:val="00C5338E"/>
    <w:rsid w:val="00C53BE2"/>
    <w:rsid w:val="00C74294"/>
    <w:rsid w:val="00C75610"/>
    <w:rsid w:val="00C76337"/>
    <w:rsid w:val="00C76D7B"/>
    <w:rsid w:val="00C849C5"/>
    <w:rsid w:val="00C87288"/>
    <w:rsid w:val="00C873AB"/>
    <w:rsid w:val="00C928FD"/>
    <w:rsid w:val="00C93AF0"/>
    <w:rsid w:val="00C94452"/>
    <w:rsid w:val="00C94DD6"/>
    <w:rsid w:val="00C96726"/>
    <w:rsid w:val="00CA1C53"/>
    <w:rsid w:val="00CA3719"/>
    <w:rsid w:val="00CA50C8"/>
    <w:rsid w:val="00CA5A49"/>
    <w:rsid w:val="00CB0071"/>
    <w:rsid w:val="00CB10D2"/>
    <w:rsid w:val="00CB2C41"/>
    <w:rsid w:val="00CB5B61"/>
    <w:rsid w:val="00CB63E3"/>
    <w:rsid w:val="00CC2980"/>
    <w:rsid w:val="00CC2F1A"/>
    <w:rsid w:val="00CD6053"/>
    <w:rsid w:val="00CD6056"/>
    <w:rsid w:val="00CE20F3"/>
    <w:rsid w:val="00CE5E54"/>
    <w:rsid w:val="00D02B14"/>
    <w:rsid w:val="00D03A49"/>
    <w:rsid w:val="00D04CDF"/>
    <w:rsid w:val="00D071D0"/>
    <w:rsid w:val="00D12788"/>
    <w:rsid w:val="00D14B99"/>
    <w:rsid w:val="00D15DE3"/>
    <w:rsid w:val="00D16D11"/>
    <w:rsid w:val="00D17ED8"/>
    <w:rsid w:val="00D204B9"/>
    <w:rsid w:val="00D21F8E"/>
    <w:rsid w:val="00D24315"/>
    <w:rsid w:val="00D2644E"/>
    <w:rsid w:val="00D30168"/>
    <w:rsid w:val="00D30579"/>
    <w:rsid w:val="00D30F04"/>
    <w:rsid w:val="00D314C2"/>
    <w:rsid w:val="00D33DD2"/>
    <w:rsid w:val="00D343FC"/>
    <w:rsid w:val="00D373D5"/>
    <w:rsid w:val="00D40C33"/>
    <w:rsid w:val="00D44B25"/>
    <w:rsid w:val="00D577BC"/>
    <w:rsid w:val="00D647C4"/>
    <w:rsid w:val="00D64A19"/>
    <w:rsid w:val="00D70490"/>
    <w:rsid w:val="00D71BFB"/>
    <w:rsid w:val="00D73A19"/>
    <w:rsid w:val="00D75C97"/>
    <w:rsid w:val="00D77B1F"/>
    <w:rsid w:val="00D83D08"/>
    <w:rsid w:val="00D84054"/>
    <w:rsid w:val="00D86DF0"/>
    <w:rsid w:val="00D87F99"/>
    <w:rsid w:val="00DA5E95"/>
    <w:rsid w:val="00DA6358"/>
    <w:rsid w:val="00DB14F9"/>
    <w:rsid w:val="00DB4FED"/>
    <w:rsid w:val="00DB7E9B"/>
    <w:rsid w:val="00DC06F4"/>
    <w:rsid w:val="00DC10B3"/>
    <w:rsid w:val="00DC32E9"/>
    <w:rsid w:val="00DC4B7E"/>
    <w:rsid w:val="00DC53A8"/>
    <w:rsid w:val="00DD2BC6"/>
    <w:rsid w:val="00DD2E67"/>
    <w:rsid w:val="00DD56FD"/>
    <w:rsid w:val="00DE0A98"/>
    <w:rsid w:val="00DE2653"/>
    <w:rsid w:val="00DE4623"/>
    <w:rsid w:val="00DE6417"/>
    <w:rsid w:val="00DF339C"/>
    <w:rsid w:val="00DF6614"/>
    <w:rsid w:val="00E00645"/>
    <w:rsid w:val="00E03232"/>
    <w:rsid w:val="00E03F69"/>
    <w:rsid w:val="00E04EDB"/>
    <w:rsid w:val="00E137E5"/>
    <w:rsid w:val="00E138E1"/>
    <w:rsid w:val="00E13EA9"/>
    <w:rsid w:val="00E14FE6"/>
    <w:rsid w:val="00E16C98"/>
    <w:rsid w:val="00E173E7"/>
    <w:rsid w:val="00E240FC"/>
    <w:rsid w:val="00E26C7D"/>
    <w:rsid w:val="00E2705B"/>
    <w:rsid w:val="00E3217D"/>
    <w:rsid w:val="00E3477F"/>
    <w:rsid w:val="00E34B14"/>
    <w:rsid w:val="00E42EAD"/>
    <w:rsid w:val="00E43706"/>
    <w:rsid w:val="00E44086"/>
    <w:rsid w:val="00E44BA8"/>
    <w:rsid w:val="00E51684"/>
    <w:rsid w:val="00E54497"/>
    <w:rsid w:val="00E563C9"/>
    <w:rsid w:val="00E56E79"/>
    <w:rsid w:val="00E602EC"/>
    <w:rsid w:val="00E61285"/>
    <w:rsid w:val="00E64111"/>
    <w:rsid w:val="00E7007A"/>
    <w:rsid w:val="00E72644"/>
    <w:rsid w:val="00E73C7C"/>
    <w:rsid w:val="00E76F22"/>
    <w:rsid w:val="00E7764E"/>
    <w:rsid w:val="00E81A4D"/>
    <w:rsid w:val="00E81F94"/>
    <w:rsid w:val="00E84085"/>
    <w:rsid w:val="00E90AC7"/>
    <w:rsid w:val="00E93537"/>
    <w:rsid w:val="00EA7306"/>
    <w:rsid w:val="00EB0B07"/>
    <w:rsid w:val="00EB10BD"/>
    <w:rsid w:val="00EB2863"/>
    <w:rsid w:val="00EB48E9"/>
    <w:rsid w:val="00EC3359"/>
    <w:rsid w:val="00EC6395"/>
    <w:rsid w:val="00ED0325"/>
    <w:rsid w:val="00ED2858"/>
    <w:rsid w:val="00ED5419"/>
    <w:rsid w:val="00ED54EF"/>
    <w:rsid w:val="00EE2D1A"/>
    <w:rsid w:val="00EE6455"/>
    <w:rsid w:val="00EE70FC"/>
    <w:rsid w:val="00EF0FDF"/>
    <w:rsid w:val="00EF1BB4"/>
    <w:rsid w:val="00EF5545"/>
    <w:rsid w:val="00F01225"/>
    <w:rsid w:val="00F02F56"/>
    <w:rsid w:val="00F032B0"/>
    <w:rsid w:val="00F0574B"/>
    <w:rsid w:val="00F1220B"/>
    <w:rsid w:val="00F12341"/>
    <w:rsid w:val="00F12AE9"/>
    <w:rsid w:val="00F1395F"/>
    <w:rsid w:val="00F210C7"/>
    <w:rsid w:val="00F2122C"/>
    <w:rsid w:val="00F267E7"/>
    <w:rsid w:val="00F351B7"/>
    <w:rsid w:val="00F40133"/>
    <w:rsid w:val="00F42185"/>
    <w:rsid w:val="00F46EED"/>
    <w:rsid w:val="00F4743F"/>
    <w:rsid w:val="00F5091C"/>
    <w:rsid w:val="00F646AC"/>
    <w:rsid w:val="00F67C15"/>
    <w:rsid w:val="00F70165"/>
    <w:rsid w:val="00F71EA4"/>
    <w:rsid w:val="00F72B39"/>
    <w:rsid w:val="00F73188"/>
    <w:rsid w:val="00F80BF3"/>
    <w:rsid w:val="00F81912"/>
    <w:rsid w:val="00F83FAA"/>
    <w:rsid w:val="00F84085"/>
    <w:rsid w:val="00F86587"/>
    <w:rsid w:val="00FA232F"/>
    <w:rsid w:val="00FA2478"/>
    <w:rsid w:val="00FA2FFE"/>
    <w:rsid w:val="00FA45A5"/>
    <w:rsid w:val="00FA4665"/>
    <w:rsid w:val="00FA7D51"/>
    <w:rsid w:val="00FB104A"/>
    <w:rsid w:val="00FB311C"/>
    <w:rsid w:val="00FC1F4A"/>
    <w:rsid w:val="00FC557C"/>
    <w:rsid w:val="00FC5841"/>
    <w:rsid w:val="00FD58F2"/>
    <w:rsid w:val="00FD69BD"/>
    <w:rsid w:val="00FD6CA5"/>
    <w:rsid w:val="00FD749E"/>
    <w:rsid w:val="00FE754A"/>
    <w:rsid w:val="00FF091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912B28"/>
  <w15:docId w15:val="{AA203805-EDF5-40BB-A823-D1AE56FBB3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3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3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Bullet" w:semiHidden="1" w:uiPriority="5"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6" w:unhideWhenUsed="1" w:qFormat="1"/>
    <w:lsdException w:name="List Bullet 3" w:semiHidden="1" w:uiPriority="6" w:unhideWhenUsed="1" w:qFormat="1"/>
    <w:lsdException w:name="List Bullet 4" w:semiHidden="1" w:unhideWhenUsed="1"/>
    <w:lsdException w:name="List Bullet 5" w:semiHidden="1" w:unhideWhenUsed="1"/>
    <w:lsdException w:name="List Number 2" w:semiHidden="1" w:uiPriority="2" w:unhideWhenUsed="1" w:qFormat="1"/>
    <w:lsdException w:name="List Number 3" w:semiHidden="1" w:uiPriority="2" w:unhideWhenUsed="1"/>
    <w:lsdException w:name="List Number 4" w:unhideWhenUsed="1"/>
    <w:lsdException w:name="List Number 5"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qFormat="1"/>
    <w:lsdException w:name="List Continue 2" w:semiHidden="1" w:unhideWhenUsed="1"/>
    <w:lsdException w:name="Message Header" w:semiHidden="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iPriority="39" w:unhideWhenUsed="1"/>
    <w:lsdException w:name="Plain Text" w:semiHidden="1" w:uiPriority="3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3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3"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semiHidden="1"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16C98"/>
    <w:pPr>
      <w:spacing w:before="120" w:after="120" w:line="276" w:lineRule="auto"/>
    </w:pPr>
    <w:rPr>
      <w:rFonts w:ascii="Arial" w:hAnsi="Arial"/>
      <w:sz w:val="19"/>
    </w:rPr>
  </w:style>
  <w:style w:type="paragraph" w:styleId="Heading1">
    <w:name w:val="heading 1"/>
    <w:basedOn w:val="Normal"/>
    <w:next w:val="BodyText"/>
    <w:link w:val="Heading1Char"/>
    <w:qFormat/>
    <w:rsid w:val="00243C9A"/>
    <w:pPr>
      <w:keepNext/>
      <w:keepLines/>
      <w:pageBreakBefore/>
      <w:numPr>
        <w:numId w:val="7"/>
      </w:numPr>
      <w:spacing w:after="960"/>
      <w:ind w:left="0" w:firstLine="0"/>
      <w:outlineLvl w:val="0"/>
    </w:pPr>
    <w:rPr>
      <w:rFonts w:eastAsia="Times New Roman" w:cs="Times New Roman"/>
      <w:color w:val="004F9E"/>
      <w:kern w:val="32"/>
      <w:sz w:val="60"/>
      <w:szCs w:val="48"/>
      <w:lang w:eastAsia="fr-CA"/>
    </w:rPr>
  </w:style>
  <w:style w:type="paragraph" w:styleId="Heading2">
    <w:name w:val="heading 2"/>
    <w:basedOn w:val="Normal"/>
    <w:next w:val="BodyText"/>
    <w:link w:val="Heading2Char"/>
    <w:qFormat/>
    <w:rsid w:val="00E03232"/>
    <w:pPr>
      <w:keepNext/>
      <w:keepLines/>
      <w:numPr>
        <w:ilvl w:val="1"/>
        <w:numId w:val="7"/>
      </w:numPr>
      <w:pBdr>
        <w:between w:val="single" w:sz="4" w:space="9" w:color="D7D8D6" w:themeColor="accent1"/>
      </w:pBdr>
      <w:spacing w:before="240"/>
      <w:outlineLvl w:val="1"/>
    </w:pPr>
    <w:rPr>
      <w:rFonts w:eastAsia="Times New Roman" w:cs="Times New Roman"/>
      <w:color w:val="004F9E"/>
      <w:sz w:val="32"/>
      <w:szCs w:val="24"/>
      <w:lang w:eastAsia="fr-CA"/>
    </w:rPr>
  </w:style>
  <w:style w:type="paragraph" w:styleId="Heading3">
    <w:name w:val="heading 3"/>
    <w:basedOn w:val="Normal"/>
    <w:next w:val="BodyText"/>
    <w:link w:val="Heading3Char"/>
    <w:qFormat/>
    <w:rsid w:val="00E03232"/>
    <w:pPr>
      <w:keepNext/>
      <w:keepLines/>
      <w:numPr>
        <w:ilvl w:val="2"/>
        <w:numId w:val="7"/>
      </w:numPr>
      <w:spacing w:before="240"/>
      <w:outlineLvl w:val="2"/>
    </w:pPr>
    <w:rPr>
      <w:rFonts w:eastAsiaTheme="majorEastAsia" w:cs="Arial"/>
      <w:bCs/>
      <w:color w:val="004F9E"/>
      <w:sz w:val="24"/>
      <w:szCs w:val="24"/>
      <w:lang w:eastAsia="fr-CA"/>
    </w:rPr>
  </w:style>
  <w:style w:type="paragraph" w:styleId="Heading4">
    <w:name w:val="heading 4"/>
    <w:basedOn w:val="Normal"/>
    <w:next w:val="BodyText"/>
    <w:link w:val="Heading4Char"/>
    <w:qFormat/>
    <w:rsid w:val="00E03232"/>
    <w:pPr>
      <w:keepNext/>
      <w:keepLines/>
      <w:spacing w:before="200" w:after="60"/>
      <w:outlineLvl w:val="3"/>
    </w:pPr>
    <w:rPr>
      <w:rFonts w:ascii="Arial Bold" w:eastAsiaTheme="minorEastAsia" w:hAnsi="Arial Bold" w:cs="Arial"/>
      <w:b/>
      <w:bCs/>
      <w:color w:val="004F9E"/>
      <w:szCs w:val="20"/>
      <w:lang w:eastAsia="fr-CA"/>
    </w:rPr>
  </w:style>
  <w:style w:type="paragraph" w:styleId="Heading5">
    <w:name w:val="heading 5"/>
    <w:basedOn w:val="Normal"/>
    <w:next w:val="BodyText"/>
    <w:link w:val="Heading5Char"/>
    <w:qFormat/>
    <w:rsid w:val="00E03232"/>
    <w:pPr>
      <w:keepNext/>
      <w:keepLines/>
      <w:spacing w:before="200" w:after="60"/>
      <w:ind w:right="896"/>
      <w:outlineLvl w:val="4"/>
    </w:pPr>
    <w:rPr>
      <w:rFonts w:eastAsia="Times New Roman" w:cs="Times New Roman"/>
      <w:i/>
      <w:color w:val="004F9E"/>
      <w:szCs w:val="24"/>
      <w:lang w:eastAsia="fr-CA"/>
    </w:rPr>
  </w:style>
  <w:style w:type="paragraph" w:styleId="Heading6">
    <w:name w:val="heading 6"/>
    <w:basedOn w:val="Normal"/>
    <w:next w:val="Normal"/>
    <w:link w:val="Heading6Char"/>
    <w:qFormat/>
    <w:rsid w:val="009E745E"/>
    <w:pPr>
      <w:keepNext/>
      <w:keepLines/>
      <w:spacing w:before="40" w:after="0"/>
      <w:outlineLvl w:val="5"/>
    </w:pPr>
    <w:rPr>
      <w:rFonts w:asciiTheme="majorHAnsi" w:eastAsiaTheme="majorEastAsia" w:hAnsiTheme="majorHAnsi" w:cstheme="majorBidi"/>
      <w:color w:val="6A6D68" w:themeColor="accent1" w:themeShade="7F"/>
    </w:rPr>
  </w:style>
  <w:style w:type="paragraph" w:styleId="Heading7">
    <w:name w:val="heading 7"/>
    <w:basedOn w:val="Normal"/>
    <w:next w:val="Normal"/>
    <w:link w:val="Heading7Char"/>
    <w:unhideWhenUsed/>
    <w:qFormat/>
    <w:rsid w:val="0072670F"/>
    <w:pPr>
      <w:keepNext/>
      <w:keepLines/>
      <w:spacing w:before="40" w:after="0"/>
      <w:outlineLvl w:val="6"/>
    </w:pPr>
    <w:rPr>
      <w:rFonts w:asciiTheme="majorHAnsi" w:eastAsiaTheme="majorEastAsia" w:hAnsiTheme="majorHAnsi" w:cstheme="majorBidi"/>
      <w:i/>
      <w:iCs/>
      <w:color w:val="6A6D68" w:themeColor="accent1" w:themeShade="7F"/>
    </w:rPr>
  </w:style>
  <w:style w:type="paragraph" w:styleId="Heading8">
    <w:name w:val="heading 8"/>
    <w:aliases w:val="Appendix Title"/>
    <w:basedOn w:val="Normal"/>
    <w:next w:val="Normal"/>
    <w:link w:val="Heading8Char"/>
    <w:unhideWhenUsed/>
    <w:qFormat/>
    <w:rsid w:val="0072670F"/>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aliases w:val="Appendix Heading 1"/>
    <w:basedOn w:val="Normal"/>
    <w:next w:val="Normal"/>
    <w:link w:val="Heading9Char"/>
    <w:unhideWhenUsed/>
    <w:qFormat/>
    <w:rsid w:val="0072670F"/>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253F72"/>
    <w:pPr>
      <w:spacing w:line="860" w:lineRule="exact"/>
      <w:ind w:left="437" w:right="-188"/>
      <w:jc w:val="right"/>
    </w:pPr>
    <w:rPr>
      <w:rFonts w:asciiTheme="majorHAnsi" w:eastAsiaTheme="majorEastAsia" w:hAnsiTheme="majorHAnsi" w:cstheme="majorBidi"/>
      <w:b/>
      <w:color w:val="FFFFFF" w:themeColor="background1"/>
      <w:kern w:val="28"/>
      <w:sz w:val="80"/>
      <w:szCs w:val="80"/>
    </w:rPr>
  </w:style>
  <w:style w:type="character" w:customStyle="1" w:styleId="TitleChar">
    <w:name w:val="Title Char"/>
    <w:basedOn w:val="DefaultParagraphFont"/>
    <w:link w:val="Title"/>
    <w:uiPriority w:val="10"/>
    <w:rsid w:val="00253F72"/>
    <w:rPr>
      <w:rFonts w:asciiTheme="majorHAnsi" w:eastAsiaTheme="majorEastAsia" w:hAnsiTheme="majorHAnsi" w:cstheme="majorBidi"/>
      <w:b/>
      <w:color w:val="FFFFFF" w:themeColor="background1"/>
      <w:kern w:val="28"/>
      <w:sz w:val="80"/>
      <w:szCs w:val="80"/>
    </w:rPr>
  </w:style>
  <w:style w:type="paragraph" w:styleId="Subtitle">
    <w:name w:val="Subtitle"/>
    <w:basedOn w:val="Title"/>
    <w:next w:val="Normal"/>
    <w:link w:val="SubtitleChar"/>
    <w:uiPriority w:val="11"/>
    <w:qFormat/>
    <w:rsid w:val="00CA3719"/>
    <w:pPr>
      <w:spacing w:line="240" w:lineRule="auto"/>
      <w:ind w:left="516"/>
    </w:pPr>
    <w:rPr>
      <w:b w:val="0"/>
      <w:caps/>
      <w:sz w:val="30"/>
      <w:szCs w:val="30"/>
    </w:rPr>
  </w:style>
  <w:style w:type="character" w:customStyle="1" w:styleId="SubtitleChar">
    <w:name w:val="Subtitle Char"/>
    <w:basedOn w:val="DefaultParagraphFont"/>
    <w:link w:val="Subtitle"/>
    <w:uiPriority w:val="11"/>
    <w:rsid w:val="00CA3719"/>
    <w:rPr>
      <w:rFonts w:asciiTheme="majorHAnsi" w:eastAsiaTheme="majorEastAsia" w:hAnsiTheme="majorHAnsi" w:cstheme="majorBidi"/>
      <w:caps/>
      <w:color w:val="FFFFFF" w:themeColor="background1"/>
      <w:kern w:val="28"/>
      <w:sz w:val="30"/>
      <w:szCs w:val="30"/>
    </w:rPr>
  </w:style>
  <w:style w:type="character" w:customStyle="1" w:styleId="Heading1Char">
    <w:name w:val="Heading 1 Char"/>
    <w:basedOn w:val="DefaultParagraphFont"/>
    <w:link w:val="Heading1"/>
    <w:rsid w:val="00243C9A"/>
    <w:rPr>
      <w:rFonts w:ascii="Arial" w:eastAsia="Times New Roman" w:hAnsi="Arial" w:cs="Times New Roman"/>
      <w:color w:val="004F9E"/>
      <w:kern w:val="32"/>
      <w:sz w:val="60"/>
      <w:szCs w:val="48"/>
      <w:lang w:eastAsia="fr-CA"/>
    </w:rPr>
  </w:style>
  <w:style w:type="character" w:customStyle="1" w:styleId="Heading2Char">
    <w:name w:val="Heading 2 Char"/>
    <w:basedOn w:val="DefaultParagraphFont"/>
    <w:link w:val="Heading2"/>
    <w:rsid w:val="00E03232"/>
    <w:rPr>
      <w:rFonts w:ascii="Arial" w:eastAsia="Times New Roman" w:hAnsi="Arial" w:cs="Times New Roman"/>
      <w:color w:val="004F9E"/>
      <w:sz w:val="32"/>
      <w:szCs w:val="24"/>
      <w:lang w:eastAsia="fr-CA"/>
    </w:rPr>
  </w:style>
  <w:style w:type="character" w:customStyle="1" w:styleId="Heading3Char">
    <w:name w:val="Heading 3 Char"/>
    <w:link w:val="Heading3"/>
    <w:rsid w:val="00E03232"/>
    <w:rPr>
      <w:rFonts w:ascii="Arial" w:eastAsiaTheme="majorEastAsia" w:hAnsi="Arial" w:cs="Arial"/>
      <w:bCs/>
      <w:color w:val="004F9E"/>
      <w:sz w:val="24"/>
      <w:szCs w:val="24"/>
      <w:lang w:eastAsia="fr-CA"/>
    </w:rPr>
  </w:style>
  <w:style w:type="character" w:customStyle="1" w:styleId="Heading4Char">
    <w:name w:val="Heading 4 Char"/>
    <w:basedOn w:val="DefaultParagraphFont"/>
    <w:link w:val="Heading4"/>
    <w:rsid w:val="00E03232"/>
    <w:rPr>
      <w:rFonts w:ascii="Arial Bold" w:eastAsiaTheme="minorEastAsia" w:hAnsi="Arial Bold" w:cs="Arial"/>
      <w:b/>
      <w:bCs/>
      <w:color w:val="004F9E"/>
      <w:sz w:val="19"/>
      <w:szCs w:val="20"/>
      <w:lang w:eastAsia="fr-CA"/>
    </w:rPr>
  </w:style>
  <w:style w:type="character" w:customStyle="1" w:styleId="Heading5Char">
    <w:name w:val="Heading 5 Char"/>
    <w:basedOn w:val="DefaultParagraphFont"/>
    <w:link w:val="Heading5"/>
    <w:rsid w:val="00E03232"/>
    <w:rPr>
      <w:rFonts w:ascii="Arial" w:eastAsia="Times New Roman" w:hAnsi="Arial" w:cs="Times New Roman"/>
      <w:i/>
      <w:color w:val="004F9E"/>
      <w:sz w:val="19"/>
      <w:szCs w:val="24"/>
      <w:lang w:eastAsia="fr-CA"/>
    </w:rPr>
  </w:style>
  <w:style w:type="paragraph" w:styleId="ListParagraph">
    <w:name w:val="List Paragraph"/>
    <w:basedOn w:val="Normal"/>
    <w:uiPriority w:val="34"/>
    <w:qFormat/>
    <w:rsid w:val="00DE0A98"/>
    <w:pPr>
      <w:ind w:left="720"/>
      <w:contextualSpacing/>
    </w:pPr>
  </w:style>
  <w:style w:type="paragraph" w:styleId="ListBullet">
    <w:name w:val="List Bullet"/>
    <w:aliases w:val="lb"/>
    <w:basedOn w:val="Normal"/>
    <w:uiPriority w:val="5"/>
    <w:qFormat/>
    <w:rsid w:val="00E03232"/>
    <w:pPr>
      <w:numPr>
        <w:numId w:val="6"/>
      </w:numPr>
    </w:pPr>
  </w:style>
  <w:style w:type="paragraph" w:styleId="ListBullet2">
    <w:name w:val="List Bullet 2"/>
    <w:aliases w:val="lb2"/>
    <w:basedOn w:val="Normal"/>
    <w:uiPriority w:val="6"/>
    <w:qFormat/>
    <w:rsid w:val="00E03232"/>
    <w:pPr>
      <w:numPr>
        <w:ilvl w:val="1"/>
        <w:numId w:val="6"/>
      </w:numPr>
      <w:ind w:left="568" w:hanging="284"/>
    </w:pPr>
  </w:style>
  <w:style w:type="paragraph" w:styleId="ListBullet3">
    <w:name w:val="List Bullet 3"/>
    <w:aliases w:val="lb3"/>
    <w:basedOn w:val="Normal"/>
    <w:uiPriority w:val="6"/>
    <w:qFormat/>
    <w:rsid w:val="00E03232"/>
    <w:pPr>
      <w:numPr>
        <w:ilvl w:val="2"/>
        <w:numId w:val="6"/>
      </w:numPr>
    </w:pPr>
  </w:style>
  <w:style w:type="paragraph" w:styleId="ListBullet4">
    <w:name w:val="List Bullet 4"/>
    <w:basedOn w:val="Normal"/>
    <w:rsid w:val="00D14B99"/>
    <w:pPr>
      <w:numPr>
        <w:ilvl w:val="3"/>
        <w:numId w:val="6"/>
      </w:numPr>
      <w:spacing w:after="160"/>
      <w:contextualSpacing/>
    </w:pPr>
  </w:style>
  <w:style w:type="paragraph" w:styleId="ListBullet5">
    <w:name w:val="List Bullet 5"/>
    <w:basedOn w:val="Normal"/>
    <w:rsid w:val="00D14B99"/>
    <w:pPr>
      <w:numPr>
        <w:ilvl w:val="4"/>
        <w:numId w:val="6"/>
      </w:numPr>
      <w:spacing w:after="160"/>
      <w:contextualSpacing/>
    </w:pPr>
  </w:style>
  <w:style w:type="paragraph" w:styleId="ListContinue">
    <w:name w:val="List Continue"/>
    <w:basedOn w:val="Normal"/>
    <w:qFormat/>
    <w:rsid w:val="00DE0A98"/>
    <w:pPr>
      <w:ind w:left="283"/>
      <w:contextualSpacing/>
    </w:pPr>
  </w:style>
  <w:style w:type="paragraph" w:styleId="ListContinue2">
    <w:name w:val="List Continue 2"/>
    <w:basedOn w:val="Normal"/>
    <w:rsid w:val="00DE0A98"/>
    <w:pPr>
      <w:ind w:left="566"/>
      <w:contextualSpacing/>
    </w:pPr>
  </w:style>
  <w:style w:type="paragraph" w:styleId="ListNumber">
    <w:name w:val="List Number"/>
    <w:basedOn w:val="Normal"/>
    <w:uiPriority w:val="7"/>
    <w:qFormat/>
    <w:rsid w:val="00E03232"/>
    <w:pPr>
      <w:numPr>
        <w:numId w:val="5"/>
      </w:numPr>
      <w:tabs>
        <w:tab w:val="clear" w:pos="360"/>
        <w:tab w:val="num" w:pos="284"/>
      </w:tabs>
    </w:pPr>
    <w:rPr>
      <w:lang w:eastAsia="fr-CA"/>
    </w:rPr>
  </w:style>
  <w:style w:type="paragraph" w:styleId="ListNumber2">
    <w:name w:val="List Number 2"/>
    <w:basedOn w:val="Normal"/>
    <w:uiPriority w:val="2"/>
    <w:qFormat/>
    <w:rsid w:val="00E03232"/>
    <w:pPr>
      <w:numPr>
        <w:ilvl w:val="1"/>
        <w:numId w:val="5"/>
      </w:numPr>
      <w:ind w:left="568" w:hanging="284"/>
    </w:pPr>
  </w:style>
  <w:style w:type="paragraph" w:styleId="ListNumber3">
    <w:name w:val="List Number 3"/>
    <w:basedOn w:val="Normal"/>
    <w:uiPriority w:val="2"/>
    <w:rsid w:val="00E03232"/>
    <w:pPr>
      <w:numPr>
        <w:ilvl w:val="2"/>
        <w:numId w:val="5"/>
      </w:numPr>
    </w:pPr>
  </w:style>
  <w:style w:type="character" w:styleId="IntenseEmphasis">
    <w:name w:val="Intense Emphasis"/>
    <w:basedOn w:val="DefaultParagraphFont"/>
    <w:uiPriority w:val="21"/>
    <w:qFormat/>
    <w:rsid w:val="003C2EF1"/>
    <w:rPr>
      <w:i/>
      <w:iCs/>
      <w:color w:val="auto"/>
    </w:rPr>
  </w:style>
  <w:style w:type="character" w:styleId="Strong">
    <w:name w:val="Strong"/>
    <w:basedOn w:val="DefaultParagraphFont"/>
    <w:uiPriority w:val="22"/>
    <w:qFormat/>
    <w:rsid w:val="003C2EF1"/>
    <w:rPr>
      <w:b/>
      <w:bCs/>
    </w:rPr>
  </w:style>
  <w:style w:type="paragraph" w:styleId="IntenseQuote">
    <w:name w:val="Intense Quote"/>
    <w:basedOn w:val="Normal"/>
    <w:next w:val="Normal"/>
    <w:link w:val="IntenseQuoteChar"/>
    <w:uiPriority w:val="30"/>
    <w:qFormat/>
    <w:rsid w:val="005C4B71"/>
    <w:pPr>
      <w:pBdr>
        <w:top w:val="single" w:sz="4" w:space="10" w:color="D7D8D6" w:themeColor="accent1"/>
        <w:bottom w:val="single" w:sz="4" w:space="10" w:color="D7D8D6" w:themeColor="accent1"/>
      </w:pBdr>
      <w:spacing w:before="360" w:after="360"/>
      <w:ind w:right="864"/>
    </w:pPr>
    <w:rPr>
      <w:i/>
      <w:iCs/>
      <w:color w:val="D7D8D6" w:themeColor="accent1"/>
    </w:rPr>
  </w:style>
  <w:style w:type="character" w:customStyle="1" w:styleId="IntenseQuoteChar">
    <w:name w:val="Intense Quote Char"/>
    <w:basedOn w:val="DefaultParagraphFont"/>
    <w:link w:val="IntenseQuote"/>
    <w:uiPriority w:val="30"/>
    <w:rsid w:val="00443834"/>
    <w:rPr>
      <w:i/>
      <w:iCs/>
      <w:color w:val="D7D8D6" w:themeColor="accent1"/>
      <w:sz w:val="19"/>
    </w:rPr>
  </w:style>
  <w:style w:type="paragraph" w:styleId="NoSpacing">
    <w:name w:val="No Spacing"/>
    <w:uiPriority w:val="1"/>
    <w:qFormat/>
    <w:rsid w:val="005C4B71"/>
    <w:pPr>
      <w:spacing w:after="0" w:line="240" w:lineRule="auto"/>
    </w:pPr>
    <w:rPr>
      <w:sz w:val="19"/>
    </w:rPr>
  </w:style>
  <w:style w:type="paragraph" w:styleId="BodyText">
    <w:name w:val="Body Text"/>
    <w:basedOn w:val="Normal"/>
    <w:next w:val="Normal"/>
    <w:link w:val="BodyTextChar"/>
    <w:qFormat/>
    <w:rsid w:val="00E137E5"/>
  </w:style>
  <w:style w:type="character" w:customStyle="1" w:styleId="BodyTextChar">
    <w:name w:val="Body Text Char"/>
    <w:basedOn w:val="DefaultParagraphFont"/>
    <w:link w:val="BodyText"/>
    <w:rsid w:val="00E137E5"/>
    <w:rPr>
      <w:rFonts w:ascii="Arial" w:hAnsi="Arial"/>
      <w:sz w:val="19"/>
    </w:rPr>
  </w:style>
  <w:style w:type="paragraph" w:styleId="BodyTextFirstIndent">
    <w:name w:val="Body Text First Indent"/>
    <w:basedOn w:val="BodyText"/>
    <w:link w:val="BodyTextFirstIndentChar"/>
    <w:rsid w:val="00734512"/>
    <w:pPr>
      <w:ind w:firstLine="360"/>
    </w:pPr>
  </w:style>
  <w:style w:type="character" w:customStyle="1" w:styleId="BodyTextFirstIndentChar">
    <w:name w:val="Body Text First Indent Char"/>
    <w:basedOn w:val="BodyTextChar"/>
    <w:link w:val="BodyTextFirstIndent"/>
    <w:rsid w:val="00443834"/>
    <w:rPr>
      <w:rFonts w:ascii="Arial" w:hAnsi="Arial"/>
      <w:sz w:val="19"/>
    </w:rPr>
  </w:style>
  <w:style w:type="paragraph" w:styleId="BodyText2">
    <w:name w:val="Body Text 2"/>
    <w:basedOn w:val="Normal"/>
    <w:link w:val="BodyText2Char"/>
    <w:semiHidden/>
    <w:qFormat/>
    <w:rsid w:val="00734512"/>
    <w:pPr>
      <w:spacing w:line="480" w:lineRule="auto"/>
    </w:pPr>
  </w:style>
  <w:style w:type="character" w:customStyle="1" w:styleId="BodyText2Char">
    <w:name w:val="Body Text 2 Char"/>
    <w:basedOn w:val="DefaultParagraphFont"/>
    <w:link w:val="BodyText2"/>
    <w:semiHidden/>
    <w:rsid w:val="00443834"/>
    <w:rPr>
      <w:sz w:val="19"/>
    </w:rPr>
  </w:style>
  <w:style w:type="paragraph" w:styleId="BodyText3">
    <w:name w:val="Body Text 3"/>
    <w:basedOn w:val="Normal"/>
    <w:link w:val="BodyText3Char"/>
    <w:semiHidden/>
    <w:rsid w:val="00734512"/>
    <w:rPr>
      <w:sz w:val="16"/>
      <w:szCs w:val="16"/>
    </w:rPr>
  </w:style>
  <w:style w:type="character" w:customStyle="1" w:styleId="BodyText3Char">
    <w:name w:val="Body Text 3 Char"/>
    <w:basedOn w:val="DefaultParagraphFont"/>
    <w:link w:val="BodyText3"/>
    <w:semiHidden/>
    <w:rsid w:val="00443834"/>
    <w:rPr>
      <w:sz w:val="16"/>
      <w:szCs w:val="16"/>
    </w:rPr>
  </w:style>
  <w:style w:type="paragraph" w:styleId="NormalIndent">
    <w:name w:val="Normal Indent"/>
    <w:basedOn w:val="Normal"/>
    <w:rsid w:val="00734512"/>
    <w:pPr>
      <w:ind w:left="720"/>
    </w:pPr>
  </w:style>
  <w:style w:type="paragraph" w:styleId="Quote">
    <w:name w:val="Quote"/>
    <w:basedOn w:val="Normal"/>
    <w:next w:val="Normal"/>
    <w:link w:val="QuoteChar"/>
    <w:uiPriority w:val="3"/>
    <w:qFormat/>
    <w:rsid w:val="0065433C"/>
    <w:pPr>
      <w:spacing w:before="200" w:after="160"/>
      <w:ind w:right="864"/>
    </w:pPr>
    <w:rPr>
      <w:i/>
      <w:iCs/>
      <w:color w:val="1C2B39" w:themeColor="text2"/>
    </w:rPr>
  </w:style>
  <w:style w:type="character" w:customStyle="1" w:styleId="QuoteChar">
    <w:name w:val="Quote Char"/>
    <w:basedOn w:val="DefaultParagraphFont"/>
    <w:link w:val="Quote"/>
    <w:uiPriority w:val="3"/>
    <w:rsid w:val="0065433C"/>
    <w:rPr>
      <w:i/>
      <w:iCs/>
      <w:color w:val="1C2B39" w:themeColor="text2"/>
      <w:sz w:val="19"/>
    </w:rPr>
  </w:style>
  <w:style w:type="table" w:styleId="TableGrid">
    <w:name w:val="Table Grid"/>
    <w:aliases w:val="表,Aventus Doc Control table,Table font,Basic"/>
    <w:basedOn w:val="TableNormal"/>
    <w:uiPriority w:val="59"/>
    <w:qFormat/>
    <w:rsid w:val="005563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41">
    <w:name w:val="List Table 41"/>
    <w:aliases w:val="LXRA T4"/>
    <w:basedOn w:val="ListTable4-Accent11"/>
    <w:uiPriority w:val="49"/>
    <w:rsid w:val="005B4EE1"/>
    <w:tblPr>
      <w:tblBorders>
        <w:top w:val="single" w:sz="4" w:space="0" w:color="666666" w:themeColor="text1" w:themeTint="99"/>
        <w:bottom w:val="single" w:sz="4" w:space="0" w:color="666666" w:themeColor="text1" w:themeTint="99"/>
      </w:tblBorders>
    </w:tblPr>
    <w:tblStylePr w:type="firstRow">
      <w:pPr>
        <w:jc w:val="left"/>
      </w:pPr>
      <w:rPr>
        <w:b/>
        <w:bCs/>
        <w:color w:val="FFFFFF" w:themeColor="background1"/>
      </w:rPr>
      <w:tblPr/>
      <w:trPr>
        <w:tblHeader/>
      </w:tr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4-Accent11">
    <w:name w:val="List Table 4 - Accent 11"/>
    <w:aliases w:val="LXRA T2"/>
    <w:basedOn w:val="TableNormal"/>
    <w:uiPriority w:val="49"/>
    <w:rsid w:val="005B4EE1"/>
    <w:pPr>
      <w:spacing w:after="0" w:line="240" w:lineRule="auto"/>
    </w:pPr>
    <w:tblPr>
      <w:tblStyleRowBandSize w:val="1"/>
      <w:tblStyleColBandSize w:val="1"/>
      <w:tblBorders>
        <w:top w:val="single" w:sz="4" w:space="0" w:color="E6E7E6" w:themeColor="accent1" w:themeTint="99"/>
        <w:bottom w:val="single" w:sz="4" w:space="0" w:color="E6E7E6" w:themeColor="accent1" w:themeTint="99"/>
      </w:tblBorders>
      <w:tblCellMar>
        <w:top w:w="113" w:type="dxa"/>
      </w:tblCellMar>
    </w:tblPr>
    <w:tcPr>
      <w:vAlign w:val="center"/>
    </w:tcPr>
    <w:tblStylePr w:type="firstRow">
      <w:pPr>
        <w:jc w:val="left"/>
      </w:pPr>
      <w:rPr>
        <w:b/>
        <w:bCs/>
        <w:color w:val="FFFFFF" w:themeColor="background1"/>
      </w:rPr>
      <w:tblPr/>
      <w:trPr>
        <w:tblHeader/>
      </w:trPr>
      <w:tcPr>
        <w:tcBorders>
          <w:top w:val="single" w:sz="4" w:space="0" w:color="D7D8D6" w:themeColor="accent1"/>
          <w:left w:val="single" w:sz="4" w:space="0" w:color="D7D8D6" w:themeColor="accent1"/>
          <w:bottom w:val="single" w:sz="4" w:space="0" w:color="D7D8D6" w:themeColor="accent1"/>
          <w:right w:val="single" w:sz="4" w:space="0" w:color="D7D8D6" w:themeColor="accent1"/>
          <w:insideH w:val="nil"/>
        </w:tcBorders>
        <w:shd w:val="clear" w:color="auto" w:fill="D7D8D6" w:themeFill="accent1"/>
      </w:tcPr>
    </w:tblStylePr>
    <w:tblStylePr w:type="lastRow">
      <w:rPr>
        <w:b/>
        <w:bCs/>
      </w:rPr>
      <w:tblPr/>
      <w:tcPr>
        <w:tcBorders>
          <w:top w:val="double" w:sz="4" w:space="0" w:color="E6E7E6" w:themeColor="accent1" w:themeTint="99"/>
        </w:tcBorders>
      </w:tcPr>
    </w:tblStylePr>
    <w:tblStylePr w:type="firstCol">
      <w:rPr>
        <w:b/>
        <w:bCs/>
      </w:rPr>
    </w:tblStylePr>
    <w:tblStylePr w:type="lastCol">
      <w:rPr>
        <w:b/>
        <w:bCs/>
      </w:rPr>
    </w:tblStylePr>
    <w:tblStylePr w:type="band1Vert">
      <w:tblPr/>
      <w:tcPr>
        <w:shd w:val="clear" w:color="auto" w:fill="F6F7F6" w:themeFill="accent1" w:themeFillTint="33"/>
      </w:tcPr>
    </w:tblStylePr>
    <w:tblStylePr w:type="band1Horz">
      <w:tblPr/>
      <w:tcPr>
        <w:shd w:val="clear" w:color="auto" w:fill="F6F7F6" w:themeFill="accent1" w:themeFillTint="33"/>
      </w:tcPr>
    </w:tblStylePr>
  </w:style>
  <w:style w:type="table" w:customStyle="1" w:styleId="ListTable6Colorful1">
    <w:name w:val="List Table 6 Colorful1"/>
    <w:basedOn w:val="TableNormal"/>
    <w:uiPriority w:val="51"/>
    <w:rsid w:val="0055631C"/>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4-Accent21">
    <w:name w:val="List Table 4 - Accent 21"/>
    <w:aliases w:val="LXRA T3"/>
    <w:basedOn w:val="ListTable4-Accent11"/>
    <w:uiPriority w:val="49"/>
    <w:rsid w:val="005B4EE1"/>
    <w:tblPr>
      <w:tblBorders>
        <w:top w:val="single" w:sz="4" w:space="0" w:color="FFDC6B" w:themeColor="accent2" w:themeTint="99"/>
        <w:bottom w:val="single" w:sz="4" w:space="0" w:color="FFDC6B" w:themeColor="accent2" w:themeTint="99"/>
      </w:tblBorders>
    </w:tblPr>
    <w:tblStylePr w:type="firstRow">
      <w:pPr>
        <w:jc w:val="left"/>
      </w:pPr>
      <w:rPr>
        <w:b/>
        <w:bCs/>
        <w:color w:val="FFFFFF" w:themeColor="background1"/>
      </w:rPr>
      <w:tblPr/>
      <w:trPr>
        <w:tblHeader/>
      </w:trPr>
      <w:tcPr>
        <w:tcBorders>
          <w:top w:val="single" w:sz="4" w:space="0" w:color="FFC709" w:themeColor="accent2"/>
          <w:left w:val="single" w:sz="4" w:space="0" w:color="FFC709" w:themeColor="accent2"/>
          <w:bottom w:val="single" w:sz="4" w:space="0" w:color="FFC709" w:themeColor="accent2"/>
          <w:right w:val="single" w:sz="4" w:space="0" w:color="FFC709" w:themeColor="accent2"/>
          <w:insideH w:val="nil"/>
        </w:tcBorders>
        <w:shd w:val="clear" w:color="auto" w:fill="FFC709" w:themeFill="accent2"/>
      </w:tcPr>
    </w:tblStylePr>
    <w:tblStylePr w:type="lastRow">
      <w:rPr>
        <w:b/>
        <w:bCs/>
      </w:rPr>
      <w:tblPr/>
      <w:tcPr>
        <w:tcBorders>
          <w:top w:val="double" w:sz="4" w:space="0" w:color="FFDC6B" w:themeColor="accent2" w:themeTint="99"/>
        </w:tcBorders>
      </w:tcPr>
    </w:tblStylePr>
    <w:tblStylePr w:type="firstCol">
      <w:rPr>
        <w:b/>
        <w:bCs/>
      </w:rPr>
    </w:tblStylePr>
    <w:tblStylePr w:type="lastCol">
      <w:rPr>
        <w:b/>
        <w:bCs/>
      </w:rPr>
    </w:tblStylePr>
    <w:tblStylePr w:type="band1Vert">
      <w:tblPr/>
      <w:tcPr>
        <w:shd w:val="clear" w:color="auto" w:fill="FFF3CD" w:themeFill="accent2" w:themeFillTint="33"/>
      </w:tcPr>
    </w:tblStylePr>
    <w:tblStylePr w:type="band1Horz">
      <w:tblPr/>
      <w:tcPr>
        <w:shd w:val="clear" w:color="auto" w:fill="FFF3CD" w:themeFill="accent2" w:themeFillTint="33"/>
      </w:tcPr>
    </w:tblStylePr>
  </w:style>
  <w:style w:type="table" w:customStyle="1" w:styleId="ListTable4-Accent31">
    <w:name w:val="List Table 4 - Accent 31"/>
    <w:aliases w:val="LXRA T1"/>
    <w:basedOn w:val="ListTable4-Accent11"/>
    <w:uiPriority w:val="49"/>
    <w:rsid w:val="00DA5E95"/>
    <w:tblPr>
      <w:tblBorders>
        <w:top w:val="single" w:sz="4" w:space="0" w:color="3D7B80"/>
        <w:bottom w:val="single" w:sz="4" w:space="0" w:color="3D7B80"/>
      </w:tblBorders>
      <w:tblCellMar>
        <w:bottom w:w="108" w:type="dxa"/>
      </w:tblCellMar>
    </w:tblPr>
    <w:tcPr>
      <w:shd w:val="clear" w:color="auto" w:fill="auto"/>
    </w:tcPr>
    <w:tblStylePr w:type="firstRow">
      <w:pPr>
        <w:wordWrap/>
        <w:spacing w:beforeLines="0" w:before="0" w:beforeAutospacing="0" w:afterLines="0" w:after="0" w:afterAutospacing="0" w:line="240" w:lineRule="auto"/>
        <w:jc w:val="left"/>
      </w:pPr>
      <w:rPr>
        <w:rFonts w:asciiTheme="minorHAnsi" w:hAnsiTheme="minorHAnsi"/>
        <w:b/>
        <w:bCs/>
        <w:color w:val="FFFFFF" w:themeColor="background1"/>
        <w:sz w:val="19"/>
      </w:rPr>
      <w:tblPr/>
      <w:trPr>
        <w:tblHeader/>
      </w:trPr>
      <w:tcPr>
        <w:tcBorders>
          <w:top w:val="nil"/>
          <w:left w:val="nil"/>
          <w:bottom w:val="nil"/>
          <w:right w:val="nil"/>
          <w:insideH w:val="nil"/>
          <w:insideV w:val="single" w:sz="4" w:space="0" w:color="FFFFFF" w:themeColor="background1"/>
        </w:tcBorders>
        <w:shd w:val="clear" w:color="auto" w:fill="3D7B80"/>
        <w:vAlign w:val="bottom"/>
      </w:tcPr>
    </w:tblStylePr>
    <w:tblStylePr w:type="lastRow">
      <w:rPr>
        <w:b/>
        <w:bCs/>
      </w:rPr>
      <w:tblPr/>
      <w:tcPr>
        <w:tcBorders>
          <w:top w:val="single" w:sz="8" w:space="0" w:color="3D7B80"/>
          <w:bottom w:val="single" w:sz="8" w:space="0" w:color="3D7B80"/>
        </w:tcBorders>
        <w:shd w:val="clear" w:color="auto" w:fill="DCEBEE"/>
      </w:tcPr>
    </w:tblStylePr>
    <w:tblStylePr w:type="firstCol">
      <w:rPr>
        <w:b/>
        <w:bCs/>
      </w:rPr>
    </w:tblStylePr>
    <w:tblStylePr w:type="lastCol">
      <w:rPr>
        <w:b/>
        <w:bCs/>
      </w:rPr>
    </w:tblStylePr>
    <w:tblStylePr w:type="band1Vert">
      <w:tblPr/>
      <w:tcPr>
        <w:shd w:val="clear" w:color="auto" w:fill="F6F7F6" w:themeFill="accent1" w:themeFillTint="33"/>
      </w:tcPr>
    </w:tblStylePr>
    <w:tblStylePr w:type="band1Horz">
      <w:tblPr/>
      <w:tcPr>
        <w:shd w:val="clear" w:color="auto" w:fill="DCEBEE"/>
      </w:tcPr>
    </w:tblStylePr>
    <w:tblStylePr w:type="band2Horz">
      <w:tblPr/>
      <w:tcPr>
        <w:shd w:val="clear" w:color="auto" w:fill="FFFFFF" w:themeFill="background1"/>
      </w:tcPr>
    </w:tblStylePr>
  </w:style>
  <w:style w:type="table" w:customStyle="1" w:styleId="ListTable4-Accent41">
    <w:name w:val="List Table 4 - Accent 41"/>
    <w:aliases w:val="LXRA T5"/>
    <w:basedOn w:val="ListTable4-Accent11"/>
    <w:uiPriority w:val="49"/>
    <w:rsid w:val="005B4EE1"/>
    <w:tblPr>
      <w:tblBorders>
        <w:top w:val="single" w:sz="4" w:space="0" w:color="AF60D2" w:themeColor="accent4" w:themeTint="99"/>
        <w:bottom w:val="single" w:sz="4" w:space="0" w:color="AF60D2" w:themeColor="accent4" w:themeTint="99"/>
      </w:tblBorders>
    </w:tblPr>
    <w:tblStylePr w:type="firstRow">
      <w:pPr>
        <w:jc w:val="left"/>
      </w:pPr>
      <w:rPr>
        <w:b/>
        <w:bCs/>
        <w:color w:val="FFFFFF" w:themeColor="background1"/>
      </w:rPr>
      <w:tblPr/>
      <w:trPr>
        <w:tblHeader/>
      </w:trPr>
      <w:tcPr>
        <w:tcBorders>
          <w:top w:val="single" w:sz="4" w:space="0" w:color="692686" w:themeColor="accent4"/>
          <w:left w:val="single" w:sz="4" w:space="0" w:color="692686" w:themeColor="accent4"/>
          <w:bottom w:val="single" w:sz="4" w:space="0" w:color="692686" w:themeColor="accent4"/>
          <w:right w:val="single" w:sz="4" w:space="0" w:color="692686" w:themeColor="accent4"/>
          <w:insideH w:val="nil"/>
        </w:tcBorders>
        <w:shd w:val="clear" w:color="auto" w:fill="692686" w:themeFill="accent4"/>
      </w:tcPr>
    </w:tblStylePr>
    <w:tblStylePr w:type="lastRow">
      <w:rPr>
        <w:b/>
        <w:bCs/>
      </w:rPr>
      <w:tblPr/>
      <w:tcPr>
        <w:tcBorders>
          <w:top w:val="double" w:sz="4" w:space="0" w:color="AF60D2" w:themeColor="accent4" w:themeTint="99"/>
        </w:tcBorders>
      </w:tcPr>
    </w:tblStylePr>
    <w:tblStylePr w:type="firstCol">
      <w:rPr>
        <w:b/>
        <w:bCs/>
      </w:rPr>
    </w:tblStylePr>
    <w:tblStylePr w:type="lastCol">
      <w:rPr>
        <w:b/>
        <w:bCs/>
      </w:rPr>
    </w:tblStylePr>
    <w:tblStylePr w:type="band1Vert">
      <w:tblPr/>
      <w:tcPr>
        <w:shd w:val="clear" w:color="auto" w:fill="E4CAF0" w:themeFill="accent4" w:themeFillTint="33"/>
      </w:tcPr>
    </w:tblStylePr>
    <w:tblStylePr w:type="band1Horz">
      <w:tblPr/>
      <w:tcPr>
        <w:shd w:val="clear" w:color="auto" w:fill="E4CAF0" w:themeFill="accent4" w:themeFillTint="33"/>
      </w:tcPr>
    </w:tblStylePr>
  </w:style>
  <w:style w:type="table" w:customStyle="1" w:styleId="ListTable4-Accent51">
    <w:name w:val="List Table 4 - Accent 51"/>
    <w:aliases w:val="LXRA T6"/>
    <w:basedOn w:val="ListTable4-Accent11"/>
    <w:uiPriority w:val="49"/>
    <w:rsid w:val="005B4EE1"/>
    <w:tblPr>
      <w:tblBorders>
        <w:top w:val="single" w:sz="4" w:space="0" w:color="63E18C" w:themeColor="accent5" w:themeTint="99"/>
        <w:bottom w:val="single" w:sz="4" w:space="0" w:color="63E18C" w:themeColor="accent5" w:themeTint="99"/>
      </w:tblBorders>
    </w:tblPr>
    <w:tblStylePr w:type="firstRow">
      <w:pPr>
        <w:jc w:val="left"/>
      </w:pPr>
      <w:rPr>
        <w:b/>
        <w:bCs/>
        <w:color w:val="FFFFFF" w:themeColor="background1"/>
      </w:rPr>
      <w:tblPr/>
      <w:trPr>
        <w:tblHeader/>
      </w:trPr>
      <w:tcPr>
        <w:tcBorders>
          <w:top w:val="single" w:sz="4" w:space="0" w:color="20AA4D" w:themeColor="accent5"/>
          <w:left w:val="single" w:sz="4" w:space="0" w:color="20AA4D" w:themeColor="accent5"/>
          <w:bottom w:val="single" w:sz="4" w:space="0" w:color="20AA4D" w:themeColor="accent5"/>
          <w:right w:val="single" w:sz="4" w:space="0" w:color="20AA4D" w:themeColor="accent5"/>
          <w:insideH w:val="nil"/>
        </w:tcBorders>
        <w:shd w:val="clear" w:color="auto" w:fill="20AA4D" w:themeFill="accent5"/>
      </w:tcPr>
    </w:tblStylePr>
    <w:tblStylePr w:type="lastRow">
      <w:rPr>
        <w:b/>
        <w:bCs/>
      </w:rPr>
      <w:tblPr/>
      <w:tcPr>
        <w:tcBorders>
          <w:top w:val="double" w:sz="4" w:space="0" w:color="63E18C" w:themeColor="accent5" w:themeTint="99"/>
        </w:tcBorders>
      </w:tcPr>
    </w:tblStylePr>
    <w:tblStylePr w:type="firstCol">
      <w:rPr>
        <w:b/>
        <w:bCs/>
      </w:rPr>
    </w:tblStylePr>
    <w:tblStylePr w:type="lastCol">
      <w:rPr>
        <w:b/>
        <w:bCs/>
      </w:rPr>
    </w:tblStylePr>
    <w:tblStylePr w:type="band1Vert">
      <w:tblPr/>
      <w:tcPr>
        <w:shd w:val="clear" w:color="auto" w:fill="CBF5D8" w:themeFill="accent5" w:themeFillTint="33"/>
      </w:tcPr>
    </w:tblStylePr>
    <w:tblStylePr w:type="band1Horz">
      <w:tblPr/>
      <w:tcPr>
        <w:shd w:val="clear" w:color="auto" w:fill="CBF5D8" w:themeFill="accent5" w:themeFillTint="33"/>
      </w:tcPr>
    </w:tblStylePr>
  </w:style>
  <w:style w:type="table" w:customStyle="1" w:styleId="ListTable4-Accent61">
    <w:name w:val="List Table 4 - Accent 61"/>
    <w:aliases w:val="LXRA T7"/>
    <w:basedOn w:val="ListTable4-Accent11"/>
    <w:uiPriority w:val="49"/>
    <w:rsid w:val="005B4EE1"/>
    <w:tblPr>
      <w:tblBorders>
        <w:top w:val="single" w:sz="4" w:space="0" w:color="3AC1FF" w:themeColor="accent6" w:themeTint="99"/>
        <w:bottom w:val="single" w:sz="4" w:space="0" w:color="3AC1FF" w:themeColor="accent6" w:themeTint="99"/>
      </w:tblBorders>
    </w:tblPr>
    <w:tblStylePr w:type="firstRow">
      <w:pPr>
        <w:jc w:val="left"/>
      </w:pPr>
      <w:rPr>
        <w:b/>
        <w:bCs/>
        <w:color w:val="FFFFFF" w:themeColor="background1"/>
      </w:rPr>
      <w:tblPr/>
      <w:trPr>
        <w:tblHeader/>
      </w:trPr>
      <w:tcPr>
        <w:tcBorders>
          <w:top w:val="single" w:sz="4" w:space="0" w:color="007DB6" w:themeColor="accent6"/>
          <w:left w:val="single" w:sz="4" w:space="0" w:color="007DB6" w:themeColor="accent6"/>
          <w:bottom w:val="single" w:sz="4" w:space="0" w:color="007DB6" w:themeColor="accent6"/>
          <w:right w:val="single" w:sz="4" w:space="0" w:color="007DB6" w:themeColor="accent6"/>
          <w:insideH w:val="nil"/>
        </w:tcBorders>
        <w:shd w:val="clear" w:color="auto" w:fill="007DB6" w:themeFill="accent6"/>
      </w:tcPr>
    </w:tblStylePr>
    <w:tblStylePr w:type="lastRow">
      <w:rPr>
        <w:b/>
        <w:bCs/>
      </w:rPr>
      <w:tblPr/>
      <w:tcPr>
        <w:tcBorders>
          <w:top w:val="double" w:sz="4" w:space="0" w:color="3AC1FF" w:themeColor="accent6" w:themeTint="99"/>
        </w:tcBorders>
      </w:tcPr>
    </w:tblStylePr>
    <w:tblStylePr w:type="firstCol">
      <w:rPr>
        <w:b/>
        <w:bCs/>
      </w:rPr>
    </w:tblStylePr>
    <w:tblStylePr w:type="lastCol">
      <w:rPr>
        <w:b/>
        <w:bCs/>
      </w:rPr>
    </w:tblStylePr>
    <w:tblStylePr w:type="band1Vert">
      <w:tblPr/>
      <w:tcPr>
        <w:shd w:val="clear" w:color="auto" w:fill="BDEAFF" w:themeFill="accent6" w:themeFillTint="33"/>
      </w:tcPr>
    </w:tblStylePr>
    <w:tblStylePr w:type="band1Horz">
      <w:tblPr/>
      <w:tcPr>
        <w:shd w:val="clear" w:color="auto" w:fill="BDEAFF" w:themeFill="accent6" w:themeFillTint="33"/>
      </w:tcPr>
    </w:tblStylePr>
  </w:style>
  <w:style w:type="paragraph" w:styleId="TOC1">
    <w:name w:val="toc 1"/>
    <w:basedOn w:val="TOC2"/>
    <w:next w:val="Normal"/>
    <w:uiPriority w:val="39"/>
    <w:unhideWhenUsed/>
    <w:rsid w:val="00E03232"/>
    <w:pPr>
      <w:spacing w:line="276" w:lineRule="auto"/>
    </w:pPr>
  </w:style>
  <w:style w:type="paragraph" w:styleId="TOC2">
    <w:name w:val="toc 2"/>
    <w:basedOn w:val="Normal"/>
    <w:next w:val="Normal"/>
    <w:uiPriority w:val="39"/>
    <w:unhideWhenUsed/>
    <w:rsid w:val="00714CAC"/>
    <w:pPr>
      <w:tabs>
        <w:tab w:val="left" w:pos="851"/>
        <w:tab w:val="right" w:pos="6776"/>
      </w:tabs>
      <w:spacing w:before="200" w:line="264" w:lineRule="auto"/>
      <w:ind w:left="851" w:right="851" w:hanging="851"/>
    </w:pPr>
    <w:rPr>
      <w:rFonts w:eastAsia="Times New Roman" w:cs="Times New Roman"/>
      <w:noProof/>
      <w:sz w:val="23"/>
      <w:szCs w:val="24"/>
      <w:lang w:eastAsia="fr-CA"/>
    </w:rPr>
  </w:style>
  <w:style w:type="paragraph" w:styleId="TOC3">
    <w:name w:val="toc 3"/>
    <w:basedOn w:val="Normal"/>
    <w:next w:val="Normal"/>
    <w:uiPriority w:val="39"/>
    <w:unhideWhenUsed/>
    <w:rsid w:val="006659D0"/>
    <w:pPr>
      <w:tabs>
        <w:tab w:val="left" w:pos="851"/>
        <w:tab w:val="right" w:pos="6776"/>
      </w:tabs>
      <w:spacing w:before="60" w:after="0"/>
      <w:ind w:left="851" w:right="851" w:hanging="851"/>
    </w:pPr>
    <w:rPr>
      <w:rFonts w:eastAsiaTheme="majorEastAsia" w:cs="Arial"/>
      <w:noProof/>
      <w:szCs w:val="20"/>
      <w:lang w:eastAsia="fr-CA"/>
    </w:rPr>
  </w:style>
  <w:style w:type="character" w:styleId="Hyperlink">
    <w:name w:val="Hyperlink"/>
    <w:basedOn w:val="DefaultParagraphFont"/>
    <w:uiPriority w:val="99"/>
    <w:unhideWhenUsed/>
    <w:rsid w:val="003F2F68"/>
    <w:rPr>
      <w:color w:val="005C97" w:themeColor="hyperlink"/>
      <w:u w:val="single"/>
    </w:rPr>
  </w:style>
  <w:style w:type="paragraph" w:styleId="Header">
    <w:name w:val="header"/>
    <w:basedOn w:val="Normal"/>
    <w:link w:val="HeaderChar"/>
    <w:uiPriority w:val="99"/>
    <w:unhideWhenUsed/>
    <w:rsid w:val="00DC10B3"/>
    <w:pPr>
      <w:tabs>
        <w:tab w:val="center" w:pos="4513"/>
        <w:tab w:val="right" w:pos="9026"/>
      </w:tabs>
      <w:spacing w:after="0"/>
    </w:pPr>
  </w:style>
  <w:style w:type="character" w:customStyle="1" w:styleId="HeaderChar">
    <w:name w:val="Header Char"/>
    <w:basedOn w:val="DefaultParagraphFont"/>
    <w:link w:val="Header"/>
    <w:uiPriority w:val="99"/>
    <w:rsid w:val="00DC10B3"/>
    <w:rPr>
      <w:sz w:val="19"/>
    </w:rPr>
  </w:style>
  <w:style w:type="paragraph" w:styleId="Footer">
    <w:name w:val="footer"/>
    <w:basedOn w:val="Normal"/>
    <w:link w:val="FooterChar"/>
    <w:uiPriority w:val="99"/>
    <w:unhideWhenUsed/>
    <w:rsid w:val="00632BD3"/>
    <w:pPr>
      <w:tabs>
        <w:tab w:val="center" w:pos="4513"/>
        <w:tab w:val="right" w:pos="9026"/>
      </w:tabs>
      <w:spacing w:before="0" w:after="0"/>
    </w:pPr>
    <w:rPr>
      <w:color w:val="004F9E"/>
      <w:sz w:val="16"/>
    </w:rPr>
  </w:style>
  <w:style w:type="character" w:customStyle="1" w:styleId="FooterChar">
    <w:name w:val="Footer Char"/>
    <w:basedOn w:val="DefaultParagraphFont"/>
    <w:link w:val="Footer"/>
    <w:uiPriority w:val="99"/>
    <w:rsid w:val="00632BD3"/>
    <w:rPr>
      <w:rFonts w:ascii="Arial" w:hAnsi="Arial"/>
      <w:color w:val="004F9E"/>
      <w:sz w:val="16"/>
    </w:rPr>
  </w:style>
  <w:style w:type="character" w:customStyle="1" w:styleId="Heading6Char">
    <w:name w:val="Heading 6 Char"/>
    <w:basedOn w:val="DefaultParagraphFont"/>
    <w:link w:val="Heading6"/>
    <w:rsid w:val="009E745E"/>
    <w:rPr>
      <w:rFonts w:asciiTheme="majorHAnsi" w:eastAsiaTheme="majorEastAsia" w:hAnsiTheme="majorHAnsi" w:cstheme="majorBidi"/>
      <w:color w:val="6A6D68" w:themeColor="accent1" w:themeShade="7F"/>
      <w:sz w:val="19"/>
    </w:rPr>
  </w:style>
  <w:style w:type="numbering" w:customStyle="1" w:styleId="LXRABullets">
    <w:name w:val="LXRA Bullets"/>
    <w:uiPriority w:val="99"/>
    <w:rsid w:val="007F3425"/>
    <w:pPr>
      <w:numPr>
        <w:numId w:val="3"/>
      </w:numPr>
    </w:pPr>
  </w:style>
  <w:style w:type="numbering" w:customStyle="1" w:styleId="LXRANumberedList">
    <w:name w:val="LXRA Numbered List"/>
    <w:uiPriority w:val="99"/>
    <w:rsid w:val="00014147"/>
    <w:pPr>
      <w:numPr>
        <w:numId w:val="4"/>
      </w:numPr>
    </w:pPr>
  </w:style>
  <w:style w:type="table" w:customStyle="1" w:styleId="LXRATable1">
    <w:name w:val="LXRA Table 1"/>
    <w:basedOn w:val="TableNormal"/>
    <w:uiPriority w:val="99"/>
    <w:rsid w:val="001029CF"/>
    <w:pPr>
      <w:spacing w:after="0" w:line="240" w:lineRule="auto"/>
    </w:pPr>
    <w:tblPr/>
  </w:style>
  <w:style w:type="paragraph" w:styleId="DocumentMap">
    <w:name w:val="Document Map"/>
    <w:basedOn w:val="Normal"/>
    <w:link w:val="DocumentMapChar"/>
    <w:uiPriority w:val="39"/>
    <w:semiHidden/>
    <w:rsid w:val="00EF0FDF"/>
    <w:pPr>
      <w:spacing w:after="0"/>
    </w:pPr>
    <w:rPr>
      <w:rFonts w:ascii="Times New Roman" w:hAnsi="Times New Roman" w:cs="Times New Roman"/>
      <w:sz w:val="24"/>
      <w:szCs w:val="24"/>
    </w:rPr>
  </w:style>
  <w:style w:type="character" w:customStyle="1" w:styleId="DocumentMapChar">
    <w:name w:val="Document Map Char"/>
    <w:basedOn w:val="DefaultParagraphFont"/>
    <w:link w:val="DocumentMap"/>
    <w:uiPriority w:val="39"/>
    <w:semiHidden/>
    <w:rsid w:val="00EF0FDF"/>
    <w:rPr>
      <w:rFonts w:ascii="Times New Roman" w:hAnsi="Times New Roman" w:cs="Times New Roman"/>
      <w:sz w:val="24"/>
      <w:szCs w:val="24"/>
    </w:rPr>
  </w:style>
  <w:style w:type="table" w:customStyle="1" w:styleId="ListTable3-Accent51">
    <w:name w:val="List Table 3 - Accent 51"/>
    <w:basedOn w:val="TableNormal"/>
    <w:uiPriority w:val="48"/>
    <w:rsid w:val="00D86DF0"/>
    <w:pPr>
      <w:spacing w:after="0" w:line="240" w:lineRule="auto"/>
    </w:pPr>
    <w:tblPr>
      <w:tblStyleRowBandSize w:val="1"/>
      <w:tblStyleColBandSize w:val="1"/>
      <w:tblBorders>
        <w:top w:val="single" w:sz="4" w:space="0" w:color="20AA4D" w:themeColor="accent5"/>
        <w:left w:val="single" w:sz="4" w:space="0" w:color="20AA4D" w:themeColor="accent5"/>
        <w:bottom w:val="single" w:sz="4" w:space="0" w:color="20AA4D" w:themeColor="accent5"/>
        <w:right w:val="single" w:sz="4" w:space="0" w:color="20AA4D" w:themeColor="accent5"/>
      </w:tblBorders>
    </w:tblPr>
    <w:tblStylePr w:type="firstRow">
      <w:rPr>
        <w:b/>
        <w:bCs/>
        <w:color w:val="FFFFFF" w:themeColor="background1"/>
      </w:rPr>
      <w:tblPr/>
      <w:tcPr>
        <w:shd w:val="clear" w:color="auto" w:fill="20AA4D" w:themeFill="accent5"/>
      </w:tcPr>
    </w:tblStylePr>
    <w:tblStylePr w:type="lastRow">
      <w:rPr>
        <w:b/>
        <w:bCs/>
      </w:rPr>
      <w:tblPr/>
      <w:tcPr>
        <w:tcBorders>
          <w:top w:val="double" w:sz="4" w:space="0" w:color="20AA4D"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0AA4D" w:themeColor="accent5"/>
          <w:right w:val="single" w:sz="4" w:space="0" w:color="20AA4D" w:themeColor="accent5"/>
        </w:tcBorders>
      </w:tcPr>
    </w:tblStylePr>
    <w:tblStylePr w:type="band1Horz">
      <w:tblPr/>
      <w:tcPr>
        <w:tcBorders>
          <w:top w:val="single" w:sz="4" w:space="0" w:color="20AA4D" w:themeColor="accent5"/>
          <w:bottom w:val="single" w:sz="4" w:space="0" w:color="20AA4D"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0AA4D" w:themeColor="accent5"/>
          <w:left w:val="nil"/>
        </w:tcBorders>
      </w:tcPr>
    </w:tblStylePr>
    <w:tblStylePr w:type="swCell">
      <w:tblPr/>
      <w:tcPr>
        <w:tcBorders>
          <w:top w:val="double" w:sz="4" w:space="0" w:color="20AA4D" w:themeColor="accent5"/>
          <w:right w:val="nil"/>
        </w:tcBorders>
      </w:tcPr>
    </w:tblStylePr>
  </w:style>
  <w:style w:type="paragraph" w:styleId="TOCHeading">
    <w:name w:val="TOC Heading"/>
    <w:basedOn w:val="Heading1"/>
    <w:next w:val="Normal"/>
    <w:uiPriority w:val="39"/>
    <w:unhideWhenUsed/>
    <w:qFormat/>
    <w:rsid w:val="00DF6614"/>
    <w:pPr>
      <w:numPr>
        <w:numId w:val="0"/>
      </w:numPr>
    </w:pPr>
    <w:rPr>
      <w:rFonts w:ascii="Arial Bold" w:hAnsi="Arial Bold"/>
    </w:rPr>
  </w:style>
  <w:style w:type="paragraph" w:styleId="TOC4">
    <w:name w:val="toc 4"/>
    <w:basedOn w:val="TableofFigures"/>
    <w:next w:val="Normal"/>
    <w:unhideWhenUsed/>
    <w:rsid w:val="00E13EA9"/>
  </w:style>
  <w:style w:type="paragraph" w:styleId="TOC5">
    <w:name w:val="toc 5"/>
    <w:basedOn w:val="Normal"/>
    <w:next w:val="Normal"/>
    <w:rsid w:val="00E13EA9"/>
    <w:pPr>
      <w:spacing w:after="100" w:line="288" w:lineRule="auto"/>
      <w:ind w:left="800"/>
    </w:pPr>
    <w:rPr>
      <w:rFonts w:eastAsia="Times New Roman" w:cs="Times New Roman"/>
      <w:szCs w:val="24"/>
      <w:lang w:eastAsia="fr-CA"/>
    </w:rPr>
  </w:style>
  <w:style w:type="paragraph" w:styleId="TOC6">
    <w:name w:val="toc 6"/>
    <w:basedOn w:val="Normal"/>
    <w:next w:val="Normal"/>
    <w:autoRedefine/>
    <w:unhideWhenUsed/>
    <w:rsid w:val="00E13EA9"/>
    <w:pPr>
      <w:spacing w:after="0"/>
    </w:pPr>
    <w:rPr>
      <w:sz w:val="22"/>
    </w:rPr>
  </w:style>
  <w:style w:type="paragraph" w:styleId="TOC7">
    <w:name w:val="toc 7"/>
    <w:basedOn w:val="Normal"/>
    <w:next w:val="Normal"/>
    <w:autoRedefine/>
    <w:unhideWhenUsed/>
    <w:rsid w:val="00E13EA9"/>
    <w:pPr>
      <w:spacing w:after="0"/>
    </w:pPr>
    <w:rPr>
      <w:sz w:val="22"/>
    </w:rPr>
  </w:style>
  <w:style w:type="paragraph" w:styleId="TOC8">
    <w:name w:val="toc 8"/>
    <w:basedOn w:val="Normal"/>
    <w:next w:val="Normal"/>
    <w:autoRedefine/>
    <w:unhideWhenUsed/>
    <w:rsid w:val="000D74C6"/>
    <w:pPr>
      <w:spacing w:after="0"/>
    </w:pPr>
    <w:rPr>
      <w:sz w:val="22"/>
    </w:rPr>
  </w:style>
  <w:style w:type="paragraph" w:styleId="TOC9">
    <w:name w:val="toc 9"/>
    <w:basedOn w:val="Normal"/>
    <w:next w:val="Normal"/>
    <w:autoRedefine/>
    <w:unhideWhenUsed/>
    <w:rsid w:val="000D74C6"/>
    <w:pPr>
      <w:spacing w:after="0"/>
    </w:pPr>
    <w:rPr>
      <w:sz w:val="22"/>
    </w:rPr>
  </w:style>
  <w:style w:type="table" w:customStyle="1" w:styleId="GridTable4-Accent21">
    <w:name w:val="Grid Table 4 - Accent 21"/>
    <w:basedOn w:val="TableNormal"/>
    <w:uiPriority w:val="49"/>
    <w:rsid w:val="00DB4FED"/>
    <w:pPr>
      <w:spacing w:after="0" w:line="240" w:lineRule="auto"/>
    </w:pPr>
    <w:tblPr>
      <w:tblStyleRowBandSize w:val="1"/>
      <w:tblStyleColBandSize w:val="1"/>
      <w:tblBorders>
        <w:top w:val="single" w:sz="4" w:space="0" w:color="FFDC6B" w:themeColor="accent2" w:themeTint="99"/>
        <w:left w:val="single" w:sz="4" w:space="0" w:color="FFDC6B" w:themeColor="accent2" w:themeTint="99"/>
        <w:bottom w:val="single" w:sz="4" w:space="0" w:color="FFDC6B" w:themeColor="accent2" w:themeTint="99"/>
        <w:right w:val="single" w:sz="4" w:space="0" w:color="FFDC6B" w:themeColor="accent2" w:themeTint="99"/>
        <w:insideH w:val="single" w:sz="4" w:space="0" w:color="FFDC6B" w:themeColor="accent2" w:themeTint="99"/>
        <w:insideV w:val="single" w:sz="4" w:space="0" w:color="FFDC6B" w:themeColor="accent2" w:themeTint="99"/>
      </w:tblBorders>
    </w:tblPr>
    <w:tblStylePr w:type="firstRow">
      <w:rPr>
        <w:b/>
        <w:bCs/>
        <w:color w:val="FFFFFF" w:themeColor="background1"/>
      </w:rPr>
      <w:tblPr/>
      <w:tcPr>
        <w:tcBorders>
          <w:top w:val="single" w:sz="4" w:space="0" w:color="FFC709" w:themeColor="accent2"/>
          <w:left w:val="single" w:sz="4" w:space="0" w:color="FFC709" w:themeColor="accent2"/>
          <w:bottom w:val="single" w:sz="4" w:space="0" w:color="FFC709" w:themeColor="accent2"/>
          <w:right w:val="single" w:sz="4" w:space="0" w:color="FFC709" w:themeColor="accent2"/>
          <w:insideH w:val="nil"/>
          <w:insideV w:val="nil"/>
        </w:tcBorders>
        <w:shd w:val="clear" w:color="auto" w:fill="FFC709" w:themeFill="accent2"/>
      </w:tcPr>
    </w:tblStylePr>
    <w:tblStylePr w:type="lastRow">
      <w:rPr>
        <w:b/>
        <w:bCs/>
      </w:rPr>
      <w:tblPr/>
      <w:tcPr>
        <w:tcBorders>
          <w:top w:val="double" w:sz="4" w:space="0" w:color="FFC709" w:themeColor="accent2"/>
        </w:tcBorders>
      </w:tcPr>
    </w:tblStylePr>
    <w:tblStylePr w:type="firstCol">
      <w:rPr>
        <w:b/>
        <w:bCs/>
      </w:rPr>
    </w:tblStylePr>
    <w:tblStylePr w:type="lastCol">
      <w:rPr>
        <w:b/>
        <w:bCs/>
      </w:rPr>
    </w:tblStylePr>
    <w:tblStylePr w:type="band1Vert">
      <w:tblPr/>
      <w:tcPr>
        <w:shd w:val="clear" w:color="auto" w:fill="FFF3CD" w:themeFill="accent2" w:themeFillTint="33"/>
      </w:tcPr>
    </w:tblStylePr>
    <w:tblStylePr w:type="band1Horz">
      <w:tblPr/>
      <w:tcPr>
        <w:shd w:val="clear" w:color="auto" w:fill="FFF3CD" w:themeFill="accent2" w:themeFillTint="33"/>
      </w:tcPr>
    </w:tblStylePr>
  </w:style>
  <w:style w:type="table" w:customStyle="1" w:styleId="GridTable5Dark-Accent21">
    <w:name w:val="Grid Table 5 Dark - Accent 21"/>
    <w:basedOn w:val="TableNormal"/>
    <w:uiPriority w:val="50"/>
    <w:rsid w:val="00DB4FE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3CD"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709"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709"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709"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709" w:themeFill="accent2"/>
      </w:tcPr>
    </w:tblStylePr>
    <w:tblStylePr w:type="band1Vert">
      <w:tblPr/>
      <w:tcPr>
        <w:shd w:val="clear" w:color="auto" w:fill="FFE89C" w:themeFill="accent2" w:themeFillTint="66"/>
      </w:tcPr>
    </w:tblStylePr>
    <w:tblStylePr w:type="band1Horz">
      <w:tblPr/>
      <w:tcPr>
        <w:shd w:val="clear" w:color="auto" w:fill="FFE89C" w:themeFill="accent2" w:themeFillTint="66"/>
      </w:tcPr>
    </w:tblStylePr>
  </w:style>
  <w:style w:type="numbering" w:customStyle="1" w:styleId="JASANZNumberedList">
    <w:name w:val="JASANZ Numbered List"/>
    <w:uiPriority w:val="99"/>
    <w:rsid w:val="008031B4"/>
  </w:style>
  <w:style w:type="paragraph" w:styleId="BalloonText">
    <w:name w:val="Balloon Text"/>
    <w:basedOn w:val="Normal"/>
    <w:link w:val="BalloonTextChar"/>
    <w:semiHidden/>
    <w:unhideWhenUsed/>
    <w:rsid w:val="0044142D"/>
    <w:pPr>
      <w:spacing w:after="0"/>
    </w:pPr>
    <w:rPr>
      <w:rFonts w:ascii="Tahoma" w:hAnsi="Tahoma" w:cs="Tahoma"/>
      <w:sz w:val="16"/>
      <w:szCs w:val="16"/>
    </w:rPr>
  </w:style>
  <w:style w:type="character" w:customStyle="1" w:styleId="BalloonTextChar">
    <w:name w:val="Balloon Text Char"/>
    <w:basedOn w:val="DefaultParagraphFont"/>
    <w:link w:val="BalloonText"/>
    <w:semiHidden/>
    <w:rsid w:val="0044142D"/>
    <w:rPr>
      <w:rFonts w:ascii="Tahoma" w:hAnsi="Tahoma" w:cs="Tahoma"/>
      <w:sz w:val="16"/>
      <w:szCs w:val="16"/>
    </w:rPr>
  </w:style>
  <w:style w:type="table" w:customStyle="1" w:styleId="LXRAT11">
    <w:name w:val="LXRA T11"/>
    <w:basedOn w:val="TableNormal"/>
    <w:uiPriority w:val="49"/>
    <w:rsid w:val="00C33FCA"/>
    <w:pPr>
      <w:spacing w:after="0" w:line="240" w:lineRule="auto"/>
    </w:pPr>
    <w:rPr>
      <w:color w:val="000000" w:themeColor="text1"/>
    </w:rPr>
    <w:tblPr>
      <w:tblStyleRowBandSize w:val="1"/>
      <w:tblStyleColBandSize w:val="1"/>
      <w:tblBorders>
        <w:top w:val="single" w:sz="4" w:space="0" w:color="auto"/>
        <w:bottom w:val="single" w:sz="4" w:space="0" w:color="auto"/>
        <w:insideH w:val="single" w:sz="4" w:space="0" w:color="auto"/>
        <w:insideV w:val="single" w:sz="4" w:space="0" w:color="auto"/>
      </w:tblBorders>
    </w:tblPr>
    <w:tcPr>
      <w:shd w:val="clear" w:color="auto" w:fill="auto"/>
      <w:vAlign w:val="center"/>
    </w:tcPr>
    <w:tblStylePr w:type="firstRow">
      <w:pPr>
        <w:wordWrap/>
        <w:spacing w:beforeLines="0" w:before="0" w:beforeAutospacing="0" w:afterLines="0" w:after="0" w:afterAutospacing="0" w:line="240" w:lineRule="auto"/>
        <w:jc w:val="left"/>
      </w:pPr>
      <w:rPr>
        <w:rFonts w:ascii="Calibri" w:hAnsi="Calibri"/>
        <w:b/>
        <w:bCs/>
        <w:color w:val="auto"/>
        <w:sz w:val="19"/>
      </w:rPr>
      <w:tblPr/>
      <w:trPr>
        <w:tblHeader/>
      </w:trPr>
      <w:tcPr>
        <w:tcBorders>
          <w:top w:val="single" w:sz="4" w:space="0" w:color="auto"/>
          <w:left w:val="nil"/>
          <w:bottom w:val="single" w:sz="4" w:space="0" w:color="auto"/>
          <w:right w:val="nil"/>
          <w:insideH w:val="nil"/>
          <w:insideV w:val="single" w:sz="4" w:space="0" w:color="auto"/>
          <w:tl2br w:val="nil"/>
          <w:tr2bl w:val="nil"/>
        </w:tcBorders>
        <w:shd w:val="clear" w:color="auto" w:fill="FFC709"/>
      </w:tcPr>
    </w:tblStylePr>
    <w:tblStylePr w:type="lastRow">
      <w:rPr>
        <w:b/>
        <w:bCs/>
        <w:color w:val="auto"/>
      </w:rPr>
      <w:tblPr/>
      <w:tcPr>
        <w:tcBorders>
          <w:top w:val="single" w:sz="8" w:space="0" w:color="auto"/>
          <w:bottom w:val="single" w:sz="8" w:space="0" w:color="auto"/>
        </w:tcBorders>
        <w:shd w:val="clear" w:color="auto" w:fill="FFF3CD"/>
      </w:tcPr>
    </w:tblStylePr>
    <w:tblStylePr w:type="firstCol">
      <w:rPr>
        <w:b w:val="0"/>
        <w:bCs/>
      </w:rPr>
    </w:tblStylePr>
    <w:tblStylePr w:type="lastCol">
      <w:rPr>
        <w:b w:val="0"/>
        <w:bCs/>
      </w:rPr>
    </w:tblStylePr>
    <w:tblStylePr w:type="band1Vert">
      <w:tblPr/>
      <w:tcPr>
        <w:shd w:val="clear" w:color="auto" w:fill="F2F2F2"/>
      </w:tcPr>
    </w:tblStylePr>
    <w:tblStylePr w:type="band1Horz">
      <w:tblPr/>
      <w:tcPr>
        <w:shd w:val="clear" w:color="auto" w:fill="FFF3CD"/>
      </w:tcPr>
    </w:tblStylePr>
    <w:tblStylePr w:type="band2Horz">
      <w:tblPr/>
      <w:tcPr>
        <w:shd w:val="clear" w:color="auto" w:fill="FFFFFF"/>
      </w:tcPr>
    </w:tblStylePr>
  </w:style>
  <w:style w:type="table" w:customStyle="1" w:styleId="Table2">
    <w:name w:val="Table 2"/>
    <w:basedOn w:val="TableNormal"/>
    <w:uiPriority w:val="99"/>
    <w:rsid w:val="003443B9"/>
    <w:pPr>
      <w:spacing w:before="90" w:after="40" w:line="288" w:lineRule="auto"/>
    </w:pPr>
    <w:rPr>
      <w:rFonts w:eastAsia="Times New Roman" w:cs="Times New Roman"/>
      <w:sz w:val="20"/>
      <w:szCs w:val="20"/>
      <w:lang w:eastAsia="en-AU"/>
    </w:rPr>
    <w:tblPr>
      <w:tblStyleColBandSize w:val="1"/>
      <w:tblBorders>
        <w:top w:val="dotted" w:sz="4" w:space="0" w:color="000000" w:themeColor="text1"/>
        <w:bottom w:val="dotted" w:sz="4" w:space="0" w:color="000000" w:themeColor="text1"/>
        <w:insideH w:val="dotted" w:sz="4" w:space="0" w:color="000000" w:themeColor="text1"/>
        <w:insideV w:val="dotted" w:sz="4" w:space="0" w:color="000000" w:themeColor="text1"/>
      </w:tblBorders>
      <w:tblCellMar>
        <w:left w:w="45" w:type="dxa"/>
        <w:right w:w="45" w:type="dxa"/>
      </w:tblCellMar>
    </w:tblPr>
    <w:tblStylePr w:type="firstRow">
      <w:rPr>
        <w:rFonts w:asciiTheme="majorHAnsi" w:hAnsiTheme="majorHAnsi"/>
        <w:caps/>
        <w:smallCaps w:val="0"/>
      </w:rPr>
      <w:tblPr/>
      <w:tcPr>
        <w:tcBorders>
          <w:top w:val="single" w:sz="4" w:space="0" w:color="000000" w:themeColor="text1"/>
          <w:left w:val="nil"/>
          <w:bottom w:val="single" w:sz="4" w:space="0" w:color="000000" w:themeColor="text1"/>
          <w:right w:val="nil"/>
          <w:insideH w:val="dotted" w:sz="4" w:space="0" w:color="000000" w:themeColor="text1"/>
          <w:insideV w:val="dotted" w:sz="4" w:space="0" w:color="000000" w:themeColor="text1"/>
          <w:tl2br w:val="nil"/>
          <w:tr2bl w:val="nil"/>
        </w:tcBorders>
        <w:shd w:val="clear" w:color="auto" w:fill="FFFFFF"/>
      </w:tcPr>
    </w:tblStylePr>
    <w:tblStylePr w:type="firstCol">
      <w:tblPr/>
      <w:tcPr>
        <w:shd w:val="clear" w:color="auto" w:fill="EEB600" w:themeFill="accent2" w:themeFillShade="E6"/>
      </w:tcPr>
    </w:tblStylePr>
    <w:tblStylePr w:type="band2Vert">
      <w:tblPr/>
      <w:tcPr>
        <w:shd w:val="clear" w:color="auto" w:fill="FCE4E9" w:themeFill="accent3" w:themeFillTint="1A"/>
      </w:tcPr>
    </w:tblStylePr>
  </w:style>
  <w:style w:type="paragraph" w:styleId="Caption">
    <w:name w:val="caption"/>
    <w:basedOn w:val="Normal"/>
    <w:next w:val="BodyText"/>
    <w:rsid w:val="00E137E5"/>
    <w:pPr>
      <w:keepNext/>
      <w:keepLines/>
      <w:tabs>
        <w:tab w:val="left" w:pos="1418"/>
      </w:tabs>
      <w:ind w:left="1418" w:hanging="1418"/>
    </w:pPr>
    <w:rPr>
      <w:b/>
      <w:bCs/>
      <w:sz w:val="18"/>
      <w:szCs w:val="20"/>
      <w:lang w:eastAsia="fr-CA"/>
    </w:rPr>
  </w:style>
  <w:style w:type="paragraph" w:customStyle="1" w:styleId="Heading1NoNumber">
    <w:name w:val="Heading 1 No Number"/>
    <w:basedOn w:val="Heading1"/>
    <w:next w:val="BodyText"/>
    <w:qFormat/>
    <w:rsid w:val="00E03232"/>
    <w:pPr>
      <w:numPr>
        <w:numId w:val="0"/>
      </w:numPr>
      <w:spacing w:after="240"/>
    </w:pPr>
    <w:rPr>
      <w:kern w:val="0"/>
      <w:sz w:val="48"/>
    </w:rPr>
  </w:style>
  <w:style w:type="paragraph" w:customStyle="1" w:styleId="Image">
    <w:name w:val="Image"/>
    <w:basedOn w:val="Normal"/>
    <w:next w:val="BodyText"/>
    <w:rsid w:val="004C6C22"/>
    <w:pPr>
      <w:keepNext/>
      <w:spacing w:before="240" w:after="0" w:line="288" w:lineRule="auto"/>
    </w:pPr>
    <w:rPr>
      <w:rFonts w:eastAsia="Times New Roman" w:cs="Times New Roman"/>
      <w:szCs w:val="20"/>
    </w:rPr>
  </w:style>
  <w:style w:type="paragraph" w:customStyle="1" w:styleId="Source">
    <w:name w:val="Source"/>
    <w:basedOn w:val="Normal"/>
    <w:next w:val="BodyText"/>
    <w:rsid w:val="00E137E5"/>
    <w:pPr>
      <w:tabs>
        <w:tab w:val="left" w:pos="851"/>
      </w:tabs>
      <w:spacing w:before="60" w:after="60" w:line="240" w:lineRule="auto"/>
      <w:ind w:left="851" w:hanging="851"/>
    </w:pPr>
    <w:rPr>
      <w:rFonts w:eastAsia="Times New Roman" w:cs="Arial"/>
      <w:i/>
      <w:sz w:val="18"/>
      <w:szCs w:val="20"/>
      <w:lang w:eastAsia="fr-CA"/>
    </w:rPr>
  </w:style>
  <w:style w:type="paragraph" w:customStyle="1" w:styleId="TableText">
    <w:name w:val="Table Text"/>
    <w:aliases w:val="xtt,tabletext,tt"/>
    <w:basedOn w:val="Normal"/>
    <w:link w:val="TableTextChar"/>
    <w:uiPriority w:val="8"/>
    <w:qFormat/>
    <w:rsid w:val="00E137E5"/>
    <w:pPr>
      <w:spacing w:before="80" w:after="80" w:line="240" w:lineRule="auto"/>
    </w:pPr>
    <w:rPr>
      <w:rFonts w:eastAsia="Times New Roman" w:cs="Arial"/>
      <w:color w:val="000000" w:themeColor="text1"/>
      <w:sz w:val="18"/>
    </w:rPr>
  </w:style>
  <w:style w:type="paragraph" w:customStyle="1" w:styleId="TableBullet1">
    <w:name w:val="Table Bullet 1"/>
    <w:basedOn w:val="ListBullet"/>
    <w:qFormat/>
    <w:rsid w:val="00E137E5"/>
    <w:pPr>
      <w:spacing w:before="80" w:after="80" w:line="240" w:lineRule="auto"/>
    </w:pPr>
    <w:rPr>
      <w:bCs/>
      <w:sz w:val="18"/>
      <w:lang w:eastAsia="fr-CA"/>
    </w:rPr>
  </w:style>
  <w:style w:type="paragraph" w:customStyle="1" w:styleId="TableBullet2">
    <w:name w:val="Table Bullet 2"/>
    <w:basedOn w:val="ListBullet2"/>
    <w:rsid w:val="00E137E5"/>
    <w:pPr>
      <w:spacing w:before="80" w:after="80" w:line="240" w:lineRule="auto"/>
    </w:pPr>
    <w:rPr>
      <w:bCs/>
      <w:color w:val="000000" w:themeColor="text1"/>
      <w:sz w:val="18"/>
    </w:rPr>
  </w:style>
  <w:style w:type="paragraph" w:customStyle="1" w:styleId="TableBullet3">
    <w:name w:val="Table Bullet 3"/>
    <w:basedOn w:val="ListBullet3"/>
    <w:rsid w:val="00E137E5"/>
    <w:pPr>
      <w:spacing w:before="80" w:after="80" w:line="240" w:lineRule="auto"/>
    </w:pPr>
    <w:rPr>
      <w:bCs/>
      <w:color w:val="000000" w:themeColor="text1"/>
      <w:sz w:val="18"/>
    </w:rPr>
  </w:style>
  <w:style w:type="paragraph" w:customStyle="1" w:styleId="TableHeading">
    <w:name w:val="Table Heading"/>
    <w:basedOn w:val="Normal"/>
    <w:uiPriority w:val="2"/>
    <w:rsid w:val="00E137E5"/>
    <w:pPr>
      <w:suppressAutoHyphens/>
      <w:spacing w:before="80" w:after="80" w:line="240" w:lineRule="auto"/>
    </w:pPr>
    <w:rPr>
      <w:rFonts w:eastAsia="Times New Roman" w:cs="Arial"/>
      <w:b/>
      <w:bCs/>
      <w:sz w:val="18"/>
      <w:szCs w:val="20"/>
    </w:rPr>
  </w:style>
  <w:style w:type="table" w:styleId="TableList1">
    <w:name w:val="Table List 1"/>
    <w:basedOn w:val="TableNormal"/>
    <w:semiHidden/>
    <w:unhideWhenUsed/>
    <w:rsid w:val="004C6C22"/>
    <w:pPr>
      <w:spacing w:after="0" w:line="288" w:lineRule="auto"/>
    </w:pPr>
    <w:rPr>
      <w:rFonts w:eastAsia="Times New Roman" w:cs="Times New Roman"/>
      <w:sz w:val="20"/>
      <w:szCs w:val="20"/>
      <w:lang w:val="fr-CA"/>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unhideWhenUsed/>
    <w:rsid w:val="004C6C22"/>
    <w:pPr>
      <w:spacing w:after="0" w:line="288" w:lineRule="auto"/>
    </w:pPr>
    <w:rPr>
      <w:rFonts w:eastAsia="Times New Roman" w:cs="Times New Roman"/>
      <w:sz w:val="20"/>
      <w:szCs w:val="20"/>
      <w:lang w:val="fr-CA"/>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unhideWhenUsed/>
    <w:rsid w:val="004C6C22"/>
    <w:pPr>
      <w:spacing w:after="0" w:line="288" w:lineRule="auto"/>
    </w:pPr>
    <w:rPr>
      <w:rFonts w:eastAsia="Times New Roman" w:cs="Times New Roman"/>
      <w:sz w:val="20"/>
      <w:szCs w:val="20"/>
      <w:lang w:val="fr-CA"/>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paragraph" w:styleId="TOAHeading">
    <w:name w:val="toa heading"/>
    <w:basedOn w:val="Normal"/>
    <w:next w:val="Normal"/>
    <w:unhideWhenUsed/>
    <w:rsid w:val="0006151E"/>
    <w:rPr>
      <w:rFonts w:eastAsiaTheme="majorEastAsia" w:cstheme="majorBidi"/>
      <w:bCs/>
      <w:color w:val="004F9E"/>
      <w:sz w:val="36"/>
      <w:szCs w:val="24"/>
    </w:rPr>
  </w:style>
  <w:style w:type="table" w:customStyle="1" w:styleId="Table3">
    <w:name w:val="Table 3"/>
    <w:basedOn w:val="TableNormal"/>
    <w:uiPriority w:val="99"/>
    <w:rsid w:val="003443B9"/>
    <w:pPr>
      <w:spacing w:before="90" w:after="40" w:line="288" w:lineRule="auto"/>
    </w:pPr>
    <w:rPr>
      <w:rFonts w:eastAsia="Times New Roman" w:cs="Times New Roman"/>
      <w:sz w:val="20"/>
      <w:szCs w:val="20"/>
      <w:lang w:eastAsia="en-AU"/>
    </w:rPr>
    <w:tblPr>
      <w:tblStyleColBandSize w:val="1"/>
      <w:tblBorders>
        <w:top w:val="single" w:sz="2" w:space="0" w:color="1C2B39" w:themeColor="text2"/>
        <w:left w:val="single" w:sz="2" w:space="0" w:color="1C2B39" w:themeColor="text2"/>
        <w:bottom w:val="single" w:sz="2" w:space="0" w:color="1C2B39" w:themeColor="text2"/>
        <w:right w:val="single" w:sz="2" w:space="0" w:color="1C2B39" w:themeColor="text2"/>
        <w:insideH w:val="single" w:sz="2" w:space="0" w:color="1C2B39" w:themeColor="text2"/>
        <w:insideV w:val="single" w:sz="2" w:space="0" w:color="1C2B39" w:themeColor="text2"/>
      </w:tblBorders>
      <w:tblCellMar>
        <w:left w:w="45" w:type="dxa"/>
        <w:right w:w="45" w:type="dxa"/>
      </w:tblCellMar>
    </w:tblPr>
    <w:tblStylePr w:type="firstRow">
      <w:rPr>
        <w:rFonts w:asciiTheme="majorHAnsi" w:hAnsiTheme="majorHAnsi"/>
        <w:caps/>
        <w:smallCaps w:val="0"/>
      </w:rPr>
      <w:tblPr/>
      <w:tcPr>
        <w:tcBorders>
          <w:top w:val="single" w:sz="2" w:space="0" w:color="692686" w:themeColor="accent4"/>
          <w:left w:val="single" w:sz="2" w:space="0" w:color="692686" w:themeColor="accent4"/>
          <w:bottom w:val="single" w:sz="2" w:space="0" w:color="692686" w:themeColor="accent4"/>
          <w:right w:val="single" w:sz="2" w:space="0" w:color="692686" w:themeColor="accent4"/>
          <w:insideH w:val="single" w:sz="2" w:space="0" w:color="692686" w:themeColor="accent4"/>
          <w:insideV w:val="single" w:sz="2" w:space="0" w:color="692686" w:themeColor="accent4"/>
          <w:tl2br w:val="nil"/>
          <w:tr2bl w:val="nil"/>
        </w:tcBorders>
        <w:shd w:val="clear" w:color="auto" w:fill="E4CAF0" w:themeFill="accent4" w:themeFillTint="33"/>
      </w:tcPr>
    </w:tblStylePr>
    <w:tblStylePr w:type="firstCol">
      <w:tblPr/>
      <w:tcPr>
        <w:shd w:val="clear" w:color="auto" w:fill="EEB600" w:themeFill="accent2" w:themeFillShade="E6"/>
      </w:tcPr>
    </w:tblStylePr>
    <w:tblStylePr w:type="band2Vert">
      <w:tblPr/>
      <w:tcPr>
        <w:shd w:val="clear" w:color="auto" w:fill="FCE4E9" w:themeFill="accent3" w:themeFillTint="1A"/>
      </w:tcPr>
    </w:tblStylePr>
  </w:style>
  <w:style w:type="paragraph" w:customStyle="1" w:styleId="Notes">
    <w:name w:val="Notes"/>
    <w:basedOn w:val="BodyText"/>
    <w:qFormat/>
    <w:rsid w:val="00E137E5"/>
    <w:pPr>
      <w:tabs>
        <w:tab w:val="left" w:pos="2268"/>
        <w:tab w:val="left" w:pos="4536"/>
        <w:tab w:val="left" w:pos="6804"/>
        <w:tab w:val="right" w:pos="9638"/>
      </w:tabs>
      <w:spacing w:before="60" w:after="60" w:line="240" w:lineRule="auto"/>
    </w:pPr>
    <w:rPr>
      <w:rFonts w:eastAsia="Times New Roman" w:cs="Arial"/>
      <w:sz w:val="18"/>
      <w:szCs w:val="20"/>
      <w:lang w:eastAsia="en-AU"/>
    </w:rPr>
  </w:style>
  <w:style w:type="paragraph" w:customStyle="1" w:styleId="Footnotes">
    <w:name w:val="Footnotes"/>
    <w:basedOn w:val="Normal"/>
    <w:rsid w:val="00C053A5"/>
    <w:pPr>
      <w:numPr>
        <w:ilvl w:val="1"/>
        <w:numId w:val="8"/>
      </w:numPr>
      <w:spacing w:before="60" w:after="60" w:line="240" w:lineRule="auto"/>
    </w:pPr>
    <w:rPr>
      <w:rFonts w:eastAsia="Times New Roman" w:cs="Arial"/>
      <w:sz w:val="16"/>
      <w:szCs w:val="20"/>
      <w:lang w:eastAsia="en-AU"/>
    </w:rPr>
  </w:style>
  <w:style w:type="paragraph" w:customStyle="1" w:styleId="TableHeadingAllCaps">
    <w:name w:val="Table Heading All Caps"/>
    <w:basedOn w:val="TableHeading"/>
    <w:qFormat/>
    <w:rsid w:val="003443B9"/>
    <w:rPr>
      <w:caps/>
      <w:lang w:eastAsia="en-AU"/>
    </w:rPr>
  </w:style>
  <w:style w:type="paragraph" w:styleId="TableofFigures">
    <w:name w:val="table of figures"/>
    <w:basedOn w:val="TOC3"/>
    <w:next w:val="Normal"/>
    <w:uiPriority w:val="99"/>
    <w:rsid w:val="00B76487"/>
    <w:pPr>
      <w:tabs>
        <w:tab w:val="clear" w:pos="851"/>
        <w:tab w:val="left" w:pos="1134"/>
      </w:tabs>
      <w:ind w:left="1134" w:hanging="1134"/>
    </w:pPr>
  </w:style>
  <w:style w:type="paragraph" w:customStyle="1" w:styleId="TableListNumber">
    <w:name w:val="Table List Number"/>
    <w:basedOn w:val="ListNumber"/>
    <w:qFormat/>
    <w:rsid w:val="00E137E5"/>
    <w:pPr>
      <w:spacing w:before="80" w:after="80" w:line="240" w:lineRule="auto"/>
    </w:pPr>
    <w:rPr>
      <w:bCs/>
      <w:color w:val="000000" w:themeColor="text1"/>
      <w:sz w:val="18"/>
    </w:rPr>
  </w:style>
  <w:style w:type="paragraph" w:customStyle="1" w:styleId="TableListNumber2">
    <w:name w:val="Table List Number 2"/>
    <w:basedOn w:val="ListNumber2"/>
    <w:qFormat/>
    <w:rsid w:val="00E137E5"/>
    <w:pPr>
      <w:spacing w:before="80" w:after="80" w:line="240" w:lineRule="auto"/>
    </w:pPr>
    <w:rPr>
      <w:bCs/>
      <w:color w:val="000000" w:themeColor="text1"/>
      <w:sz w:val="18"/>
    </w:rPr>
  </w:style>
  <w:style w:type="paragraph" w:customStyle="1" w:styleId="TableListNumber3">
    <w:name w:val="Table List Number 3"/>
    <w:basedOn w:val="ListNumber3"/>
    <w:qFormat/>
    <w:rsid w:val="00E137E5"/>
    <w:pPr>
      <w:spacing w:before="80" w:after="80" w:line="240" w:lineRule="auto"/>
    </w:pPr>
    <w:rPr>
      <w:bCs/>
      <w:color w:val="000000" w:themeColor="text1"/>
      <w:sz w:val="18"/>
    </w:rPr>
  </w:style>
  <w:style w:type="character" w:styleId="CommentReference">
    <w:name w:val="annotation reference"/>
    <w:basedOn w:val="DefaultParagraphFont"/>
    <w:uiPriority w:val="39"/>
    <w:semiHidden/>
    <w:unhideWhenUsed/>
    <w:rsid w:val="00D03A49"/>
    <w:rPr>
      <w:sz w:val="16"/>
      <w:szCs w:val="16"/>
    </w:rPr>
  </w:style>
  <w:style w:type="paragraph" w:styleId="CommentText">
    <w:name w:val="annotation text"/>
    <w:basedOn w:val="Normal"/>
    <w:link w:val="CommentTextChar"/>
    <w:uiPriority w:val="39"/>
    <w:unhideWhenUsed/>
    <w:rsid w:val="00D03A49"/>
    <w:rPr>
      <w:szCs w:val="20"/>
    </w:rPr>
  </w:style>
  <w:style w:type="character" w:customStyle="1" w:styleId="CommentTextChar">
    <w:name w:val="Comment Text Char"/>
    <w:basedOn w:val="DefaultParagraphFont"/>
    <w:link w:val="CommentText"/>
    <w:uiPriority w:val="39"/>
    <w:rsid w:val="00D03A49"/>
    <w:rPr>
      <w:sz w:val="20"/>
      <w:szCs w:val="20"/>
    </w:rPr>
  </w:style>
  <w:style w:type="paragraph" w:styleId="CommentSubject">
    <w:name w:val="annotation subject"/>
    <w:basedOn w:val="CommentText"/>
    <w:next w:val="CommentText"/>
    <w:link w:val="CommentSubjectChar"/>
    <w:uiPriority w:val="39"/>
    <w:semiHidden/>
    <w:unhideWhenUsed/>
    <w:rsid w:val="00D03A49"/>
    <w:rPr>
      <w:b/>
      <w:bCs/>
    </w:rPr>
  </w:style>
  <w:style w:type="character" w:customStyle="1" w:styleId="CommentSubjectChar">
    <w:name w:val="Comment Subject Char"/>
    <w:basedOn w:val="CommentTextChar"/>
    <w:link w:val="CommentSubject"/>
    <w:uiPriority w:val="39"/>
    <w:semiHidden/>
    <w:rsid w:val="00D03A49"/>
    <w:rPr>
      <w:b/>
      <w:bCs/>
      <w:sz w:val="20"/>
      <w:szCs w:val="20"/>
    </w:rPr>
  </w:style>
  <w:style w:type="paragraph" w:styleId="Revision">
    <w:name w:val="Revision"/>
    <w:hidden/>
    <w:uiPriority w:val="99"/>
    <w:semiHidden/>
    <w:rsid w:val="007940EC"/>
    <w:pPr>
      <w:spacing w:after="0" w:line="240" w:lineRule="auto"/>
    </w:pPr>
    <w:rPr>
      <w:sz w:val="19"/>
    </w:rPr>
  </w:style>
  <w:style w:type="paragraph" w:styleId="Bibliography">
    <w:name w:val="Bibliography"/>
    <w:basedOn w:val="Normal"/>
    <w:next w:val="Normal"/>
    <w:semiHidden/>
    <w:unhideWhenUsed/>
    <w:rsid w:val="0072670F"/>
  </w:style>
  <w:style w:type="paragraph" w:styleId="BlockText">
    <w:name w:val="Block Text"/>
    <w:basedOn w:val="Normal"/>
    <w:semiHidden/>
    <w:unhideWhenUsed/>
    <w:rsid w:val="0072670F"/>
    <w:pPr>
      <w:pBdr>
        <w:top w:val="single" w:sz="2" w:space="10" w:color="D7D8D6" w:themeColor="accent1"/>
        <w:left w:val="single" w:sz="2" w:space="10" w:color="D7D8D6" w:themeColor="accent1"/>
        <w:bottom w:val="single" w:sz="2" w:space="10" w:color="D7D8D6" w:themeColor="accent1"/>
        <w:right w:val="single" w:sz="2" w:space="10" w:color="D7D8D6" w:themeColor="accent1"/>
      </w:pBdr>
      <w:ind w:left="1152" w:right="1152"/>
    </w:pPr>
    <w:rPr>
      <w:rFonts w:eastAsiaTheme="minorEastAsia"/>
      <w:i/>
      <w:iCs/>
      <w:color w:val="D7D8D6" w:themeColor="accent1"/>
    </w:rPr>
  </w:style>
  <w:style w:type="paragraph" w:styleId="BodyTextIndent">
    <w:name w:val="Body Text Indent"/>
    <w:basedOn w:val="Normal"/>
    <w:link w:val="BodyTextIndentChar"/>
    <w:semiHidden/>
    <w:unhideWhenUsed/>
    <w:rsid w:val="0072670F"/>
    <w:pPr>
      <w:ind w:left="283"/>
    </w:pPr>
  </w:style>
  <w:style w:type="character" w:customStyle="1" w:styleId="BodyTextIndentChar">
    <w:name w:val="Body Text Indent Char"/>
    <w:basedOn w:val="DefaultParagraphFont"/>
    <w:link w:val="BodyTextIndent"/>
    <w:semiHidden/>
    <w:rsid w:val="0072670F"/>
    <w:rPr>
      <w:sz w:val="19"/>
    </w:rPr>
  </w:style>
  <w:style w:type="paragraph" w:styleId="BodyTextFirstIndent2">
    <w:name w:val="Body Text First Indent 2"/>
    <w:basedOn w:val="BodyTextIndent"/>
    <w:link w:val="BodyTextFirstIndent2Char"/>
    <w:semiHidden/>
    <w:unhideWhenUsed/>
    <w:rsid w:val="0072670F"/>
    <w:pPr>
      <w:spacing w:after="200"/>
      <w:ind w:left="360" w:firstLine="360"/>
    </w:pPr>
  </w:style>
  <w:style w:type="character" w:customStyle="1" w:styleId="BodyTextFirstIndent2Char">
    <w:name w:val="Body Text First Indent 2 Char"/>
    <w:basedOn w:val="BodyTextIndentChar"/>
    <w:link w:val="BodyTextFirstIndent2"/>
    <w:semiHidden/>
    <w:rsid w:val="0072670F"/>
    <w:rPr>
      <w:sz w:val="19"/>
    </w:rPr>
  </w:style>
  <w:style w:type="paragraph" w:styleId="BodyTextIndent2">
    <w:name w:val="Body Text Indent 2"/>
    <w:basedOn w:val="Normal"/>
    <w:link w:val="BodyTextIndent2Char"/>
    <w:semiHidden/>
    <w:unhideWhenUsed/>
    <w:rsid w:val="0072670F"/>
    <w:pPr>
      <w:spacing w:line="480" w:lineRule="auto"/>
      <w:ind w:left="283"/>
    </w:pPr>
  </w:style>
  <w:style w:type="character" w:customStyle="1" w:styleId="BodyTextIndent2Char">
    <w:name w:val="Body Text Indent 2 Char"/>
    <w:basedOn w:val="DefaultParagraphFont"/>
    <w:link w:val="BodyTextIndent2"/>
    <w:semiHidden/>
    <w:rsid w:val="0072670F"/>
    <w:rPr>
      <w:sz w:val="19"/>
    </w:rPr>
  </w:style>
  <w:style w:type="paragraph" w:styleId="BodyTextIndent3">
    <w:name w:val="Body Text Indent 3"/>
    <w:basedOn w:val="Normal"/>
    <w:link w:val="BodyTextIndent3Char"/>
    <w:semiHidden/>
    <w:unhideWhenUsed/>
    <w:rsid w:val="0072670F"/>
    <w:pPr>
      <w:ind w:left="283"/>
    </w:pPr>
    <w:rPr>
      <w:sz w:val="16"/>
      <w:szCs w:val="16"/>
    </w:rPr>
  </w:style>
  <w:style w:type="character" w:customStyle="1" w:styleId="BodyTextIndent3Char">
    <w:name w:val="Body Text Indent 3 Char"/>
    <w:basedOn w:val="DefaultParagraphFont"/>
    <w:link w:val="BodyTextIndent3"/>
    <w:semiHidden/>
    <w:rsid w:val="0072670F"/>
    <w:rPr>
      <w:sz w:val="16"/>
      <w:szCs w:val="16"/>
    </w:rPr>
  </w:style>
  <w:style w:type="paragraph" w:styleId="Closing">
    <w:name w:val="Closing"/>
    <w:basedOn w:val="Normal"/>
    <w:link w:val="ClosingChar"/>
    <w:semiHidden/>
    <w:unhideWhenUsed/>
    <w:rsid w:val="0072670F"/>
    <w:pPr>
      <w:spacing w:after="0"/>
      <w:ind w:left="4252"/>
    </w:pPr>
  </w:style>
  <w:style w:type="character" w:customStyle="1" w:styleId="ClosingChar">
    <w:name w:val="Closing Char"/>
    <w:basedOn w:val="DefaultParagraphFont"/>
    <w:link w:val="Closing"/>
    <w:semiHidden/>
    <w:rsid w:val="0072670F"/>
    <w:rPr>
      <w:sz w:val="19"/>
    </w:rPr>
  </w:style>
  <w:style w:type="paragraph" w:styleId="Date">
    <w:name w:val="Date"/>
    <w:basedOn w:val="Normal"/>
    <w:next w:val="Normal"/>
    <w:link w:val="DateChar"/>
    <w:unhideWhenUsed/>
    <w:rsid w:val="0072670F"/>
  </w:style>
  <w:style w:type="character" w:customStyle="1" w:styleId="DateChar">
    <w:name w:val="Date Char"/>
    <w:basedOn w:val="DefaultParagraphFont"/>
    <w:link w:val="Date"/>
    <w:rsid w:val="0072670F"/>
    <w:rPr>
      <w:sz w:val="19"/>
    </w:rPr>
  </w:style>
  <w:style w:type="paragraph" w:styleId="E-mailSignature">
    <w:name w:val="E-mail Signature"/>
    <w:basedOn w:val="Normal"/>
    <w:link w:val="E-mailSignatureChar"/>
    <w:semiHidden/>
    <w:unhideWhenUsed/>
    <w:rsid w:val="0072670F"/>
    <w:pPr>
      <w:spacing w:after="0"/>
    </w:pPr>
  </w:style>
  <w:style w:type="character" w:customStyle="1" w:styleId="E-mailSignatureChar">
    <w:name w:val="E-mail Signature Char"/>
    <w:basedOn w:val="DefaultParagraphFont"/>
    <w:link w:val="E-mailSignature"/>
    <w:semiHidden/>
    <w:rsid w:val="0072670F"/>
    <w:rPr>
      <w:sz w:val="19"/>
    </w:rPr>
  </w:style>
  <w:style w:type="paragraph" w:styleId="EndnoteText">
    <w:name w:val="endnote text"/>
    <w:basedOn w:val="Normal"/>
    <w:link w:val="EndnoteTextChar"/>
    <w:semiHidden/>
    <w:unhideWhenUsed/>
    <w:rsid w:val="0072670F"/>
    <w:pPr>
      <w:spacing w:after="0"/>
    </w:pPr>
    <w:rPr>
      <w:szCs w:val="20"/>
    </w:rPr>
  </w:style>
  <w:style w:type="character" w:customStyle="1" w:styleId="EndnoteTextChar">
    <w:name w:val="Endnote Text Char"/>
    <w:basedOn w:val="DefaultParagraphFont"/>
    <w:link w:val="EndnoteText"/>
    <w:semiHidden/>
    <w:rsid w:val="0072670F"/>
    <w:rPr>
      <w:sz w:val="20"/>
      <w:szCs w:val="20"/>
    </w:rPr>
  </w:style>
  <w:style w:type="paragraph" w:styleId="EnvelopeAddress">
    <w:name w:val="envelope address"/>
    <w:basedOn w:val="Normal"/>
    <w:semiHidden/>
    <w:unhideWhenUsed/>
    <w:rsid w:val="0072670F"/>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velopeReturn">
    <w:name w:val="envelope return"/>
    <w:basedOn w:val="Normal"/>
    <w:semiHidden/>
    <w:unhideWhenUsed/>
    <w:rsid w:val="0072670F"/>
    <w:pPr>
      <w:spacing w:after="0"/>
    </w:pPr>
    <w:rPr>
      <w:rFonts w:asciiTheme="majorHAnsi" w:eastAsiaTheme="majorEastAsia" w:hAnsiTheme="majorHAnsi" w:cstheme="majorBidi"/>
      <w:szCs w:val="20"/>
    </w:rPr>
  </w:style>
  <w:style w:type="paragraph" w:styleId="FootnoteText">
    <w:name w:val="footnote text"/>
    <w:basedOn w:val="Normal"/>
    <w:link w:val="FootnoteTextChar"/>
    <w:unhideWhenUsed/>
    <w:rsid w:val="004F6FEB"/>
    <w:pPr>
      <w:spacing w:after="0"/>
      <w:ind w:left="284" w:hanging="284"/>
    </w:pPr>
    <w:rPr>
      <w:sz w:val="18"/>
      <w:szCs w:val="20"/>
    </w:rPr>
  </w:style>
  <w:style w:type="character" w:customStyle="1" w:styleId="FootnoteTextChar">
    <w:name w:val="Footnote Text Char"/>
    <w:basedOn w:val="DefaultParagraphFont"/>
    <w:link w:val="FootnoteText"/>
    <w:rsid w:val="004F6FEB"/>
    <w:rPr>
      <w:rFonts w:ascii="Arial" w:hAnsi="Arial"/>
      <w:sz w:val="18"/>
      <w:szCs w:val="20"/>
    </w:rPr>
  </w:style>
  <w:style w:type="character" w:customStyle="1" w:styleId="Heading7Char">
    <w:name w:val="Heading 7 Char"/>
    <w:basedOn w:val="DefaultParagraphFont"/>
    <w:link w:val="Heading7"/>
    <w:rsid w:val="0072670F"/>
    <w:rPr>
      <w:rFonts w:asciiTheme="majorHAnsi" w:eastAsiaTheme="majorEastAsia" w:hAnsiTheme="majorHAnsi" w:cstheme="majorBidi"/>
      <w:i/>
      <w:iCs/>
      <w:color w:val="6A6D68" w:themeColor="accent1" w:themeShade="7F"/>
      <w:sz w:val="19"/>
    </w:rPr>
  </w:style>
  <w:style w:type="character" w:customStyle="1" w:styleId="Heading8Char">
    <w:name w:val="Heading 8 Char"/>
    <w:aliases w:val="Appendix Title Char"/>
    <w:basedOn w:val="DefaultParagraphFont"/>
    <w:link w:val="Heading8"/>
    <w:rsid w:val="0072670F"/>
    <w:rPr>
      <w:rFonts w:asciiTheme="majorHAnsi" w:eastAsiaTheme="majorEastAsia" w:hAnsiTheme="majorHAnsi" w:cstheme="majorBidi"/>
      <w:color w:val="272727" w:themeColor="text1" w:themeTint="D8"/>
      <w:sz w:val="21"/>
      <w:szCs w:val="21"/>
    </w:rPr>
  </w:style>
  <w:style w:type="character" w:customStyle="1" w:styleId="Heading9Char">
    <w:name w:val="Heading 9 Char"/>
    <w:aliases w:val="Appendix Heading 1 Char"/>
    <w:basedOn w:val="DefaultParagraphFont"/>
    <w:link w:val="Heading9"/>
    <w:rsid w:val="0072670F"/>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semiHidden/>
    <w:unhideWhenUsed/>
    <w:rsid w:val="0072670F"/>
    <w:pPr>
      <w:spacing w:after="0"/>
    </w:pPr>
    <w:rPr>
      <w:i/>
      <w:iCs/>
    </w:rPr>
  </w:style>
  <w:style w:type="character" w:customStyle="1" w:styleId="HTMLAddressChar">
    <w:name w:val="HTML Address Char"/>
    <w:basedOn w:val="DefaultParagraphFont"/>
    <w:link w:val="HTMLAddress"/>
    <w:semiHidden/>
    <w:rsid w:val="0072670F"/>
    <w:rPr>
      <w:i/>
      <w:iCs/>
      <w:sz w:val="19"/>
    </w:rPr>
  </w:style>
  <w:style w:type="paragraph" w:styleId="HTMLPreformatted">
    <w:name w:val="HTML Preformatted"/>
    <w:basedOn w:val="Normal"/>
    <w:link w:val="HTMLPreformattedChar"/>
    <w:semiHidden/>
    <w:unhideWhenUsed/>
    <w:rsid w:val="0072670F"/>
    <w:pPr>
      <w:spacing w:after="0"/>
    </w:pPr>
    <w:rPr>
      <w:rFonts w:ascii="Consolas" w:hAnsi="Consolas" w:cs="Consolas"/>
      <w:szCs w:val="20"/>
    </w:rPr>
  </w:style>
  <w:style w:type="character" w:customStyle="1" w:styleId="HTMLPreformattedChar">
    <w:name w:val="HTML Preformatted Char"/>
    <w:basedOn w:val="DefaultParagraphFont"/>
    <w:link w:val="HTMLPreformatted"/>
    <w:semiHidden/>
    <w:rsid w:val="0072670F"/>
    <w:rPr>
      <w:rFonts w:ascii="Consolas" w:hAnsi="Consolas" w:cs="Consolas"/>
      <w:sz w:val="20"/>
      <w:szCs w:val="20"/>
    </w:rPr>
  </w:style>
  <w:style w:type="paragraph" w:styleId="Index1">
    <w:name w:val="index 1"/>
    <w:basedOn w:val="Normal"/>
    <w:next w:val="Normal"/>
    <w:autoRedefine/>
    <w:semiHidden/>
    <w:unhideWhenUsed/>
    <w:rsid w:val="0072670F"/>
    <w:pPr>
      <w:spacing w:after="0"/>
      <w:ind w:left="190" w:hanging="190"/>
    </w:pPr>
  </w:style>
  <w:style w:type="paragraph" w:styleId="Index2">
    <w:name w:val="index 2"/>
    <w:basedOn w:val="Normal"/>
    <w:next w:val="Normal"/>
    <w:autoRedefine/>
    <w:semiHidden/>
    <w:unhideWhenUsed/>
    <w:rsid w:val="0072670F"/>
    <w:pPr>
      <w:spacing w:after="0"/>
      <w:ind w:left="380" w:hanging="190"/>
    </w:pPr>
  </w:style>
  <w:style w:type="paragraph" w:styleId="Index3">
    <w:name w:val="index 3"/>
    <w:basedOn w:val="Normal"/>
    <w:next w:val="Normal"/>
    <w:autoRedefine/>
    <w:semiHidden/>
    <w:unhideWhenUsed/>
    <w:rsid w:val="0072670F"/>
    <w:pPr>
      <w:spacing w:after="0"/>
      <w:ind w:left="570" w:hanging="190"/>
    </w:pPr>
  </w:style>
  <w:style w:type="paragraph" w:styleId="Index4">
    <w:name w:val="index 4"/>
    <w:basedOn w:val="Normal"/>
    <w:next w:val="Normal"/>
    <w:autoRedefine/>
    <w:semiHidden/>
    <w:unhideWhenUsed/>
    <w:rsid w:val="0072670F"/>
    <w:pPr>
      <w:spacing w:after="0"/>
      <w:ind w:left="760" w:hanging="190"/>
    </w:pPr>
  </w:style>
  <w:style w:type="paragraph" w:styleId="Index5">
    <w:name w:val="index 5"/>
    <w:basedOn w:val="Normal"/>
    <w:next w:val="Normal"/>
    <w:autoRedefine/>
    <w:semiHidden/>
    <w:unhideWhenUsed/>
    <w:rsid w:val="0072670F"/>
    <w:pPr>
      <w:spacing w:after="0"/>
      <w:ind w:left="950" w:hanging="190"/>
    </w:pPr>
  </w:style>
  <w:style w:type="paragraph" w:styleId="Index6">
    <w:name w:val="index 6"/>
    <w:basedOn w:val="Normal"/>
    <w:next w:val="Normal"/>
    <w:autoRedefine/>
    <w:semiHidden/>
    <w:unhideWhenUsed/>
    <w:rsid w:val="0072670F"/>
    <w:pPr>
      <w:spacing w:after="0"/>
      <w:ind w:left="1140" w:hanging="190"/>
    </w:pPr>
  </w:style>
  <w:style w:type="paragraph" w:styleId="Index7">
    <w:name w:val="index 7"/>
    <w:basedOn w:val="Normal"/>
    <w:next w:val="Normal"/>
    <w:autoRedefine/>
    <w:semiHidden/>
    <w:unhideWhenUsed/>
    <w:rsid w:val="0072670F"/>
    <w:pPr>
      <w:spacing w:after="0"/>
      <w:ind w:left="1330" w:hanging="190"/>
    </w:pPr>
  </w:style>
  <w:style w:type="paragraph" w:styleId="Index8">
    <w:name w:val="index 8"/>
    <w:basedOn w:val="Normal"/>
    <w:next w:val="Normal"/>
    <w:autoRedefine/>
    <w:semiHidden/>
    <w:unhideWhenUsed/>
    <w:rsid w:val="0072670F"/>
    <w:pPr>
      <w:spacing w:after="0"/>
      <w:ind w:left="1520" w:hanging="190"/>
    </w:pPr>
  </w:style>
  <w:style w:type="paragraph" w:styleId="Index9">
    <w:name w:val="index 9"/>
    <w:basedOn w:val="Normal"/>
    <w:next w:val="Normal"/>
    <w:autoRedefine/>
    <w:semiHidden/>
    <w:unhideWhenUsed/>
    <w:rsid w:val="0072670F"/>
    <w:pPr>
      <w:spacing w:after="0"/>
      <w:ind w:left="1710" w:hanging="190"/>
    </w:pPr>
  </w:style>
  <w:style w:type="paragraph" w:styleId="IndexHeading">
    <w:name w:val="index heading"/>
    <w:basedOn w:val="Normal"/>
    <w:next w:val="Index1"/>
    <w:semiHidden/>
    <w:unhideWhenUsed/>
    <w:rsid w:val="0072670F"/>
    <w:rPr>
      <w:rFonts w:asciiTheme="majorHAnsi" w:eastAsiaTheme="majorEastAsia" w:hAnsiTheme="majorHAnsi" w:cstheme="majorBidi"/>
      <w:b/>
      <w:bCs/>
    </w:rPr>
  </w:style>
  <w:style w:type="paragraph" w:styleId="List">
    <w:name w:val="List"/>
    <w:basedOn w:val="Normal"/>
    <w:semiHidden/>
    <w:unhideWhenUsed/>
    <w:rsid w:val="0072670F"/>
    <w:pPr>
      <w:ind w:left="283" w:hanging="283"/>
      <w:contextualSpacing/>
    </w:pPr>
  </w:style>
  <w:style w:type="paragraph" w:styleId="List2">
    <w:name w:val="List 2"/>
    <w:basedOn w:val="Normal"/>
    <w:semiHidden/>
    <w:unhideWhenUsed/>
    <w:rsid w:val="0072670F"/>
    <w:pPr>
      <w:ind w:left="566" w:hanging="283"/>
      <w:contextualSpacing/>
    </w:pPr>
  </w:style>
  <w:style w:type="paragraph" w:styleId="List3">
    <w:name w:val="List 3"/>
    <w:basedOn w:val="Normal"/>
    <w:semiHidden/>
    <w:unhideWhenUsed/>
    <w:rsid w:val="0072670F"/>
    <w:pPr>
      <w:ind w:left="849" w:hanging="283"/>
      <w:contextualSpacing/>
    </w:pPr>
  </w:style>
  <w:style w:type="paragraph" w:styleId="List4">
    <w:name w:val="List 4"/>
    <w:basedOn w:val="Normal"/>
    <w:unhideWhenUsed/>
    <w:rsid w:val="0072670F"/>
    <w:pPr>
      <w:ind w:left="1132" w:hanging="283"/>
      <w:contextualSpacing/>
    </w:pPr>
  </w:style>
  <w:style w:type="paragraph" w:styleId="List5">
    <w:name w:val="List 5"/>
    <w:basedOn w:val="Normal"/>
    <w:unhideWhenUsed/>
    <w:rsid w:val="0072670F"/>
    <w:pPr>
      <w:ind w:left="1415" w:hanging="283"/>
      <w:contextualSpacing/>
    </w:pPr>
  </w:style>
  <w:style w:type="paragraph" w:styleId="ListContinue3">
    <w:name w:val="List Continue 3"/>
    <w:basedOn w:val="Normal"/>
    <w:rsid w:val="0072670F"/>
    <w:pPr>
      <w:ind w:left="849"/>
      <w:contextualSpacing/>
    </w:pPr>
  </w:style>
  <w:style w:type="paragraph" w:styleId="ListContinue4">
    <w:name w:val="List Continue 4"/>
    <w:basedOn w:val="Normal"/>
    <w:rsid w:val="0072670F"/>
    <w:pPr>
      <w:ind w:left="1132"/>
      <w:contextualSpacing/>
    </w:pPr>
  </w:style>
  <w:style w:type="paragraph" w:styleId="ListContinue5">
    <w:name w:val="List Continue 5"/>
    <w:basedOn w:val="Normal"/>
    <w:rsid w:val="0072670F"/>
    <w:pPr>
      <w:ind w:left="1415"/>
      <w:contextualSpacing/>
    </w:pPr>
  </w:style>
  <w:style w:type="paragraph" w:styleId="ListNumber4">
    <w:name w:val="List Number 4"/>
    <w:basedOn w:val="Normal"/>
    <w:unhideWhenUsed/>
    <w:rsid w:val="0072670F"/>
    <w:pPr>
      <w:numPr>
        <w:numId w:val="1"/>
      </w:numPr>
      <w:contextualSpacing/>
    </w:pPr>
  </w:style>
  <w:style w:type="paragraph" w:styleId="ListNumber5">
    <w:name w:val="List Number 5"/>
    <w:basedOn w:val="Normal"/>
    <w:unhideWhenUsed/>
    <w:rsid w:val="0072670F"/>
    <w:pPr>
      <w:numPr>
        <w:numId w:val="2"/>
      </w:numPr>
      <w:contextualSpacing/>
    </w:pPr>
  </w:style>
  <w:style w:type="paragraph" w:styleId="MacroText">
    <w:name w:val="macro"/>
    <w:link w:val="MacroTextChar"/>
    <w:semiHidden/>
    <w:rsid w:val="0072670F"/>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hAnsi="Consolas" w:cs="Consolas"/>
      <w:sz w:val="20"/>
      <w:szCs w:val="20"/>
    </w:rPr>
  </w:style>
  <w:style w:type="character" w:customStyle="1" w:styleId="MacroTextChar">
    <w:name w:val="Macro Text Char"/>
    <w:basedOn w:val="DefaultParagraphFont"/>
    <w:link w:val="MacroText"/>
    <w:semiHidden/>
    <w:rsid w:val="0072670F"/>
    <w:rPr>
      <w:rFonts w:ascii="Consolas" w:hAnsi="Consolas" w:cs="Consolas"/>
      <w:sz w:val="20"/>
      <w:szCs w:val="20"/>
    </w:rPr>
  </w:style>
  <w:style w:type="paragraph" w:styleId="MessageHeader">
    <w:name w:val="Message Header"/>
    <w:basedOn w:val="Normal"/>
    <w:link w:val="MessageHeaderChar"/>
    <w:semiHidden/>
    <w:rsid w:val="0072670F"/>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semiHidden/>
    <w:rsid w:val="0072670F"/>
    <w:rPr>
      <w:rFonts w:asciiTheme="majorHAnsi" w:eastAsiaTheme="majorEastAsia" w:hAnsiTheme="majorHAnsi" w:cstheme="majorBidi"/>
      <w:sz w:val="24"/>
      <w:szCs w:val="24"/>
      <w:shd w:val="pct20" w:color="auto" w:fill="auto"/>
    </w:rPr>
  </w:style>
  <w:style w:type="paragraph" w:styleId="NormalWeb">
    <w:name w:val="Normal (Web)"/>
    <w:basedOn w:val="Normal"/>
    <w:uiPriority w:val="99"/>
    <w:semiHidden/>
    <w:unhideWhenUsed/>
    <w:rsid w:val="0072670F"/>
    <w:rPr>
      <w:rFonts w:ascii="Times New Roman" w:hAnsi="Times New Roman" w:cs="Times New Roman"/>
      <w:sz w:val="24"/>
      <w:szCs w:val="24"/>
    </w:rPr>
  </w:style>
  <w:style w:type="paragraph" w:styleId="NoteHeading">
    <w:name w:val="Note Heading"/>
    <w:basedOn w:val="Normal"/>
    <w:next w:val="Normal"/>
    <w:link w:val="NoteHeadingChar"/>
    <w:unhideWhenUsed/>
    <w:rsid w:val="0072670F"/>
    <w:pPr>
      <w:spacing w:after="0"/>
    </w:pPr>
  </w:style>
  <w:style w:type="character" w:customStyle="1" w:styleId="NoteHeadingChar">
    <w:name w:val="Note Heading Char"/>
    <w:basedOn w:val="DefaultParagraphFont"/>
    <w:link w:val="NoteHeading"/>
    <w:rsid w:val="0072670F"/>
    <w:rPr>
      <w:sz w:val="19"/>
    </w:rPr>
  </w:style>
  <w:style w:type="paragraph" w:styleId="PlainText">
    <w:name w:val="Plain Text"/>
    <w:basedOn w:val="Normal"/>
    <w:link w:val="PlainTextChar"/>
    <w:uiPriority w:val="39"/>
    <w:semiHidden/>
    <w:unhideWhenUsed/>
    <w:rsid w:val="0072670F"/>
    <w:pPr>
      <w:spacing w:after="0"/>
    </w:pPr>
    <w:rPr>
      <w:rFonts w:ascii="Consolas" w:hAnsi="Consolas" w:cs="Consolas"/>
      <w:sz w:val="21"/>
      <w:szCs w:val="21"/>
    </w:rPr>
  </w:style>
  <w:style w:type="character" w:customStyle="1" w:styleId="PlainTextChar">
    <w:name w:val="Plain Text Char"/>
    <w:basedOn w:val="DefaultParagraphFont"/>
    <w:link w:val="PlainText"/>
    <w:uiPriority w:val="39"/>
    <w:semiHidden/>
    <w:rsid w:val="0072670F"/>
    <w:rPr>
      <w:rFonts w:ascii="Consolas" w:hAnsi="Consolas" w:cs="Consolas"/>
      <w:sz w:val="21"/>
      <w:szCs w:val="21"/>
    </w:rPr>
  </w:style>
  <w:style w:type="paragraph" w:styleId="Salutation">
    <w:name w:val="Salutation"/>
    <w:basedOn w:val="Normal"/>
    <w:next w:val="Normal"/>
    <w:link w:val="SalutationChar"/>
    <w:unhideWhenUsed/>
    <w:rsid w:val="0072670F"/>
  </w:style>
  <w:style w:type="character" w:customStyle="1" w:styleId="SalutationChar">
    <w:name w:val="Salutation Char"/>
    <w:basedOn w:val="DefaultParagraphFont"/>
    <w:link w:val="Salutation"/>
    <w:rsid w:val="0072670F"/>
    <w:rPr>
      <w:sz w:val="19"/>
    </w:rPr>
  </w:style>
  <w:style w:type="paragraph" w:styleId="Signature">
    <w:name w:val="Signature"/>
    <w:basedOn w:val="Normal"/>
    <w:link w:val="SignatureChar"/>
    <w:semiHidden/>
    <w:unhideWhenUsed/>
    <w:rsid w:val="0072670F"/>
    <w:pPr>
      <w:spacing w:after="0"/>
      <w:ind w:left="4252"/>
    </w:pPr>
  </w:style>
  <w:style w:type="character" w:customStyle="1" w:styleId="SignatureChar">
    <w:name w:val="Signature Char"/>
    <w:basedOn w:val="DefaultParagraphFont"/>
    <w:link w:val="Signature"/>
    <w:semiHidden/>
    <w:rsid w:val="0072670F"/>
    <w:rPr>
      <w:sz w:val="19"/>
    </w:rPr>
  </w:style>
  <w:style w:type="paragraph" w:styleId="TableofAuthorities">
    <w:name w:val="table of authorities"/>
    <w:basedOn w:val="Normal"/>
    <w:next w:val="Normal"/>
    <w:semiHidden/>
    <w:unhideWhenUsed/>
    <w:rsid w:val="0072670F"/>
    <w:pPr>
      <w:spacing w:after="0"/>
      <w:ind w:left="190" w:hanging="190"/>
    </w:pPr>
  </w:style>
  <w:style w:type="character" w:customStyle="1" w:styleId="TableTextChar">
    <w:name w:val="Table Text Char"/>
    <w:basedOn w:val="DefaultParagraphFont"/>
    <w:link w:val="TableText"/>
    <w:uiPriority w:val="8"/>
    <w:rsid w:val="00E137E5"/>
    <w:rPr>
      <w:rFonts w:ascii="Arial" w:eastAsia="Times New Roman" w:hAnsi="Arial" w:cs="Arial"/>
      <w:color w:val="000000" w:themeColor="text1"/>
      <w:sz w:val="18"/>
    </w:rPr>
  </w:style>
  <w:style w:type="table" w:customStyle="1" w:styleId="Table1">
    <w:name w:val="Table 1"/>
    <w:basedOn w:val="TableNormal"/>
    <w:uiPriority w:val="59"/>
    <w:rsid w:val="000F5FB5"/>
    <w:pPr>
      <w:spacing w:after="0" w:line="240" w:lineRule="auto"/>
    </w:pPr>
    <w:rPr>
      <w:rFonts w:ascii="Arial" w:hAnsi="Arial"/>
      <w:sz w:val="18"/>
    </w:rPr>
    <w:tblPr>
      <w:tblBorders>
        <w:bottom w:val="single" w:sz="4" w:space="0" w:color="A7CC96"/>
        <w:insideH w:val="single" w:sz="4" w:space="0" w:color="A7CC96"/>
      </w:tblBorders>
    </w:tblPr>
    <w:tblStylePr w:type="firstRow">
      <w:pPr>
        <w:wordWrap/>
      </w:pPr>
      <w:rPr>
        <w:rFonts w:ascii="Arial" w:hAnsi="Arial"/>
        <w:color w:val="auto"/>
        <w:sz w:val="18"/>
      </w:rPr>
      <w:tblPr/>
      <w:tcPr>
        <w:shd w:val="clear" w:color="auto" w:fill="A7CC96"/>
      </w:tcPr>
    </w:tblStylePr>
    <w:tblStylePr w:type="firstCol">
      <w:tblPr/>
      <w:tcPr>
        <w:shd w:val="clear" w:color="auto" w:fill="E6EFE1"/>
      </w:tcPr>
    </w:tblStylePr>
  </w:style>
  <w:style w:type="paragraph" w:customStyle="1" w:styleId="PullOutBoxText">
    <w:name w:val="Pull Out Box Text"/>
    <w:basedOn w:val="Normal"/>
    <w:qFormat/>
    <w:rsid w:val="00632BD3"/>
    <w:rPr>
      <w:color w:val="004F9E"/>
    </w:rPr>
  </w:style>
  <w:style w:type="paragraph" w:customStyle="1" w:styleId="PullOutBoxHeading">
    <w:name w:val="Pull Out Box Heading"/>
    <w:basedOn w:val="PullOutBoxText"/>
    <w:qFormat/>
    <w:rsid w:val="00632BD3"/>
    <w:pPr>
      <w:spacing w:before="0"/>
    </w:pPr>
    <w:rPr>
      <w:b/>
      <w:bCs/>
      <w:sz w:val="22"/>
    </w:rPr>
  </w:style>
  <w:style w:type="paragraph" w:customStyle="1" w:styleId="BodyTextBold">
    <w:name w:val="Body Text Bold"/>
    <w:basedOn w:val="BodyText"/>
    <w:rsid w:val="009D2459"/>
    <w:pPr>
      <w:tabs>
        <w:tab w:val="left" w:pos="2268"/>
        <w:tab w:val="left" w:pos="4536"/>
        <w:tab w:val="left" w:pos="6804"/>
        <w:tab w:val="right" w:pos="9638"/>
      </w:tabs>
      <w:spacing w:line="288" w:lineRule="auto"/>
    </w:pPr>
    <w:rPr>
      <w:rFonts w:asciiTheme="minorHAnsi" w:eastAsia="Times New Roman" w:hAnsiTheme="minorHAnsi" w:cs="Times New Roman"/>
      <w:b/>
      <w:sz w:val="20"/>
      <w:szCs w:val="20"/>
    </w:rPr>
  </w:style>
  <w:style w:type="numbering" w:customStyle="1" w:styleId="HangingList">
    <w:name w:val="HangingList"/>
    <w:uiPriority w:val="99"/>
    <w:rsid w:val="009D2459"/>
    <w:pPr>
      <w:numPr>
        <w:numId w:val="9"/>
      </w:numPr>
    </w:pPr>
  </w:style>
  <w:style w:type="paragraph" w:customStyle="1" w:styleId="AppendixHeading2">
    <w:name w:val="Appendix Heading 2"/>
    <w:basedOn w:val="Normal"/>
    <w:next w:val="BodyText"/>
    <w:uiPriority w:val="4"/>
    <w:rsid w:val="009D2459"/>
    <w:pPr>
      <w:keepNext/>
      <w:tabs>
        <w:tab w:val="left" w:pos="1559"/>
        <w:tab w:val="left" w:pos="1843"/>
        <w:tab w:val="left" w:pos="2126"/>
        <w:tab w:val="left" w:pos="2410"/>
        <w:tab w:val="right" w:pos="9639"/>
      </w:tabs>
      <w:spacing w:before="200" w:line="288" w:lineRule="auto"/>
      <w:ind w:left="1134" w:hanging="1134"/>
    </w:pPr>
    <w:rPr>
      <w:rFonts w:asciiTheme="majorHAnsi" w:eastAsia="Times New Roman" w:hAnsiTheme="majorHAnsi" w:cs="Times New Roman"/>
      <w:color w:val="000000" w:themeColor="text1"/>
      <w:sz w:val="24"/>
      <w:szCs w:val="20"/>
    </w:rPr>
  </w:style>
  <w:style w:type="paragraph" w:customStyle="1" w:styleId="AppendixHeading3">
    <w:name w:val="Appendix Heading 3"/>
    <w:basedOn w:val="Normal"/>
    <w:next w:val="BodyText"/>
    <w:uiPriority w:val="4"/>
    <w:rsid w:val="009D2459"/>
    <w:pPr>
      <w:keepNext/>
      <w:tabs>
        <w:tab w:val="left" w:pos="1559"/>
        <w:tab w:val="left" w:pos="1843"/>
        <w:tab w:val="left" w:pos="2126"/>
        <w:tab w:val="left" w:pos="2410"/>
        <w:tab w:val="left" w:pos="6804"/>
        <w:tab w:val="right" w:pos="9639"/>
      </w:tabs>
      <w:spacing w:before="200" w:line="288" w:lineRule="auto"/>
      <w:ind w:left="1134" w:hanging="1134"/>
    </w:pPr>
    <w:rPr>
      <w:rFonts w:asciiTheme="majorHAnsi" w:eastAsia="Times New Roman" w:hAnsiTheme="majorHAnsi" w:cs="Times New Roman"/>
      <w:b/>
      <w:color w:val="000000" w:themeColor="text1"/>
      <w:sz w:val="20"/>
      <w:szCs w:val="20"/>
    </w:rPr>
  </w:style>
  <w:style w:type="character" w:styleId="FollowedHyperlink">
    <w:name w:val="FollowedHyperlink"/>
    <w:basedOn w:val="DefaultParagraphFont"/>
    <w:rsid w:val="009D2459"/>
    <w:rPr>
      <w:color w:val="000000" w:themeColor="text1"/>
      <w:u w:val="single"/>
    </w:rPr>
  </w:style>
  <w:style w:type="numbering" w:customStyle="1" w:styleId="MyListNumbering">
    <w:name w:val="MyListNumbering"/>
    <w:uiPriority w:val="99"/>
    <w:rsid w:val="009D2459"/>
    <w:pPr>
      <w:numPr>
        <w:numId w:val="10"/>
      </w:numPr>
    </w:pPr>
  </w:style>
  <w:style w:type="character" w:styleId="PlaceholderText">
    <w:name w:val="Placeholder Text"/>
    <w:basedOn w:val="DefaultParagraphFont"/>
    <w:uiPriority w:val="99"/>
    <w:semiHidden/>
    <w:rsid w:val="009D2459"/>
    <w:rPr>
      <w:color w:val="808080"/>
    </w:rPr>
  </w:style>
  <w:style w:type="numbering" w:customStyle="1" w:styleId="TableBullets">
    <w:name w:val="TableBullets"/>
    <w:uiPriority w:val="99"/>
    <w:rsid w:val="009D2459"/>
    <w:pPr>
      <w:numPr>
        <w:numId w:val="12"/>
      </w:numPr>
    </w:pPr>
  </w:style>
  <w:style w:type="numbering" w:customStyle="1" w:styleId="TableFootnotes0">
    <w:name w:val="TableFootnotes"/>
    <w:uiPriority w:val="99"/>
    <w:rsid w:val="009D2459"/>
    <w:pPr>
      <w:numPr>
        <w:numId w:val="13"/>
      </w:numPr>
    </w:pPr>
  </w:style>
  <w:style w:type="numbering" w:customStyle="1" w:styleId="TableNumbering">
    <w:name w:val="TableNumbering"/>
    <w:uiPriority w:val="99"/>
    <w:rsid w:val="009D2459"/>
    <w:pPr>
      <w:numPr>
        <w:numId w:val="14"/>
      </w:numPr>
    </w:pPr>
  </w:style>
  <w:style w:type="paragraph" w:customStyle="1" w:styleId="TableofFiguresHeading">
    <w:name w:val="Table of Figures Heading"/>
    <w:basedOn w:val="Normal"/>
    <w:rsid w:val="009D2459"/>
    <w:pPr>
      <w:spacing w:before="240" w:after="60" w:line="288" w:lineRule="auto"/>
    </w:pPr>
    <w:rPr>
      <w:rFonts w:asciiTheme="majorHAnsi" w:eastAsia="Times New Roman" w:hAnsiTheme="majorHAnsi" w:cs="Times New Roman"/>
      <w:bCs/>
      <w:color w:val="1C2B39" w:themeColor="text2"/>
      <w:sz w:val="24"/>
    </w:rPr>
  </w:style>
  <w:style w:type="paragraph" w:customStyle="1" w:styleId="Address">
    <w:name w:val="Address"/>
    <w:basedOn w:val="Normal"/>
    <w:rsid w:val="009D2459"/>
    <w:pPr>
      <w:tabs>
        <w:tab w:val="left" w:pos="227"/>
      </w:tabs>
      <w:spacing w:line="288" w:lineRule="auto"/>
      <w:contextualSpacing/>
    </w:pPr>
    <w:rPr>
      <w:rFonts w:asciiTheme="majorHAnsi" w:eastAsia="Times New Roman" w:hAnsiTheme="majorHAnsi" w:cs="Times New Roman"/>
      <w:noProof/>
      <w:color w:val="1C2B39" w:themeColor="text2"/>
      <w:sz w:val="14"/>
      <w:szCs w:val="20"/>
    </w:rPr>
  </w:style>
  <w:style w:type="paragraph" w:customStyle="1" w:styleId="BoldHeading">
    <w:name w:val="Bold Heading"/>
    <w:basedOn w:val="Normal"/>
    <w:next w:val="BodyText"/>
    <w:rsid w:val="009D2459"/>
    <w:pPr>
      <w:spacing w:before="240" w:after="40" w:line="288" w:lineRule="auto"/>
    </w:pPr>
    <w:rPr>
      <w:rFonts w:asciiTheme="minorHAnsi" w:eastAsia="Times New Roman" w:hAnsiTheme="minorHAnsi" w:cs="Times New Roman"/>
      <w:b/>
      <w:sz w:val="20"/>
    </w:rPr>
  </w:style>
  <w:style w:type="table" w:customStyle="1" w:styleId="TablePlaceholder">
    <w:name w:val="Table Placeholder"/>
    <w:basedOn w:val="TableNormal"/>
    <w:uiPriority w:val="99"/>
    <w:rsid w:val="009D2459"/>
    <w:pPr>
      <w:spacing w:after="0" w:line="288" w:lineRule="auto"/>
    </w:pPr>
    <w:rPr>
      <w:rFonts w:eastAsia="Times New Roman" w:cs="Times New Roman"/>
      <w:sz w:val="20"/>
      <w:szCs w:val="20"/>
      <w:lang w:eastAsia="en-AU"/>
    </w:rPr>
    <w:tblPr>
      <w:tblCellMar>
        <w:left w:w="45" w:type="dxa"/>
        <w:right w:w="45" w:type="dxa"/>
      </w:tblCellMar>
    </w:tblPr>
  </w:style>
  <w:style w:type="paragraph" w:customStyle="1" w:styleId="PullOutBoxBodyText">
    <w:name w:val="Pull Out Box Body Text"/>
    <w:basedOn w:val="BodyText"/>
    <w:rsid w:val="009D2459"/>
    <w:pPr>
      <w:tabs>
        <w:tab w:val="left" w:pos="2268"/>
        <w:tab w:val="left" w:pos="4536"/>
        <w:tab w:val="left" w:pos="6804"/>
        <w:tab w:val="right" w:pos="9638"/>
      </w:tabs>
      <w:spacing w:line="288" w:lineRule="auto"/>
    </w:pPr>
    <w:rPr>
      <w:rFonts w:asciiTheme="minorHAnsi" w:eastAsiaTheme="minorEastAsia" w:hAnsiTheme="minorHAnsi"/>
      <w:sz w:val="20"/>
      <w:szCs w:val="20"/>
      <w:lang w:eastAsia="fr-CA"/>
    </w:rPr>
  </w:style>
  <w:style w:type="table" w:customStyle="1" w:styleId="PullOutBoxTable">
    <w:name w:val="Pull Out Box Table"/>
    <w:basedOn w:val="TableNormal"/>
    <w:uiPriority w:val="99"/>
    <w:rsid w:val="009D2459"/>
    <w:pPr>
      <w:spacing w:after="0" w:line="288" w:lineRule="auto"/>
    </w:pPr>
    <w:rPr>
      <w:rFonts w:eastAsia="Times New Roman" w:cs="Times New Roman"/>
      <w:sz w:val="20"/>
      <w:szCs w:val="20"/>
      <w:lang w:eastAsia="en-AU"/>
    </w:rPr>
    <w:tblPr>
      <w:tblInd w:w="284" w:type="dxa"/>
      <w:tblBorders>
        <w:top w:val="single" w:sz="4" w:space="0" w:color="FDEBD1" w:themeColor="background2" w:themeTint="33"/>
        <w:left w:val="single" w:sz="4" w:space="0" w:color="FDEBD1" w:themeColor="background2" w:themeTint="33"/>
        <w:bottom w:val="single" w:sz="4" w:space="0" w:color="FDEBD1" w:themeColor="background2" w:themeTint="33"/>
        <w:right w:val="single" w:sz="4" w:space="0" w:color="FDEBD1" w:themeColor="background2" w:themeTint="33"/>
      </w:tblBorders>
      <w:tblCellMar>
        <w:top w:w="198" w:type="dxa"/>
        <w:left w:w="284" w:type="dxa"/>
        <w:bottom w:w="198" w:type="dxa"/>
        <w:right w:w="284" w:type="dxa"/>
      </w:tblCellMar>
    </w:tblPr>
    <w:tcPr>
      <w:shd w:val="clear" w:color="auto" w:fill="F2F2F2" w:themeFill="background1" w:themeFillShade="F2"/>
    </w:tcPr>
  </w:style>
  <w:style w:type="paragraph" w:customStyle="1" w:styleId="CaptionDescriptive">
    <w:name w:val="Caption Descriptive"/>
    <w:basedOn w:val="Normal"/>
    <w:rsid w:val="009D2459"/>
    <w:pPr>
      <w:keepNext/>
      <w:spacing w:before="0" w:after="60" w:line="200" w:lineRule="atLeast"/>
    </w:pPr>
    <w:rPr>
      <w:rFonts w:asciiTheme="minorHAnsi" w:eastAsia="Times New Roman" w:hAnsiTheme="minorHAnsi" w:cs="Times New Roman"/>
      <w:i/>
      <w:sz w:val="16"/>
      <w:szCs w:val="20"/>
    </w:rPr>
  </w:style>
  <w:style w:type="paragraph" w:customStyle="1" w:styleId="AppendixHeading4">
    <w:name w:val="Appendix Heading 4"/>
    <w:basedOn w:val="Normal"/>
    <w:next w:val="BodyText"/>
    <w:uiPriority w:val="4"/>
    <w:rsid w:val="009D2459"/>
    <w:pPr>
      <w:keepNext/>
      <w:spacing w:before="240" w:line="288" w:lineRule="auto"/>
      <w:ind w:left="1134" w:hanging="1134"/>
    </w:pPr>
    <w:rPr>
      <w:rFonts w:asciiTheme="majorHAnsi" w:eastAsiaTheme="minorEastAsia" w:hAnsiTheme="majorHAnsi" w:cs="Times New Roman"/>
      <w:color w:val="1C2B39" w:themeColor="text2"/>
      <w:sz w:val="20"/>
      <w:szCs w:val="20"/>
    </w:rPr>
  </w:style>
  <w:style w:type="paragraph" w:customStyle="1" w:styleId="MinorHeadingAllCapsNon-TOC">
    <w:name w:val="Minor Heading All Caps Non-TOC"/>
    <w:basedOn w:val="BodyText"/>
    <w:next w:val="BodyText"/>
    <w:rsid w:val="009D2459"/>
    <w:pPr>
      <w:tabs>
        <w:tab w:val="left" w:pos="2268"/>
        <w:tab w:val="left" w:pos="4536"/>
        <w:tab w:val="left" w:pos="6804"/>
        <w:tab w:val="right" w:pos="9638"/>
      </w:tabs>
      <w:spacing w:after="40" w:line="240" w:lineRule="exact"/>
    </w:pPr>
    <w:rPr>
      <w:rFonts w:asciiTheme="majorHAnsi" w:eastAsia="Times New Roman" w:hAnsiTheme="majorHAnsi" w:cs="Times New Roman"/>
      <w:caps/>
      <w:color w:val="1C2B39" w:themeColor="text2"/>
      <w:sz w:val="24"/>
      <w:szCs w:val="20"/>
    </w:rPr>
  </w:style>
  <w:style w:type="character" w:styleId="Emphasis">
    <w:name w:val="Emphasis"/>
    <w:basedOn w:val="DefaultParagraphFont"/>
    <w:uiPriority w:val="20"/>
    <w:rsid w:val="009D2459"/>
    <w:rPr>
      <w:b/>
      <w:i w:val="0"/>
      <w:iCs/>
      <w:color w:val="000000" w:themeColor="text1"/>
    </w:rPr>
  </w:style>
  <w:style w:type="paragraph" w:customStyle="1" w:styleId="TOCContinued">
    <w:name w:val="TOC Continued"/>
    <w:basedOn w:val="BodyText"/>
    <w:semiHidden/>
    <w:qFormat/>
    <w:rsid w:val="009D2459"/>
    <w:pPr>
      <w:pageBreakBefore/>
      <w:tabs>
        <w:tab w:val="left" w:pos="2268"/>
        <w:tab w:val="left" w:pos="4536"/>
        <w:tab w:val="left" w:pos="6804"/>
        <w:tab w:val="right" w:pos="9638"/>
      </w:tabs>
      <w:spacing w:before="0" w:line="288" w:lineRule="auto"/>
    </w:pPr>
    <w:rPr>
      <w:rFonts w:ascii="Montserrat" w:eastAsia="Times New Roman" w:hAnsi="Montserrat" w:cs="Times New Roman"/>
      <w:color w:val="1C2B39" w:themeColor="text2"/>
      <w:sz w:val="28"/>
      <w:szCs w:val="28"/>
    </w:rPr>
  </w:style>
  <w:style w:type="paragraph" w:customStyle="1" w:styleId="CC1">
    <w:name w:val="CC1"/>
    <w:basedOn w:val="Normal"/>
    <w:next w:val="Normal"/>
    <w:semiHidden/>
    <w:rsid w:val="009D2459"/>
    <w:pPr>
      <w:tabs>
        <w:tab w:val="left" w:pos="510"/>
        <w:tab w:val="right" w:pos="9639"/>
      </w:tabs>
      <w:spacing w:before="0" w:after="0" w:line="210" w:lineRule="atLeast"/>
      <w:ind w:left="510" w:hanging="510"/>
    </w:pPr>
    <w:rPr>
      <w:rFonts w:asciiTheme="minorHAnsi" w:eastAsia="Times New Roman" w:hAnsiTheme="minorHAnsi" w:cs="Times New Roman"/>
      <w:sz w:val="18"/>
      <w:szCs w:val="20"/>
    </w:rPr>
  </w:style>
  <w:style w:type="table" w:styleId="ColorfulGrid">
    <w:name w:val="Colorful Grid"/>
    <w:basedOn w:val="TableNormal"/>
    <w:uiPriority w:val="73"/>
    <w:rsid w:val="009D2459"/>
    <w:pPr>
      <w:spacing w:after="0" w:line="288" w:lineRule="auto"/>
    </w:pPr>
    <w:rPr>
      <w:rFonts w:ascii="Arial" w:eastAsia="Times New Roman" w:hAnsi="Arial" w:cs="Times New Roman"/>
      <w:sz w:val="18"/>
      <w:szCs w:val="20"/>
      <w:lang w:val="fr-CA"/>
    </w:rPr>
    <w:tblPr>
      <w:tblStyleRowBandSize w:val="1"/>
      <w:tblStyleColBandSize w:val="1"/>
      <w:tblBorders>
        <w:left w:val="dotted" w:sz="6" w:space="0" w:color="15202A" w:themeColor="text2" w:themeShade="BF"/>
        <w:bottom w:val="single" w:sz="6" w:space="0" w:color="F99D1C" w:themeColor="background2"/>
        <w:right w:val="dotted" w:sz="6" w:space="0" w:color="15202A" w:themeColor="text2" w:themeShade="BF"/>
        <w:insideH w:val="single" w:sz="6" w:space="0" w:color="F99D1C" w:themeColor="background2"/>
        <w:insideV w:val="dotted" w:sz="6" w:space="0" w:color="15202A" w:themeColor="text2" w:themeShade="BF"/>
      </w:tblBorders>
    </w:tblPr>
    <w:tcPr>
      <w:shd w:val="clear" w:color="auto" w:fill="auto"/>
    </w:tcPr>
    <w:tblStylePr w:type="firstRow">
      <w:rPr>
        <w:b/>
        <w:bCs/>
        <w:caps w:val="0"/>
        <w:smallCaps/>
      </w:rPr>
      <w:tblPr/>
      <w:tcPr>
        <w:tcBorders>
          <w:top w:val="nil"/>
          <w:left w:val="nil"/>
          <w:bottom w:val="single" w:sz="18" w:space="0" w:color="000000" w:themeColor="text1"/>
          <w:right w:val="nil"/>
          <w:insideH w:val="single" w:sz="18" w:space="0" w:color="000000" w:themeColor="text1"/>
          <w:insideV w:val="nil"/>
          <w:tl2br w:val="nil"/>
          <w:tr2bl w:val="nil"/>
        </w:tcBorders>
        <w:shd w:val="clear" w:color="auto" w:fill="auto"/>
      </w:tcPr>
    </w:tblStylePr>
    <w:tblStylePr w:type="lastRow">
      <w:rPr>
        <w:b w:val="0"/>
        <w:bCs/>
        <w:color w:val="auto"/>
      </w:rPr>
    </w:tblStylePr>
    <w:tblStylePr w:type="firstCol">
      <w:rPr>
        <w:color w:val="auto"/>
      </w:rPr>
      <w:tblPr/>
      <w:tcPr>
        <w:shd w:val="clear" w:color="auto" w:fill="5480AB" w:themeFill="text2" w:themeFillTint="99"/>
      </w:tcPr>
    </w:tblStylePr>
    <w:tblStylePr w:type="lastCol">
      <w:rPr>
        <w:color w:val="auto"/>
      </w:rPr>
    </w:tblStylePr>
    <w:tblStylePr w:type="band1Vert">
      <w:tblPr/>
      <w:tcPr>
        <w:tcBorders>
          <w:left w:val="nil"/>
          <w:right w:val="nil"/>
          <w:insideV w:val="nil"/>
        </w:tcBorders>
        <w:shd w:val="clear" w:color="auto" w:fill="auto"/>
      </w:tcPr>
    </w:tblStylePr>
    <w:tblStylePr w:type="band2Vert">
      <w:tblPr/>
      <w:tcPr>
        <w:shd w:val="clear" w:color="auto" w:fill="C6D4E3" w:themeFill="text2" w:themeFillTint="33"/>
      </w:tcPr>
    </w:tblStylePr>
  </w:style>
  <w:style w:type="character" w:styleId="EndnoteReference">
    <w:name w:val="endnote reference"/>
    <w:basedOn w:val="DefaultParagraphFont"/>
    <w:semiHidden/>
    <w:rsid w:val="009D2459"/>
    <w:rPr>
      <w:vertAlign w:val="superscript"/>
    </w:rPr>
  </w:style>
  <w:style w:type="paragraph" w:customStyle="1" w:styleId="ExecSumHeading2">
    <w:name w:val="Exec Sum Heading 2"/>
    <w:basedOn w:val="Normal"/>
    <w:next w:val="BodyText"/>
    <w:rsid w:val="009D2459"/>
    <w:pPr>
      <w:keepNext/>
      <w:pBdr>
        <w:top w:val="single" w:sz="4" w:space="9" w:color="1C2B39" w:themeColor="text2"/>
      </w:pBdr>
      <w:tabs>
        <w:tab w:val="right" w:pos="9639"/>
      </w:tabs>
      <w:spacing w:before="200" w:line="288" w:lineRule="auto"/>
      <w:outlineLvl w:val="7"/>
    </w:pPr>
    <w:rPr>
      <w:rFonts w:asciiTheme="majorHAnsi" w:eastAsia="Times New Roman" w:hAnsiTheme="majorHAnsi" w:cs="Arial"/>
      <w:color w:val="1C2B39" w:themeColor="text2"/>
      <w:sz w:val="32"/>
      <w:szCs w:val="20"/>
    </w:rPr>
  </w:style>
  <w:style w:type="paragraph" w:customStyle="1" w:styleId="ExecSumHeading3">
    <w:name w:val="Exec Sum Heading 3"/>
    <w:basedOn w:val="ExecSumHeading2"/>
    <w:next w:val="BodyText"/>
    <w:rsid w:val="009D2459"/>
    <w:pPr>
      <w:outlineLvl w:val="8"/>
    </w:pPr>
    <w:rPr>
      <w:i/>
      <w:sz w:val="24"/>
    </w:rPr>
  </w:style>
  <w:style w:type="character" w:styleId="FootnoteReference">
    <w:name w:val="footnote reference"/>
    <w:basedOn w:val="DefaultParagraphFont"/>
    <w:semiHidden/>
    <w:unhideWhenUsed/>
    <w:rsid w:val="009D2459"/>
    <w:rPr>
      <w:vertAlign w:val="superscript"/>
    </w:rPr>
  </w:style>
  <w:style w:type="table" w:styleId="GridTable7Colorful-Accent2">
    <w:name w:val="Grid Table 7 Colorful Accent 2"/>
    <w:basedOn w:val="TableNormal"/>
    <w:uiPriority w:val="52"/>
    <w:rsid w:val="009D2459"/>
    <w:pPr>
      <w:spacing w:after="0" w:line="240" w:lineRule="auto"/>
    </w:pPr>
    <w:rPr>
      <w:rFonts w:eastAsia="Times New Roman" w:cs="Times New Roman"/>
      <w:color w:val="C59700" w:themeColor="accent2" w:themeShade="BF"/>
      <w:sz w:val="20"/>
      <w:szCs w:val="20"/>
      <w:lang w:val="fr-CA"/>
    </w:rPr>
    <w:tblPr>
      <w:tblStyleRowBandSize w:val="1"/>
      <w:tblStyleColBandSize w:val="1"/>
      <w:tblBorders>
        <w:top w:val="single" w:sz="4" w:space="0" w:color="FFDC6B" w:themeColor="accent2" w:themeTint="99"/>
        <w:left w:val="single" w:sz="4" w:space="0" w:color="FFDC6B" w:themeColor="accent2" w:themeTint="99"/>
        <w:bottom w:val="single" w:sz="4" w:space="0" w:color="FFDC6B" w:themeColor="accent2" w:themeTint="99"/>
        <w:right w:val="single" w:sz="4" w:space="0" w:color="FFDC6B" w:themeColor="accent2" w:themeTint="99"/>
        <w:insideH w:val="single" w:sz="4" w:space="0" w:color="FFDC6B" w:themeColor="accent2" w:themeTint="99"/>
        <w:insideV w:val="single" w:sz="4" w:space="0" w:color="FFDC6B"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3CD" w:themeFill="accent2" w:themeFillTint="33"/>
      </w:tcPr>
    </w:tblStylePr>
    <w:tblStylePr w:type="band1Horz">
      <w:tblPr/>
      <w:tcPr>
        <w:shd w:val="clear" w:color="auto" w:fill="FFF3CD" w:themeFill="accent2" w:themeFillTint="33"/>
      </w:tcPr>
    </w:tblStylePr>
    <w:tblStylePr w:type="neCell">
      <w:tblPr/>
      <w:tcPr>
        <w:tcBorders>
          <w:bottom w:val="single" w:sz="4" w:space="0" w:color="FFDC6B" w:themeColor="accent2" w:themeTint="99"/>
        </w:tcBorders>
      </w:tcPr>
    </w:tblStylePr>
    <w:tblStylePr w:type="nwCell">
      <w:tblPr/>
      <w:tcPr>
        <w:tcBorders>
          <w:bottom w:val="single" w:sz="4" w:space="0" w:color="FFDC6B" w:themeColor="accent2" w:themeTint="99"/>
        </w:tcBorders>
      </w:tcPr>
    </w:tblStylePr>
    <w:tblStylePr w:type="seCell">
      <w:tblPr/>
      <w:tcPr>
        <w:tcBorders>
          <w:top w:val="single" w:sz="4" w:space="0" w:color="FFDC6B" w:themeColor="accent2" w:themeTint="99"/>
        </w:tcBorders>
      </w:tcPr>
    </w:tblStylePr>
    <w:tblStylePr w:type="swCell">
      <w:tblPr/>
      <w:tcPr>
        <w:tcBorders>
          <w:top w:val="single" w:sz="4" w:space="0" w:color="FFDC6B" w:themeColor="accent2" w:themeTint="99"/>
        </w:tcBorders>
      </w:tcPr>
    </w:tblStylePr>
  </w:style>
  <w:style w:type="paragraph" w:customStyle="1" w:styleId="Heading1NoNumberNoTOC">
    <w:name w:val="Heading 1 No Number No TOC"/>
    <w:basedOn w:val="Heading1NoNumber"/>
    <w:semiHidden/>
    <w:qFormat/>
    <w:rsid w:val="009D2459"/>
    <w:pPr>
      <w:spacing w:before="0" w:line="288" w:lineRule="auto"/>
      <w:outlineLvl w:val="9"/>
    </w:pPr>
    <w:rPr>
      <w:rFonts w:asciiTheme="majorHAnsi" w:hAnsiTheme="majorHAnsi"/>
      <w:bCs/>
      <w:color w:val="1C2B39" w:themeColor="text2"/>
      <w:sz w:val="28"/>
    </w:rPr>
  </w:style>
  <w:style w:type="table" w:styleId="LightGrid">
    <w:name w:val="Light Grid"/>
    <w:basedOn w:val="TableNormal"/>
    <w:uiPriority w:val="62"/>
    <w:rsid w:val="009D2459"/>
    <w:pPr>
      <w:spacing w:after="0" w:line="288" w:lineRule="auto"/>
    </w:pPr>
    <w:rPr>
      <w:rFonts w:eastAsia="Times New Roman" w:cs="Times New Roman"/>
      <w:sz w:val="20"/>
      <w:szCs w:val="20"/>
      <w:lang w:val="fr-CA"/>
    </w:rPr>
    <w:tblPr>
      <w:tblStyleRowBandSize w:val="1"/>
      <w:tblStyleColBandSize w:val="1"/>
      <w:tblBorders>
        <w:bottom w:val="single" w:sz="6" w:space="0" w:color="F99D1C" w:themeColor="background2"/>
        <w:insideH w:val="single" w:sz="6" w:space="0" w:color="F99D1C" w:themeColor="background2"/>
      </w:tblBorders>
    </w:tblPr>
    <w:tblStylePr w:type="firstRow">
      <w:pPr>
        <w:spacing w:before="0" w:after="0" w:line="240" w:lineRule="auto"/>
      </w:pPr>
      <w:rPr>
        <w:rFonts w:asciiTheme="majorHAnsi" w:eastAsiaTheme="majorEastAsia" w:hAnsiTheme="majorHAnsi" w:cstheme="majorBidi"/>
        <w:b/>
        <w:bCs/>
      </w:rPr>
      <w:tblPr/>
      <w:tcPr>
        <w:tcBorders>
          <w:top w:val="nil"/>
          <w:left w:val="nil"/>
          <w:bottom w:val="single" w:sz="24" w:space="0" w:color="000000" w:themeColor="text1"/>
          <w:right w:val="nil"/>
          <w:insideH w:val="nil"/>
          <w:insideV w:val="nil"/>
        </w:tcBorders>
      </w:tcPr>
    </w:tblStylePr>
    <w:tblStylePr w:type="lastRow">
      <w:pPr>
        <w:spacing w:before="0" w:after="0" w:line="240" w:lineRule="auto"/>
      </w:pPr>
      <w:rPr>
        <w:rFonts w:asciiTheme="majorHAnsi" w:eastAsiaTheme="majorEastAsia" w:hAnsiTheme="majorHAnsi" w:cstheme="majorBidi"/>
        <w:b/>
        <w:bCs/>
      </w:rPr>
      <w:tblPr/>
      <w:tcPr>
        <w:tcBorders>
          <w:top w:val="single" w:sz="6" w:space="0" w:color="F99D1C" w:themeColor="background2"/>
          <w:bottom w:val="single" w:sz="6" w:space="0" w:color="F99D1C" w:themeColor="background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6" w:space="0" w:color="F99D1C" w:themeColor="background2"/>
          <w:left w:val="nil"/>
          <w:bottom w:val="single" w:sz="6" w:space="0" w:color="F99D1C" w:themeColor="background2"/>
          <w:right w:val="nil"/>
          <w:insideH w:val="single" w:sz="6" w:space="0" w:color="F99D1C" w:themeColor="background2"/>
          <w:insideV w:val="nil"/>
          <w:tl2br w:val="nil"/>
          <w:tr2bl w:val="nil"/>
        </w:tcBorders>
      </w:tcPr>
    </w:tblStylePr>
    <w:tblStylePr w:type="band1Vert">
      <w:tblPr/>
      <w:tcPr>
        <w:shd w:val="clear" w:color="auto" w:fill="C6D4E3" w:themeFill="text2" w:themeFillTint="33"/>
      </w:tcPr>
    </w:tblStylePr>
    <w:tblStylePr w:type="band1Horz">
      <w:tblPr/>
      <w:tcPr>
        <w:tcBorders>
          <w:top w:val="single" w:sz="6" w:space="0" w:color="F99D1C" w:themeColor="background2"/>
          <w:bottom w:val="nil"/>
          <w:insideH w:val="nil"/>
        </w:tcBorders>
      </w:tcPr>
    </w:tblStylePr>
    <w:tblStylePr w:type="band2Horz">
      <w:tblPr/>
      <w:tcPr>
        <w:tcBorders>
          <w:top w:val="single" w:sz="6" w:space="0" w:color="F99D1C" w:themeColor="background2"/>
          <w:left w:val="nil"/>
          <w:bottom w:val="single" w:sz="6" w:space="0" w:color="F99D1C" w:themeColor="background2"/>
          <w:right w:val="nil"/>
          <w:insideV w:val="nil"/>
        </w:tcBorders>
      </w:tcPr>
    </w:tblStylePr>
  </w:style>
  <w:style w:type="table" w:styleId="LightShading-Accent1">
    <w:name w:val="Light Shading Accent 1"/>
    <w:basedOn w:val="TableNormal"/>
    <w:uiPriority w:val="60"/>
    <w:rsid w:val="009D2459"/>
    <w:pPr>
      <w:spacing w:after="0" w:line="288" w:lineRule="auto"/>
    </w:pPr>
    <w:rPr>
      <w:rFonts w:eastAsia="Times New Roman" w:cs="Times New Roman"/>
      <w:color w:val="A0A39E" w:themeColor="accent1" w:themeShade="BF"/>
      <w:sz w:val="20"/>
      <w:szCs w:val="20"/>
      <w:lang w:val="fr-CA"/>
    </w:rPr>
    <w:tblPr>
      <w:tblStyleRowBandSize w:val="1"/>
      <w:tblStyleColBandSize w:val="1"/>
      <w:tblBorders>
        <w:top w:val="single" w:sz="8" w:space="0" w:color="D7D8D6" w:themeColor="accent1"/>
        <w:bottom w:val="single" w:sz="8" w:space="0" w:color="D7D8D6" w:themeColor="accent1"/>
      </w:tblBorders>
    </w:tblPr>
    <w:tblStylePr w:type="firstRow">
      <w:pPr>
        <w:spacing w:before="0" w:after="0" w:line="240" w:lineRule="auto"/>
      </w:pPr>
      <w:rPr>
        <w:b/>
        <w:bCs/>
      </w:rPr>
      <w:tblPr/>
      <w:tcPr>
        <w:tcBorders>
          <w:top w:val="single" w:sz="8" w:space="0" w:color="D7D8D6" w:themeColor="accent1"/>
          <w:left w:val="nil"/>
          <w:bottom w:val="single" w:sz="8" w:space="0" w:color="D7D8D6" w:themeColor="accent1"/>
          <w:right w:val="nil"/>
          <w:insideH w:val="nil"/>
          <w:insideV w:val="nil"/>
        </w:tcBorders>
      </w:tcPr>
    </w:tblStylePr>
    <w:tblStylePr w:type="lastRow">
      <w:pPr>
        <w:spacing w:before="0" w:after="0" w:line="240" w:lineRule="auto"/>
      </w:pPr>
      <w:rPr>
        <w:b/>
        <w:bCs/>
      </w:rPr>
      <w:tblPr/>
      <w:tcPr>
        <w:tcBorders>
          <w:top w:val="single" w:sz="8" w:space="0" w:color="D7D8D6" w:themeColor="accent1"/>
          <w:left w:val="nil"/>
          <w:bottom w:val="single" w:sz="8" w:space="0" w:color="D7D8D6"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4F5F4" w:themeFill="accent1" w:themeFillTint="3F"/>
      </w:tcPr>
    </w:tblStylePr>
    <w:tblStylePr w:type="band1Horz">
      <w:tblPr/>
      <w:tcPr>
        <w:tcBorders>
          <w:left w:val="nil"/>
          <w:right w:val="nil"/>
          <w:insideH w:val="nil"/>
          <w:insideV w:val="nil"/>
        </w:tcBorders>
        <w:shd w:val="clear" w:color="auto" w:fill="F4F5F4" w:themeFill="accent1" w:themeFillTint="3F"/>
      </w:tcPr>
    </w:tblStylePr>
  </w:style>
  <w:style w:type="table" w:styleId="MediumShading2">
    <w:name w:val="Medium Shading 2"/>
    <w:basedOn w:val="TableNormal"/>
    <w:uiPriority w:val="64"/>
    <w:rsid w:val="009D2459"/>
    <w:pPr>
      <w:spacing w:after="0" w:line="288" w:lineRule="auto"/>
    </w:pPr>
    <w:rPr>
      <w:rFonts w:eastAsia="Times New Roman" w:cs="Times New Roman"/>
      <w:sz w:val="20"/>
      <w:szCs w:val="20"/>
      <w:lang w:val="fr-C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MinorSubheadingAllCapsNon-TOC">
    <w:name w:val="Minor Subheading All Caps Non-TOC"/>
    <w:basedOn w:val="MinorHeadingAllCapsNon-TOC"/>
    <w:rsid w:val="009D2459"/>
    <w:pPr>
      <w:spacing w:line="200" w:lineRule="exact"/>
    </w:pPr>
    <w:rPr>
      <w:sz w:val="18"/>
      <w:lang w:eastAsia="en-AU"/>
    </w:rPr>
  </w:style>
  <w:style w:type="paragraph" w:customStyle="1" w:styleId="MinorSubheadingNon-TOC">
    <w:name w:val="Minor Subheading Non-TOC"/>
    <w:basedOn w:val="MinorSubheadingAllCapsNon-TOC"/>
    <w:uiPriority w:val="99"/>
    <w:rsid w:val="009D2459"/>
    <w:rPr>
      <w:caps w:val="0"/>
    </w:rPr>
  </w:style>
  <w:style w:type="character" w:customStyle="1" w:styleId="SoftEmphasis">
    <w:name w:val="Soft Emphasis"/>
    <w:qFormat/>
    <w:rsid w:val="009D2459"/>
    <w:rPr>
      <w:rFonts w:asciiTheme="majorHAnsi" w:hAnsiTheme="majorHAnsi"/>
      <w:i/>
      <w:caps/>
      <w:smallCaps w:val="0"/>
      <w:color w:val="1C2B39" w:themeColor="text2"/>
      <w:lang w:eastAsia="en-AU"/>
    </w:rPr>
  </w:style>
  <w:style w:type="character" w:styleId="SubtleEmphasis">
    <w:name w:val="Subtle Emphasis"/>
    <w:basedOn w:val="DefaultParagraphFont"/>
    <w:uiPriority w:val="19"/>
    <w:rsid w:val="009D2459"/>
    <w:rPr>
      <w:rFonts w:asciiTheme="majorHAnsi" w:hAnsiTheme="majorHAnsi"/>
      <w:i/>
      <w:iCs/>
      <w:caps/>
      <w:smallCaps w:val="0"/>
      <w:color w:val="1C2B39" w:themeColor="text2"/>
    </w:rPr>
  </w:style>
  <w:style w:type="paragraph" w:customStyle="1" w:styleId="TableBullet4">
    <w:name w:val="Table Bullet 4"/>
    <w:basedOn w:val="TableText"/>
    <w:rsid w:val="009D2459"/>
    <w:pPr>
      <w:spacing w:before="90" w:after="40" w:line="288" w:lineRule="auto"/>
    </w:pPr>
    <w:rPr>
      <w:rFonts w:asciiTheme="minorHAnsi" w:hAnsiTheme="minorHAnsi"/>
      <w:color w:val="auto"/>
      <w:sz w:val="20"/>
    </w:rPr>
  </w:style>
  <w:style w:type="paragraph" w:customStyle="1" w:styleId="TableBullet5">
    <w:name w:val="Table Bullet 5"/>
    <w:basedOn w:val="TableText"/>
    <w:rsid w:val="009D2459"/>
    <w:pPr>
      <w:spacing w:before="90" w:after="40" w:line="288" w:lineRule="auto"/>
    </w:pPr>
    <w:rPr>
      <w:rFonts w:asciiTheme="minorHAnsi" w:hAnsiTheme="minorHAnsi"/>
      <w:color w:val="auto"/>
      <w:sz w:val="20"/>
    </w:rPr>
  </w:style>
  <w:style w:type="paragraph" w:customStyle="1" w:styleId="TableFootnotes">
    <w:name w:val="Table Footnotes"/>
    <w:basedOn w:val="Normal"/>
    <w:rsid w:val="009D2459"/>
    <w:pPr>
      <w:keepLines/>
      <w:numPr>
        <w:ilvl w:val="1"/>
        <w:numId w:val="11"/>
      </w:numPr>
      <w:tabs>
        <w:tab w:val="right" w:pos="9639"/>
      </w:tabs>
      <w:spacing w:before="60" w:after="60" w:line="288" w:lineRule="auto"/>
    </w:pPr>
    <w:rPr>
      <w:rFonts w:asciiTheme="minorHAnsi" w:eastAsia="Times New Roman" w:hAnsiTheme="minorHAnsi" w:cs="Times New Roman"/>
      <w:sz w:val="18"/>
      <w:szCs w:val="20"/>
    </w:rPr>
  </w:style>
  <w:style w:type="paragraph" w:customStyle="1" w:styleId="TableListNumber1">
    <w:name w:val="Table List Number 1"/>
    <w:basedOn w:val="TableText"/>
    <w:qFormat/>
    <w:rsid w:val="009D2459"/>
    <w:pPr>
      <w:spacing w:before="90" w:after="40" w:line="288" w:lineRule="auto"/>
    </w:pPr>
    <w:rPr>
      <w:rFonts w:asciiTheme="minorHAnsi" w:hAnsiTheme="minorHAnsi"/>
      <w:color w:val="auto"/>
      <w:sz w:val="20"/>
    </w:rPr>
  </w:style>
  <w:style w:type="paragraph" w:customStyle="1" w:styleId="TableListNumber4">
    <w:name w:val="Table List Number 4"/>
    <w:basedOn w:val="TableListNumber3"/>
    <w:qFormat/>
    <w:rsid w:val="009D2459"/>
    <w:pPr>
      <w:numPr>
        <w:ilvl w:val="0"/>
        <w:numId w:val="0"/>
      </w:numPr>
      <w:spacing w:before="90" w:after="40" w:line="288" w:lineRule="auto"/>
      <w:ind w:left="1071" w:hanging="357"/>
    </w:pPr>
    <w:rPr>
      <w:rFonts w:asciiTheme="minorHAnsi" w:eastAsia="Times New Roman" w:hAnsiTheme="minorHAnsi" w:cs="Arial"/>
      <w:bCs w:val="0"/>
      <w:color w:val="auto"/>
      <w:sz w:val="20"/>
      <w:lang w:eastAsia="en-AU"/>
    </w:rPr>
  </w:style>
  <w:style w:type="paragraph" w:customStyle="1" w:styleId="TableListNumber5">
    <w:name w:val="Table List Number 5"/>
    <w:basedOn w:val="TableListNumber4"/>
    <w:qFormat/>
    <w:rsid w:val="009D2459"/>
  </w:style>
  <w:style w:type="paragraph" w:customStyle="1" w:styleId="TableTextBold">
    <w:name w:val="Table Text Bold"/>
    <w:basedOn w:val="TableText"/>
    <w:rsid w:val="009D2459"/>
    <w:pPr>
      <w:spacing w:before="90" w:after="40" w:line="288" w:lineRule="auto"/>
    </w:pPr>
    <w:rPr>
      <w:rFonts w:asciiTheme="minorHAnsi" w:hAnsiTheme="minorHAnsi"/>
      <w:color w:val="auto"/>
      <w:sz w:val="20"/>
    </w:rPr>
  </w:style>
  <w:style w:type="paragraph" w:customStyle="1" w:styleId="TOFHeading">
    <w:name w:val="TOF Heading"/>
    <w:basedOn w:val="Heading9"/>
    <w:rsid w:val="009D2459"/>
    <w:pPr>
      <w:spacing w:before="240" w:after="60" w:line="288" w:lineRule="auto"/>
      <w:ind w:right="924"/>
      <w:outlineLvl w:val="3"/>
    </w:pPr>
    <w:rPr>
      <w:rFonts w:eastAsia="Times New Roman" w:cs="Times New Roman"/>
      <w:b/>
      <w:i w:val="0"/>
      <w:iCs w:val="0"/>
      <w:color w:val="000000" w:themeColor="text1"/>
      <w:sz w:val="24"/>
      <w:szCs w:val="40"/>
      <w:lang w:eastAsia="fr-CA"/>
    </w:rPr>
  </w:style>
  <w:style w:type="paragraph" w:customStyle="1" w:styleId="CaptionDescriptiveRight">
    <w:name w:val="Caption Descriptive Right"/>
    <w:basedOn w:val="CaptionDescriptive"/>
    <w:rsid w:val="009D2459"/>
    <w:pPr>
      <w:keepNext w:val="0"/>
      <w:jc w:val="right"/>
    </w:pPr>
  </w:style>
  <w:style w:type="numbering" w:styleId="111111">
    <w:name w:val="Outline List 2"/>
    <w:basedOn w:val="NoList"/>
    <w:semiHidden/>
    <w:unhideWhenUsed/>
    <w:rsid w:val="009D2459"/>
    <w:pPr>
      <w:numPr>
        <w:numId w:val="15"/>
      </w:numPr>
    </w:pPr>
  </w:style>
  <w:style w:type="numbering" w:styleId="1ai">
    <w:name w:val="Outline List 1"/>
    <w:basedOn w:val="NoList"/>
    <w:semiHidden/>
    <w:unhideWhenUsed/>
    <w:rsid w:val="009D2459"/>
    <w:pPr>
      <w:numPr>
        <w:numId w:val="16"/>
      </w:numPr>
    </w:pPr>
  </w:style>
  <w:style w:type="numbering" w:styleId="ArticleSection">
    <w:name w:val="Outline List 3"/>
    <w:basedOn w:val="NoList"/>
    <w:semiHidden/>
    <w:unhideWhenUsed/>
    <w:rsid w:val="009D2459"/>
    <w:pPr>
      <w:numPr>
        <w:numId w:val="17"/>
      </w:numPr>
    </w:pPr>
  </w:style>
  <w:style w:type="character" w:styleId="BookTitle">
    <w:name w:val="Book Title"/>
    <w:basedOn w:val="DefaultParagraphFont"/>
    <w:uiPriority w:val="33"/>
    <w:rsid w:val="009D2459"/>
    <w:rPr>
      <w:b/>
      <w:bCs/>
      <w:i/>
      <w:iCs/>
      <w:spacing w:val="5"/>
    </w:rPr>
  </w:style>
  <w:style w:type="table" w:styleId="ColorfulGrid-Accent1">
    <w:name w:val="Colorful Grid Accent 1"/>
    <w:basedOn w:val="TableNormal"/>
    <w:uiPriority w:val="73"/>
    <w:semiHidden/>
    <w:unhideWhenUsed/>
    <w:rsid w:val="009D2459"/>
    <w:pPr>
      <w:spacing w:after="0" w:line="240" w:lineRule="auto"/>
    </w:pPr>
    <w:rPr>
      <w:rFonts w:eastAsia="Times New Roman" w:cs="Times New Roman"/>
      <w:color w:val="000000" w:themeColor="text1"/>
      <w:sz w:val="20"/>
      <w:szCs w:val="20"/>
      <w:lang w:eastAsia="en-AU"/>
    </w:rPr>
    <w:tblPr>
      <w:tblStyleRowBandSize w:val="1"/>
      <w:tblStyleColBandSize w:val="1"/>
      <w:tblBorders>
        <w:insideH w:val="single" w:sz="4" w:space="0" w:color="FFFFFF" w:themeColor="background1"/>
      </w:tblBorders>
    </w:tblPr>
    <w:tcPr>
      <w:shd w:val="clear" w:color="auto" w:fill="F6F7F6" w:themeFill="accent1" w:themeFillTint="33"/>
    </w:tcPr>
    <w:tblStylePr w:type="firstRow">
      <w:rPr>
        <w:b/>
        <w:bCs/>
      </w:rPr>
      <w:tblPr/>
      <w:tcPr>
        <w:shd w:val="clear" w:color="auto" w:fill="EEEFEE" w:themeFill="accent1" w:themeFillTint="66"/>
      </w:tcPr>
    </w:tblStylePr>
    <w:tblStylePr w:type="lastRow">
      <w:rPr>
        <w:b/>
        <w:bCs/>
        <w:color w:val="000000" w:themeColor="text1"/>
      </w:rPr>
      <w:tblPr/>
      <w:tcPr>
        <w:shd w:val="clear" w:color="auto" w:fill="EEEFEE" w:themeFill="accent1" w:themeFillTint="66"/>
      </w:tcPr>
    </w:tblStylePr>
    <w:tblStylePr w:type="firstCol">
      <w:rPr>
        <w:color w:val="FFFFFF" w:themeColor="background1"/>
      </w:rPr>
      <w:tblPr/>
      <w:tcPr>
        <w:shd w:val="clear" w:color="auto" w:fill="A0A39E" w:themeFill="accent1" w:themeFillShade="BF"/>
      </w:tcPr>
    </w:tblStylePr>
    <w:tblStylePr w:type="lastCol">
      <w:rPr>
        <w:color w:val="FFFFFF" w:themeColor="background1"/>
      </w:rPr>
      <w:tblPr/>
      <w:tcPr>
        <w:shd w:val="clear" w:color="auto" w:fill="A0A39E" w:themeFill="accent1" w:themeFillShade="BF"/>
      </w:tcPr>
    </w:tblStylePr>
    <w:tblStylePr w:type="band1Vert">
      <w:tblPr/>
      <w:tcPr>
        <w:shd w:val="clear" w:color="auto" w:fill="EAEBEA" w:themeFill="accent1" w:themeFillTint="7F"/>
      </w:tcPr>
    </w:tblStylePr>
    <w:tblStylePr w:type="band1Horz">
      <w:tblPr/>
      <w:tcPr>
        <w:shd w:val="clear" w:color="auto" w:fill="EAEBEA" w:themeFill="accent1" w:themeFillTint="7F"/>
      </w:tcPr>
    </w:tblStylePr>
  </w:style>
  <w:style w:type="table" w:styleId="ColorfulGrid-Accent2">
    <w:name w:val="Colorful Grid Accent 2"/>
    <w:basedOn w:val="TableNormal"/>
    <w:uiPriority w:val="73"/>
    <w:semiHidden/>
    <w:unhideWhenUsed/>
    <w:rsid w:val="009D2459"/>
    <w:pPr>
      <w:spacing w:after="0" w:line="240" w:lineRule="auto"/>
    </w:pPr>
    <w:rPr>
      <w:rFonts w:eastAsia="Times New Roman" w:cs="Times New Roman"/>
      <w:color w:val="000000" w:themeColor="text1"/>
      <w:sz w:val="20"/>
      <w:szCs w:val="20"/>
      <w:lang w:eastAsia="en-AU"/>
    </w:rPr>
    <w:tblPr>
      <w:tblStyleRowBandSize w:val="1"/>
      <w:tblStyleColBandSize w:val="1"/>
      <w:tblBorders>
        <w:insideH w:val="single" w:sz="4" w:space="0" w:color="FFFFFF" w:themeColor="background1"/>
      </w:tblBorders>
    </w:tblPr>
    <w:tcPr>
      <w:shd w:val="clear" w:color="auto" w:fill="FFF3CD" w:themeFill="accent2" w:themeFillTint="33"/>
    </w:tcPr>
    <w:tblStylePr w:type="firstRow">
      <w:rPr>
        <w:b/>
        <w:bCs/>
      </w:rPr>
      <w:tblPr/>
      <w:tcPr>
        <w:shd w:val="clear" w:color="auto" w:fill="FFE89C" w:themeFill="accent2" w:themeFillTint="66"/>
      </w:tcPr>
    </w:tblStylePr>
    <w:tblStylePr w:type="lastRow">
      <w:rPr>
        <w:b/>
        <w:bCs/>
        <w:color w:val="000000" w:themeColor="text1"/>
      </w:rPr>
      <w:tblPr/>
      <w:tcPr>
        <w:shd w:val="clear" w:color="auto" w:fill="FFE89C" w:themeFill="accent2" w:themeFillTint="66"/>
      </w:tcPr>
    </w:tblStylePr>
    <w:tblStylePr w:type="firstCol">
      <w:rPr>
        <w:color w:val="FFFFFF" w:themeColor="background1"/>
      </w:rPr>
      <w:tblPr/>
      <w:tcPr>
        <w:shd w:val="clear" w:color="auto" w:fill="C59700" w:themeFill="accent2" w:themeFillShade="BF"/>
      </w:tcPr>
    </w:tblStylePr>
    <w:tblStylePr w:type="lastCol">
      <w:rPr>
        <w:color w:val="FFFFFF" w:themeColor="background1"/>
      </w:rPr>
      <w:tblPr/>
      <w:tcPr>
        <w:shd w:val="clear" w:color="auto" w:fill="C59700" w:themeFill="accent2" w:themeFillShade="BF"/>
      </w:tcPr>
    </w:tblStylePr>
    <w:tblStylePr w:type="band1Vert">
      <w:tblPr/>
      <w:tcPr>
        <w:shd w:val="clear" w:color="auto" w:fill="FFE284" w:themeFill="accent2" w:themeFillTint="7F"/>
      </w:tcPr>
    </w:tblStylePr>
    <w:tblStylePr w:type="band1Horz">
      <w:tblPr/>
      <w:tcPr>
        <w:shd w:val="clear" w:color="auto" w:fill="FFE284" w:themeFill="accent2" w:themeFillTint="7F"/>
      </w:tcPr>
    </w:tblStylePr>
  </w:style>
  <w:style w:type="table" w:styleId="ColorfulGrid-Accent3">
    <w:name w:val="Colorful Grid Accent 3"/>
    <w:basedOn w:val="TableNormal"/>
    <w:uiPriority w:val="73"/>
    <w:semiHidden/>
    <w:unhideWhenUsed/>
    <w:rsid w:val="009D2459"/>
    <w:pPr>
      <w:spacing w:after="0" w:line="240" w:lineRule="auto"/>
    </w:pPr>
    <w:rPr>
      <w:rFonts w:eastAsia="Times New Roman" w:cs="Times New Roman"/>
      <w:color w:val="000000" w:themeColor="text1"/>
      <w:sz w:val="20"/>
      <w:szCs w:val="20"/>
      <w:lang w:eastAsia="en-AU"/>
    </w:rPr>
    <w:tblPr>
      <w:tblStyleRowBandSize w:val="1"/>
      <w:tblStyleColBandSize w:val="1"/>
      <w:tblBorders>
        <w:insideH w:val="single" w:sz="4" w:space="0" w:color="FFFFFF" w:themeColor="background1"/>
      </w:tblBorders>
    </w:tblPr>
    <w:tcPr>
      <w:shd w:val="clear" w:color="auto" w:fill="F9CBD6" w:themeFill="accent3" w:themeFillTint="33"/>
    </w:tcPr>
    <w:tblStylePr w:type="firstRow">
      <w:rPr>
        <w:b/>
        <w:bCs/>
      </w:rPr>
      <w:tblPr/>
      <w:tcPr>
        <w:shd w:val="clear" w:color="auto" w:fill="F498AD" w:themeFill="accent3" w:themeFillTint="66"/>
      </w:tcPr>
    </w:tblStylePr>
    <w:tblStylePr w:type="lastRow">
      <w:rPr>
        <w:b/>
        <w:bCs/>
        <w:color w:val="000000" w:themeColor="text1"/>
      </w:rPr>
      <w:tblPr/>
      <w:tcPr>
        <w:shd w:val="clear" w:color="auto" w:fill="F498AD" w:themeFill="accent3" w:themeFillTint="66"/>
      </w:tcPr>
    </w:tblStylePr>
    <w:tblStylePr w:type="firstCol">
      <w:rPr>
        <w:color w:val="FFFFFF" w:themeColor="background1"/>
      </w:rPr>
      <w:tblPr/>
      <w:tcPr>
        <w:shd w:val="clear" w:color="auto" w:fill="99102F" w:themeFill="accent3" w:themeFillShade="BF"/>
      </w:tcPr>
    </w:tblStylePr>
    <w:tblStylePr w:type="lastCol">
      <w:rPr>
        <w:color w:val="FFFFFF" w:themeColor="background1"/>
      </w:rPr>
      <w:tblPr/>
      <w:tcPr>
        <w:shd w:val="clear" w:color="auto" w:fill="99102F" w:themeFill="accent3" w:themeFillShade="BF"/>
      </w:tcPr>
    </w:tblStylePr>
    <w:tblStylePr w:type="band1Vert">
      <w:tblPr/>
      <w:tcPr>
        <w:shd w:val="clear" w:color="auto" w:fill="F17F99" w:themeFill="accent3" w:themeFillTint="7F"/>
      </w:tcPr>
    </w:tblStylePr>
    <w:tblStylePr w:type="band1Horz">
      <w:tblPr/>
      <w:tcPr>
        <w:shd w:val="clear" w:color="auto" w:fill="F17F99" w:themeFill="accent3" w:themeFillTint="7F"/>
      </w:tcPr>
    </w:tblStylePr>
  </w:style>
  <w:style w:type="table" w:styleId="ColorfulGrid-Accent4">
    <w:name w:val="Colorful Grid Accent 4"/>
    <w:basedOn w:val="TableNormal"/>
    <w:uiPriority w:val="73"/>
    <w:semiHidden/>
    <w:unhideWhenUsed/>
    <w:rsid w:val="009D2459"/>
    <w:pPr>
      <w:spacing w:after="0" w:line="240" w:lineRule="auto"/>
    </w:pPr>
    <w:rPr>
      <w:rFonts w:eastAsia="Times New Roman" w:cs="Times New Roman"/>
      <w:color w:val="000000" w:themeColor="text1"/>
      <w:sz w:val="20"/>
      <w:szCs w:val="20"/>
      <w:lang w:eastAsia="en-AU"/>
    </w:rPr>
    <w:tblPr>
      <w:tblStyleRowBandSize w:val="1"/>
      <w:tblStyleColBandSize w:val="1"/>
      <w:tblBorders>
        <w:insideH w:val="single" w:sz="4" w:space="0" w:color="FFFFFF" w:themeColor="background1"/>
      </w:tblBorders>
    </w:tblPr>
    <w:tcPr>
      <w:shd w:val="clear" w:color="auto" w:fill="E4CAF0" w:themeFill="accent4" w:themeFillTint="33"/>
    </w:tcPr>
    <w:tblStylePr w:type="firstRow">
      <w:rPr>
        <w:b/>
        <w:bCs/>
      </w:rPr>
      <w:tblPr/>
      <w:tcPr>
        <w:shd w:val="clear" w:color="auto" w:fill="CA95E1" w:themeFill="accent4" w:themeFillTint="66"/>
      </w:tcPr>
    </w:tblStylePr>
    <w:tblStylePr w:type="lastRow">
      <w:rPr>
        <w:b/>
        <w:bCs/>
        <w:color w:val="000000" w:themeColor="text1"/>
      </w:rPr>
      <w:tblPr/>
      <w:tcPr>
        <w:shd w:val="clear" w:color="auto" w:fill="CA95E1" w:themeFill="accent4" w:themeFillTint="66"/>
      </w:tcPr>
    </w:tblStylePr>
    <w:tblStylePr w:type="firstCol">
      <w:rPr>
        <w:color w:val="FFFFFF" w:themeColor="background1"/>
      </w:rPr>
      <w:tblPr/>
      <w:tcPr>
        <w:shd w:val="clear" w:color="auto" w:fill="4E1C64" w:themeFill="accent4" w:themeFillShade="BF"/>
      </w:tcPr>
    </w:tblStylePr>
    <w:tblStylePr w:type="lastCol">
      <w:rPr>
        <w:color w:val="FFFFFF" w:themeColor="background1"/>
      </w:rPr>
      <w:tblPr/>
      <w:tcPr>
        <w:shd w:val="clear" w:color="auto" w:fill="4E1C64" w:themeFill="accent4" w:themeFillShade="BF"/>
      </w:tcPr>
    </w:tblStylePr>
    <w:tblStylePr w:type="band1Vert">
      <w:tblPr/>
      <w:tcPr>
        <w:shd w:val="clear" w:color="auto" w:fill="BC7BD9" w:themeFill="accent4" w:themeFillTint="7F"/>
      </w:tcPr>
    </w:tblStylePr>
    <w:tblStylePr w:type="band1Horz">
      <w:tblPr/>
      <w:tcPr>
        <w:shd w:val="clear" w:color="auto" w:fill="BC7BD9" w:themeFill="accent4" w:themeFillTint="7F"/>
      </w:tcPr>
    </w:tblStylePr>
  </w:style>
  <w:style w:type="table" w:styleId="ColorfulGrid-Accent5">
    <w:name w:val="Colorful Grid Accent 5"/>
    <w:basedOn w:val="TableNormal"/>
    <w:uiPriority w:val="73"/>
    <w:semiHidden/>
    <w:unhideWhenUsed/>
    <w:rsid w:val="009D2459"/>
    <w:pPr>
      <w:spacing w:after="0" w:line="240" w:lineRule="auto"/>
    </w:pPr>
    <w:rPr>
      <w:rFonts w:eastAsia="Times New Roman" w:cs="Times New Roman"/>
      <w:color w:val="000000" w:themeColor="text1"/>
      <w:sz w:val="20"/>
      <w:szCs w:val="20"/>
      <w:lang w:eastAsia="en-AU"/>
    </w:rPr>
    <w:tblPr>
      <w:tblStyleRowBandSize w:val="1"/>
      <w:tblStyleColBandSize w:val="1"/>
      <w:tblBorders>
        <w:insideH w:val="single" w:sz="4" w:space="0" w:color="FFFFFF" w:themeColor="background1"/>
      </w:tblBorders>
    </w:tblPr>
    <w:tcPr>
      <w:shd w:val="clear" w:color="auto" w:fill="CBF5D8" w:themeFill="accent5" w:themeFillTint="33"/>
    </w:tcPr>
    <w:tblStylePr w:type="firstRow">
      <w:rPr>
        <w:b/>
        <w:bCs/>
      </w:rPr>
      <w:tblPr/>
      <w:tcPr>
        <w:shd w:val="clear" w:color="auto" w:fill="97EBB2" w:themeFill="accent5" w:themeFillTint="66"/>
      </w:tcPr>
    </w:tblStylePr>
    <w:tblStylePr w:type="lastRow">
      <w:rPr>
        <w:b/>
        <w:bCs/>
        <w:color w:val="000000" w:themeColor="text1"/>
      </w:rPr>
      <w:tblPr/>
      <w:tcPr>
        <w:shd w:val="clear" w:color="auto" w:fill="97EBB2" w:themeFill="accent5" w:themeFillTint="66"/>
      </w:tcPr>
    </w:tblStylePr>
    <w:tblStylePr w:type="firstCol">
      <w:rPr>
        <w:color w:val="FFFFFF" w:themeColor="background1"/>
      </w:rPr>
      <w:tblPr/>
      <w:tcPr>
        <w:shd w:val="clear" w:color="auto" w:fill="187F39" w:themeFill="accent5" w:themeFillShade="BF"/>
      </w:tcPr>
    </w:tblStylePr>
    <w:tblStylePr w:type="lastCol">
      <w:rPr>
        <w:color w:val="FFFFFF" w:themeColor="background1"/>
      </w:rPr>
      <w:tblPr/>
      <w:tcPr>
        <w:shd w:val="clear" w:color="auto" w:fill="187F39" w:themeFill="accent5" w:themeFillShade="BF"/>
      </w:tcPr>
    </w:tblStylePr>
    <w:tblStylePr w:type="band1Vert">
      <w:tblPr/>
      <w:tcPr>
        <w:shd w:val="clear" w:color="auto" w:fill="7DE69F" w:themeFill="accent5" w:themeFillTint="7F"/>
      </w:tcPr>
    </w:tblStylePr>
    <w:tblStylePr w:type="band1Horz">
      <w:tblPr/>
      <w:tcPr>
        <w:shd w:val="clear" w:color="auto" w:fill="7DE69F" w:themeFill="accent5" w:themeFillTint="7F"/>
      </w:tcPr>
    </w:tblStylePr>
  </w:style>
  <w:style w:type="table" w:styleId="ColorfulGrid-Accent6">
    <w:name w:val="Colorful Grid Accent 6"/>
    <w:basedOn w:val="TableNormal"/>
    <w:uiPriority w:val="73"/>
    <w:semiHidden/>
    <w:unhideWhenUsed/>
    <w:rsid w:val="009D2459"/>
    <w:pPr>
      <w:spacing w:after="0" w:line="240" w:lineRule="auto"/>
    </w:pPr>
    <w:rPr>
      <w:rFonts w:eastAsia="Times New Roman" w:cs="Times New Roman"/>
      <w:color w:val="000000" w:themeColor="text1"/>
      <w:sz w:val="20"/>
      <w:szCs w:val="20"/>
      <w:lang w:eastAsia="en-AU"/>
    </w:rPr>
    <w:tblPr>
      <w:tblStyleRowBandSize w:val="1"/>
      <w:tblStyleColBandSize w:val="1"/>
      <w:tblBorders>
        <w:insideH w:val="single" w:sz="4" w:space="0" w:color="FFFFFF" w:themeColor="background1"/>
      </w:tblBorders>
    </w:tblPr>
    <w:tcPr>
      <w:shd w:val="clear" w:color="auto" w:fill="BDEAFF" w:themeFill="accent6" w:themeFillTint="33"/>
    </w:tcPr>
    <w:tblStylePr w:type="firstRow">
      <w:rPr>
        <w:b/>
        <w:bCs/>
      </w:rPr>
      <w:tblPr/>
      <w:tcPr>
        <w:shd w:val="clear" w:color="auto" w:fill="7BD5FF" w:themeFill="accent6" w:themeFillTint="66"/>
      </w:tcPr>
    </w:tblStylePr>
    <w:tblStylePr w:type="lastRow">
      <w:rPr>
        <w:b/>
        <w:bCs/>
        <w:color w:val="000000" w:themeColor="text1"/>
      </w:rPr>
      <w:tblPr/>
      <w:tcPr>
        <w:shd w:val="clear" w:color="auto" w:fill="7BD5FF" w:themeFill="accent6" w:themeFillTint="66"/>
      </w:tcPr>
    </w:tblStylePr>
    <w:tblStylePr w:type="firstCol">
      <w:rPr>
        <w:color w:val="FFFFFF" w:themeColor="background1"/>
      </w:rPr>
      <w:tblPr/>
      <w:tcPr>
        <w:shd w:val="clear" w:color="auto" w:fill="005D88" w:themeFill="accent6" w:themeFillShade="BF"/>
      </w:tcPr>
    </w:tblStylePr>
    <w:tblStylePr w:type="lastCol">
      <w:rPr>
        <w:color w:val="FFFFFF" w:themeColor="background1"/>
      </w:rPr>
      <w:tblPr/>
      <w:tcPr>
        <w:shd w:val="clear" w:color="auto" w:fill="005D88" w:themeFill="accent6" w:themeFillShade="BF"/>
      </w:tcPr>
    </w:tblStylePr>
    <w:tblStylePr w:type="band1Vert">
      <w:tblPr/>
      <w:tcPr>
        <w:shd w:val="clear" w:color="auto" w:fill="5BCBFF" w:themeFill="accent6" w:themeFillTint="7F"/>
      </w:tcPr>
    </w:tblStylePr>
    <w:tblStylePr w:type="band1Horz">
      <w:tblPr/>
      <w:tcPr>
        <w:shd w:val="clear" w:color="auto" w:fill="5BCBFF" w:themeFill="accent6" w:themeFillTint="7F"/>
      </w:tcPr>
    </w:tblStylePr>
  </w:style>
  <w:style w:type="table" w:styleId="ColorfulList">
    <w:name w:val="Colorful List"/>
    <w:basedOn w:val="TableNormal"/>
    <w:uiPriority w:val="72"/>
    <w:semiHidden/>
    <w:unhideWhenUsed/>
    <w:rsid w:val="009D2459"/>
    <w:pPr>
      <w:spacing w:after="0" w:line="240" w:lineRule="auto"/>
    </w:pPr>
    <w:rPr>
      <w:rFonts w:eastAsia="Times New Roman" w:cs="Times New Roman"/>
      <w:color w:val="000000" w:themeColor="text1"/>
      <w:sz w:val="20"/>
      <w:szCs w:val="20"/>
      <w:lang w:eastAsia="en-AU"/>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3A200" w:themeFill="accent2" w:themeFillShade="CC"/>
      </w:tcPr>
    </w:tblStylePr>
    <w:tblStylePr w:type="lastRow">
      <w:rPr>
        <w:b/>
        <w:bCs/>
        <w:color w:val="D3A200"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9D2459"/>
    <w:pPr>
      <w:spacing w:after="0" w:line="240" w:lineRule="auto"/>
    </w:pPr>
    <w:rPr>
      <w:rFonts w:eastAsia="Times New Roman" w:cs="Times New Roman"/>
      <w:color w:val="000000" w:themeColor="text1"/>
      <w:sz w:val="20"/>
      <w:szCs w:val="20"/>
      <w:lang w:eastAsia="en-AU"/>
    </w:rPr>
    <w:tblPr>
      <w:tblStyleRowBandSize w:val="1"/>
      <w:tblStyleColBandSize w:val="1"/>
    </w:tblPr>
    <w:tcPr>
      <w:shd w:val="clear" w:color="auto" w:fill="FAFBFA" w:themeFill="accent1" w:themeFillTint="19"/>
    </w:tcPr>
    <w:tblStylePr w:type="firstRow">
      <w:rPr>
        <w:b/>
        <w:bCs/>
        <w:color w:val="FFFFFF" w:themeColor="background1"/>
      </w:rPr>
      <w:tblPr/>
      <w:tcPr>
        <w:tcBorders>
          <w:bottom w:val="single" w:sz="12" w:space="0" w:color="FFFFFF" w:themeColor="background1"/>
        </w:tcBorders>
        <w:shd w:val="clear" w:color="auto" w:fill="D3A200" w:themeFill="accent2" w:themeFillShade="CC"/>
      </w:tcPr>
    </w:tblStylePr>
    <w:tblStylePr w:type="lastRow">
      <w:rPr>
        <w:b/>
        <w:bCs/>
        <w:color w:val="D3A200"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4F5F4" w:themeFill="accent1" w:themeFillTint="3F"/>
      </w:tcPr>
    </w:tblStylePr>
    <w:tblStylePr w:type="band1Horz">
      <w:tblPr/>
      <w:tcPr>
        <w:shd w:val="clear" w:color="auto" w:fill="F6F7F6" w:themeFill="accent1" w:themeFillTint="33"/>
      </w:tcPr>
    </w:tblStylePr>
  </w:style>
  <w:style w:type="table" w:styleId="ColorfulList-Accent2">
    <w:name w:val="Colorful List Accent 2"/>
    <w:basedOn w:val="TableNormal"/>
    <w:uiPriority w:val="72"/>
    <w:semiHidden/>
    <w:unhideWhenUsed/>
    <w:rsid w:val="009D2459"/>
    <w:pPr>
      <w:spacing w:after="0" w:line="240" w:lineRule="auto"/>
    </w:pPr>
    <w:rPr>
      <w:rFonts w:eastAsia="Times New Roman" w:cs="Times New Roman"/>
      <w:color w:val="000000" w:themeColor="text1"/>
      <w:sz w:val="20"/>
      <w:szCs w:val="20"/>
      <w:lang w:eastAsia="en-AU"/>
    </w:rPr>
    <w:tblPr>
      <w:tblStyleRowBandSize w:val="1"/>
      <w:tblStyleColBandSize w:val="1"/>
    </w:tblPr>
    <w:tcPr>
      <w:shd w:val="clear" w:color="auto" w:fill="FFF9E6" w:themeFill="accent2" w:themeFillTint="19"/>
    </w:tcPr>
    <w:tblStylePr w:type="firstRow">
      <w:rPr>
        <w:b/>
        <w:bCs/>
        <w:color w:val="FFFFFF" w:themeColor="background1"/>
      </w:rPr>
      <w:tblPr/>
      <w:tcPr>
        <w:tcBorders>
          <w:bottom w:val="single" w:sz="12" w:space="0" w:color="FFFFFF" w:themeColor="background1"/>
        </w:tcBorders>
        <w:shd w:val="clear" w:color="auto" w:fill="D3A200" w:themeFill="accent2" w:themeFillShade="CC"/>
      </w:tcPr>
    </w:tblStylePr>
    <w:tblStylePr w:type="lastRow">
      <w:rPr>
        <w:b/>
        <w:bCs/>
        <w:color w:val="D3A200"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F0C2" w:themeFill="accent2" w:themeFillTint="3F"/>
      </w:tcPr>
    </w:tblStylePr>
    <w:tblStylePr w:type="band1Horz">
      <w:tblPr/>
      <w:tcPr>
        <w:shd w:val="clear" w:color="auto" w:fill="FFF3CD" w:themeFill="accent2" w:themeFillTint="33"/>
      </w:tcPr>
    </w:tblStylePr>
  </w:style>
  <w:style w:type="table" w:styleId="ColorfulList-Accent3">
    <w:name w:val="Colorful List Accent 3"/>
    <w:basedOn w:val="TableNormal"/>
    <w:uiPriority w:val="72"/>
    <w:semiHidden/>
    <w:unhideWhenUsed/>
    <w:rsid w:val="009D2459"/>
    <w:pPr>
      <w:spacing w:after="0" w:line="240" w:lineRule="auto"/>
    </w:pPr>
    <w:rPr>
      <w:rFonts w:eastAsia="Times New Roman" w:cs="Times New Roman"/>
      <w:color w:val="000000" w:themeColor="text1"/>
      <w:sz w:val="20"/>
      <w:szCs w:val="20"/>
      <w:lang w:eastAsia="en-AU"/>
    </w:rPr>
    <w:tblPr>
      <w:tblStyleRowBandSize w:val="1"/>
      <w:tblStyleColBandSize w:val="1"/>
    </w:tblPr>
    <w:tcPr>
      <w:shd w:val="clear" w:color="auto" w:fill="FCE5EA" w:themeFill="accent3" w:themeFillTint="19"/>
    </w:tcPr>
    <w:tblStylePr w:type="firstRow">
      <w:rPr>
        <w:b/>
        <w:bCs/>
        <w:color w:val="FFFFFF" w:themeColor="background1"/>
      </w:rPr>
      <w:tblPr/>
      <w:tcPr>
        <w:tcBorders>
          <w:bottom w:val="single" w:sz="12" w:space="0" w:color="FFFFFF" w:themeColor="background1"/>
        </w:tcBorders>
        <w:shd w:val="clear" w:color="auto" w:fill="531E6A" w:themeFill="accent4" w:themeFillShade="CC"/>
      </w:tcPr>
    </w:tblStylePr>
    <w:tblStylePr w:type="lastRow">
      <w:rPr>
        <w:b/>
        <w:bCs/>
        <w:color w:val="531E6A"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8BFCC" w:themeFill="accent3" w:themeFillTint="3F"/>
      </w:tcPr>
    </w:tblStylePr>
    <w:tblStylePr w:type="band1Horz">
      <w:tblPr/>
      <w:tcPr>
        <w:shd w:val="clear" w:color="auto" w:fill="F9CBD6" w:themeFill="accent3" w:themeFillTint="33"/>
      </w:tcPr>
    </w:tblStylePr>
  </w:style>
  <w:style w:type="table" w:styleId="ColorfulList-Accent4">
    <w:name w:val="Colorful List Accent 4"/>
    <w:basedOn w:val="TableNormal"/>
    <w:uiPriority w:val="72"/>
    <w:semiHidden/>
    <w:unhideWhenUsed/>
    <w:rsid w:val="009D2459"/>
    <w:pPr>
      <w:spacing w:after="0" w:line="240" w:lineRule="auto"/>
    </w:pPr>
    <w:rPr>
      <w:rFonts w:eastAsia="Times New Roman" w:cs="Times New Roman"/>
      <w:color w:val="000000" w:themeColor="text1"/>
      <w:sz w:val="20"/>
      <w:szCs w:val="20"/>
      <w:lang w:eastAsia="en-AU"/>
    </w:rPr>
    <w:tblPr>
      <w:tblStyleRowBandSize w:val="1"/>
      <w:tblStyleColBandSize w:val="1"/>
    </w:tblPr>
    <w:tcPr>
      <w:shd w:val="clear" w:color="auto" w:fill="F1E5F7" w:themeFill="accent4" w:themeFillTint="19"/>
    </w:tcPr>
    <w:tblStylePr w:type="firstRow">
      <w:rPr>
        <w:b/>
        <w:bCs/>
        <w:color w:val="FFFFFF" w:themeColor="background1"/>
      </w:rPr>
      <w:tblPr/>
      <w:tcPr>
        <w:tcBorders>
          <w:bottom w:val="single" w:sz="12" w:space="0" w:color="FFFFFF" w:themeColor="background1"/>
        </w:tcBorders>
        <w:shd w:val="clear" w:color="auto" w:fill="A31132" w:themeFill="accent3" w:themeFillShade="CC"/>
      </w:tcPr>
    </w:tblStylePr>
    <w:tblStylePr w:type="lastRow">
      <w:rPr>
        <w:b/>
        <w:bCs/>
        <w:color w:val="A31132"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EBDEC" w:themeFill="accent4" w:themeFillTint="3F"/>
      </w:tcPr>
    </w:tblStylePr>
    <w:tblStylePr w:type="band1Horz">
      <w:tblPr/>
      <w:tcPr>
        <w:shd w:val="clear" w:color="auto" w:fill="E4CAF0" w:themeFill="accent4" w:themeFillTint="33"/>
      </w:tcPr>
    </w:tblStylePr>
  </w:style>
  <w:style w:type="table" w:styleId="ColorfulList-Accent5">
    <w:name w:val="Colorful List Accent 5"/>
    <w:basedOn w:val="TableNormal"/>
    <w:uiPriority w:val="72"/>
    <w:semiHidden/>
    <w:unhideWhenUsed/>
    <w:rsid w:val="009D2459"/>
    <w:pPr>
      <w:spacing w:after="0" w:line="240" w:lineRule="auto"/>
    </w:pPr>
    <w:rPr>
      <w:rFonts w:eastAsia="Times New Roman" w:cs="Times New Roman"/>
      <w:color w:val="000000" w:themeColor="text1"/>
      <w:sz w:val="20"/>
      <w:szCs w:val="20"/>
      <w:lang w:eastAsia="en-AU"/>
    </w:rPr>
    <w:tblPr>
      <w:tblStyleRowBandSize w:val="1"/>
      <w:tblStyleColBandSize w:val="1"/>
    </w:tblPr>
    <w:tcPr>
      <w:shd w:val="clear" w:color="auto" w:fill="E5FAEC" w:themeFill="accent5" w:themeFillTint="19"/>
    </w:tcPr>
    <w:tblStylePr w:type="firstRow">
      <w:rPr>
        <w:b/>
        <w:bCs/>
        <w:color w:val="FFFFFF" w:themeColor="background1"/>
      </w:rPr>
      <w:tblPr/>
      <w:tcPr>
        <w:tcBorders>
          <w:bottom w:val="single" w:sz="12" w:space="0" w:color="FFFFFF" w:themeColor="background1"/>
        </w:tcBorders>
        <w:shd w:val="clear" w:color="auto" w:fill="006391" w:themeFill="accent6" w:themeFillShade="CC"/>
      </w:tcPr>
    </w:tblStylePr>
    <w:tblStylePr w:type="lastRow">
      <w:rPr>
        <w:b/>
        <w:bCs/>
        <w:color w:val="006391"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EF3CF" w:themeFill="accent5" w:themeFillTint="3F"/>
      </w:tcPr>
    </w:tblStylePr>
    <w:tblStylePr w:type="band1Horz">
      <w:tblPr/>
      <w:tcPr>
        <w:shd w:val="clear" w:color="auto" w:fill="CBF5D8" w:themeFill="accent5" w:themeFillTint="33"/>
      </w:tcPr>
    </w:tblStylePr>
  </w:style>
  <w:style w:type="table" w:styleId="ColorfulList-Accent6">
    <w:name w:val="Colorful List Accent 6"/>
    <w:basedOn w:val="TableNormal"/>
    <w:uiPriority w:val="72"/>
    <w:semiHidden/>
    <w:unhideWhenUsed/>
    <w:rsid w:val="009D2459"/>
    <w:pPr>
      <w:spacing w:after="0" w:line="240" w:lineRule="auto"/>
    </w:pPr>
    <w:rPr>
      <w:rFonts w:eastAsia="Times New Roman" w:cs="Times New Roman"/>
      <w:color w:val="000000" w:themeColor="text1"/>
      <w:sz w:val="20"/>
      <w:szCs w:val="20"/>
      <w:lang w:eastAsia="en-AU"/>
    </w:rPr>
    <w:tblPr>
      <w:tblStyleRowBandSize w:val="1"/>
      <w:tblStyleColBandSize w:val="1"/>
    </w:tblPr>
    <w:tcPr>
      <w:shd w:val="clear" w:color="auto" w:fill="DEF4FF" w:themeFill="accent6" w:themeFillTint="19"/>
    </w:tcPr>
    <w:tblStylePr w:type="firstRow">
      <w:rPr>
        <w:b/>
        <w:bCs/>
        <w:color w:val="FFFFFF" w:themeColor="background1"/>
      </w:rPr>
      <w:tblPr/>
      <w:tcPr>
        <w:tcBorders>
          <w:bottom w:val="single" w:sz="12" w:space="0" w:color="FFFFFF" w:themeColor="background1"/>
        </w:tcBorders>
        <w:shd w:val="clear" w:color="auto" w:fill="19873D" w:themeFill="accent5" w:themeFillShade="CC"/>
      </w:tcPr>
    </w:tblStylePr>
    <w:tblStylePr w:type="lastRow">
      <w:rPr>
        <w:b/>
        <w:bCs/>
        <w:color w:val="19873D"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DE5FF" w:themeFill="accent6" w:themeFillTint="3F"/>
      </w:tcPr>
    </w:tblStylePr>
    <w:tblStylePr w:type="band1Horz">
      <w:tblPr/>
      <w:tcPr>
        <w:shd w:val="clear" w:color="auto" w:fill="BDEAFF" w:themeFill="accent6" w:themeFillTint="33"/>
      </w:tcPr>
    </w:tblStylePr>
  </w:style>
  <w:style w:type="table" w:styleId="ColorfulShading">
    <w:name w:val="Colorful Shading"/>
    <w:basedOn w:val="TableNormal"/>
    <w:uiPriority w:val="71"/>
    <w:semiHidden/>
    <w:unhideWhenUsed/>
    <w:rsid w:val="009D2459"/>
    <w:pPr>
      <w:spacing w:after="0" w:line="240" w:lineRule="auto"/>
    </w:pPr>
    <w:rPr>
      <w:rFonts w:eastAsia="Times New Roman" w:cs="Times New Roman"/>
      <w:color w:val="000000" w:themeColor="text1"/>
      <w:sz w:val="20"/>
      <w:szCs w:val="20"/>
      <w:lang w:eastAsia="en-AU"/>
    </w:rPr>
    <w:tblPr>
      <w:tblStyleRowBandSize w:val="1"/>
      <w:tblStyleColBandSize w:val="1"/>
      <w:tblBorders>
        <w:top w:val="single" w:sz="24" w:space="0" w:color="FFC709"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FFC70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9D2459"/>
    <w:pPr>
      <w:spacing w:after="0" w:line="240" w:lineRule="auto"/>
    </w:pPr>
    <w:rPr>
      <w:rFonts w:eastAsia="Times New Roman" w:cs="Times New Roman"/>
      <w:color w:val="000000" w:themeColor="text1"/>
      <w:sz w:val="20"/>
      <w:szCs w:val="20"/>
      <w:lang w:eastAsia="en-AU"/>
    </w:rPr>
    <w:tblPr>
      <w:tblStyleRowBandSize w:val="1"/>
      <w:tblStyleColBandSize w:val="1"/>
      <w:tblBorders>
        <w:top w:val="single" w:sz="24" w:space="0" w:color="FFC709" w:themeColor="accent2"/>
        <w:left w:val="single" w:sz="4" w:space="0" w:color="D7D8D6" w:themeColor="accent1"/>
        <w:bottom w:val="single" w:sz="4" w:space="0" w:color="D7D8D6" w:themeColor="accent1"/>
        <w:right w:val="single" w:sz="4" w:space="0" w:color="D7D8D6" w:themeColor="accent1"/>
        <w:insideH w:val="single" w:sz="4" w:space="0" w:color="FFFFFF" w:themeColor="background1"/>
        <w:insideV w:val="single" w:sz="4" w:space="0" w:color="FFFFFF" w:themeColor="background1"/>
      </w:tblBorders>
    </w:tblPr>
    <w:tcPr>
      <w:shd w:val="clear" w:color="auto" w:fill="FAFBFA" w:themeFill="accent1" w:themeFillTint="19"/>
    </w:tcPr>
    <w:tblStylePr w:type="firstRow">
      <w:rPr>
        <w:b/>
        <w:bCs/>
      </w:rPr>
      <w:tblPr/>
      <w:tcPr>
        <w:tcBorders>
          <w:top w:val="nil"/>
          <w:left w:val="nil"/>
          <w:bottom w:val="single" w:sz="24" w:space="0" w:color="FFC70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0847D" w:themeFill="accent1" w:themeFillShade="99"/>
      </w:tcPr>
    </w:tblStylePr>
    <w:tblStylePr w:type="firstCol">
      <w:rPr>
        <w:color w:val="FFFFFF" w:themeColor="background1"/>
      </w:rPr>
      <w:tblPr/>
      <w:tcPr>
        <w:tcBorders>
          <w:top w:val="nil"/>
          <w:left w:val="nil"/>
          <w:bottom w:val="nil"/>
          <w:right w:val="nil"/>
          <w:insideH w:val="single" w:sz="4" w:space="0" w:color="80847D" w:themeColor="accent1" w:themeShade="99"/>
          <w:insideV w:val="nil"/>
        </w:tcBorders>
        <w:shd w:val="clear" w:color="auto" w:fill="80847D"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80847D" w:themeFill="accent1" w:themeFillShade="99"/>
      </w:tcPr>
    </w:tblStylePr>
    <w:tblStylePr w:type="band1Vert">
      <w:tblPr/>
      <w:tcPr>
        <w:shd w:val="clear" w:color="auto" w:fill="EEEFEE" w:themeFill="accent1" w:themeFillTint="66"/>
      </w:tcPr>
    </w:tblStylePr>
    <w:tblStylePr w:type="band1Horz">
      <w:tblPr/>
      <w:tcPr>
        <w:shd w:val="clear" w:color="auto" w:fill="EAEBEA"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9D2459"/>
    <w:pPr>
      <w:spacing w:after="0" w:line="240" w:lineRule="auto"/>
    </w:pPr>
    <w:rPr>
      <w:rFonts w:eastAsia="Times New Roman" w:cs="Times New Roman"/>
      <w:color w:val="000000" w:themeColor="text1"/>
      <w:sz w:val="20"/>
      <w:szCs w:val="20"/>
      <w:lang w:eastAsia="en-AU"/>
    </w:rPr>
    <w:tblPr>
      <w:tblStyleRowBandSize w:val="1"/>
      <w:tblStyleColBandSize w:val="1"/>
      <w:tblBorders>
        <w:top w:val="single" w:sz="24" w:space="0" w:color="FFC709" w:themeColor="accent2"/>
        <w:left w:val="single" w:sz="4" w:space="0" w:color="FFC709" w:themeColor="accent2"/>
        <w:bottom w:val="single" w:sz="4" w:space="0" w:color="FFC709" w:themeColor="accent2"/>
        <w:right w:val="single" w:sz="4" w:space="0" w:color="FFC709" w:themeColor="accent2"/>
        <w:insideH w:val="single" w:sz="4" w:space="0" w:color="FFFFFF" w:themeColor="background1"/>
        <w:insideV w:val="single" w:sz="4" w:space="0" w:color="FFFFFF" w:themeColor="background1"/>
      </w:tblBorders>
    </w:tblPr>
    <w:tcPr>
      <w:shd w:val="clear" w:color="auto" w:fill="FFF9E6" w:themeFill="accent2" w:themeFillTint="19"/>
    </w:tcPr>
    <w:tblStylePr w:type="firstRow">
      <w:rPr>
        <w:b/>
        <w:bCs/>
      </w:rPr>
      <w:tblPr/>
      <w:tcPr>
        <w:tcBorders>
          <w:top w:val="nil"/>
          <w:left w:val="nil"/>
          <w:bottom w:val="single" w:sz="24" w:space="0" w:color="FFC70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E7900" w:themeFill="accent2" w:themeFillShade="99"/>
      </w:tcPr>
    </w:tblStylePr>
    <w:tblStylePr w:type="firstCol">
      <w:rPr>
        <w:color w:val="FFFFFF" w:themeColor="background1"/>
      </w:rPr>
      <w:tblPr/>
      <w:tcPr>
        <w:tcBorders>
          <w:top w:val="nil"/>
          <w:left w:val="nil"/>
          <w:bottom w:val="nil"/>
          <w:right w:val="nil"/>
          <w:insideH w:val="single" w:sz="4" w:space="0" w:color="9E7900" w:themeColor="accent2" w:themeShade="99"/>
          <w:insideV w:val="nil"/>
        </w:tcBorders>
        <w:shd w:val="clear" w:color="auto" w:fill="9E790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E7900" w:themeFill="accent2" w:themeFillShade="99"/>
      </w:tcPr>
    </w:tblStylePr>
    <w:tblStylePr w:type="band1Vert">
      <w:tblPr/>
      <w:tcPr>
        <w:shd w:val="clear" w:color="auto" w:fill="FFE89C" w:themeFill="accent2" w:themeFillTint="66"/>
      </w:tcPr>
    </w:tblStylePr>
    <w:tblStylePr w:type="band1Horz">
      <w:tblPr/>
      <w:tcPr>
        <w:shd w:val="clear" w:color="auto" w:fill="FFE284"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9D2459"/>
    <w:pPr>
      <w:spacing w:after="0" w:line="240" w:lineRule="auto"/>
    </w:pPr>
    <w:rPr>
      <w:rFonts w:eastAsia="Times New Roman" w:cs="Times New Roman"/>
      <w:color w:val="000000" w:themeColor="text1"/>
      <w:sz w:val="20"/>
      <w:szCs w:val="20"/>
      <w:lang w:eastAsia="en-AU"/>
    </w:rPr>
    <w:tblPr>
      <w:tblStyleRowBandSize w:val="1"/>
      <w:tblStyleColBandSize w:val="1"/>
      <w:tblBorders>
        <w:top w:val="single" w:sz="24" w:space="0" w:color="692686" w:themeColor="accent4"/>
        <w:left w:val="single" w:sz="4" w:space="0" w:color="CD163F" w:themeColor="accent3"/>
        <w:bottom w:val="single" w:sz="4" w:space="0" w:color="CD163F" w:themeColor="accent3"/>
        <w:right w:val="single" w:sz="4" w:space="0" w:color="CD163F" w:themeColor="accent3"/>
        <w:insideH w:val="single" w:sz="4" w:space="0" w:color="FFFFFF" w:themeColor="background1"/>
        <w:insideV w:val="single" w:sz="4" w:space="0" w:color="FFFFFF" w:themeColor="background1"/>
      </w:tblBorders>
    </w:tblPr>
    <w:tcPr>
      <w:shd w:val="clear" w:color="auto" w:fill="FCE5EA" w:themeFill="accent3" w:themeFillTint="19"/>
    </w:tcPr>
    <w:tblStylePr w:type="firstRow">
      <w:rPr>
        <w:b/>
        <w:bCs/>
      </w:rPr>
      <w:tblPr/>
      <w:tcPr>
        <w:tcBorders>
          <w:top w:val="nil"/>
          <w:left w:val="nil"/>
          <w:bottom w:val="single" w:sz="24" w:space="0" w:color="692686"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A0D25" w:themeFill="accent3" w:themeFillShade="99"/>
      </w:tcPr>
    </w:tblStylePr>
    <w:tblStylePr w:type="firstCol">
      <w:rPr>
        <w:color w:val="FFFFFF" w:themeColor="background1"/>
      </w:rPr>
      <w:tblPr/>
      <w:tcPr>
        <w:tcBorders>
          <w:top w:val="nil"/>
          <w:left w:val="nil"/>
          <w:bottom w:val="nil"/>
          <w:right w:val="nil"/>
          <w:insideH w:val="single" w:sz="4" w:space="0" w:color="7A0D25" w:themeColor="accent3" w:themeShade="99"/>
          <w:insideV w:val="nil"/>
        </w:tcBorders>
        <w:shd w:val="clear" w:color="auto" w:fill="7A0D2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7A0D25" w:themeFill="accent3" w:themeFillShade="99"/>
      </w:tcPr>
    </w:tblStylePr>
    <w:tblStylePr w:type="band1Vert">
      <w:tblPr/>
      <w:tcPr>
        <w:shd w:val="clear" w:color="auto" w:fill="F498AD" w:themeFill="accent3" w:themeFillTint="66"/>
      </w:tcPr>
    </w:tblStylePr>
    <w:tblStylePr w:type="band1Horz">
      <w:tblPr/>
      <w:tcPr>
        <w:shd w:val="clear" w:color="auto" w:fill="F17F99" w:themeFill="accent3" w:themeFillTint="7F"/>
      </w:tcPr>
    </w:tblStylePr>
  </w:style>
  <w:style w:type="table" w:styleId="ColorfulShading-Accent4">
    <w:name w:val="Colorful Shading Accent 4"/>
    <w:basedOn w:val="TableNormal"/>
    <w:uiPriority w:val="71"/>
    <w:semiHidden/>
    <w:unhideWhenUsed/>
    <w:rsid w:val="009D2459"/>
    <w:pPr>
      <w:spacing w:after="0" w:line="240" w:lineRule="auto"/>
    </w:pPr>
    <w:rPr>
      <w:rFonts w:eastAsia="Times New Roman" w:cs="Times New Roman"/>
      <w:color w:val="000000" w:themeColor="text1"/>
      <w:sz w:val="20"/>
      <w:szCs w:val="20"/>
      <w:lang w:eastAsia="en-AU"/>
    </w:rPr>
    <w:tblPr>
      <w:tblStyleRowBandSize w:val="1"/>
      <w:tblStyleColBandSize w:val="1"/>
      <w:tblBorders>
        <w:top w:val="single" w:sz="24" w:space="0" w:color="CD163F" w:themeColor="accent3"/>
        <w:left w:val="single" w:sz="4" w:space="0" w:color="692686" w:themeColor="accent4"/>
        <w:bottom w:val="single" w:sz="4" w:space="0" w:color="692686" w:themeColor="accent4"/>
        <w:right w:val="single" w:sz="4" w:space="0" w:color="692686" w:themeColor="accent4"/>
        <w:insideH w:val="single" w:sz="4" w:space="0" w:color="FFFFFF" w:themeColor="background1"/>
        <w:insideV w:val="single" w:sz="4" w:space="0" w:color="FFFFFF" w:themeColor="background1"/>
      </w:tblBorders>
    </w:tblPr>
    <w:tcPr>
      <w:shd w:val="clear" w:color="auto" w:fill="F1E5F7" w:themeFill="accent4" w:themeFillTint="19"/>
    </w:tcPr>
    <w:tblStylePr w:type="firstRow">
      <w:rPr>
        <w:b/>
        <w:bCs/>
      </w:rPr>
      <w:tblPr/>
      <w:tcPr>
        <w:tcBorders>
          <w:top w:val="nil"/>
          <w:left w:val="nil"/>
          <w:bottom w:val="single" w:sz="24" w:space="0" w:color="CD163F"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E1650" w:themeFill="accent4" w:themeFillShade="99"/>
      </w:tcPr>
    </w:tblStylePr>
    <w:tblStylePr w:type="firstCol">
      <w:rPr>
        <w:color w:val="FFFFFF" w:themeColor="background1"/>
      </w:rPr>
      <w:tblPr/>
      <w:tcPr>
        <w:tcBorders>
          <w:top w:val="nil"/>
          <w:left w:val="nil"/>
          <w:bottom w:val="nil"/>
          <w:right w:val="nil"/>
          <w:insideH w:val="single" w:sz="4" w:space="0" w:color="3E1650" w:themeColor="accent4" w:themeShade="99"/>
          <w:insideV w:val="nil"/>
        </w:tcBorders>
        <w:shd w:val="clear" w:color="auto" w:fill="3E165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3E1650" w:themeFill="accent4" w:themeFillShade="99"/>
      </w:tcPr>
    </w:tblStylePr>
    <w:tblStylePr w:type="band1Vert">
      <w:tblPr/>
      <w:tcPr>
        <w:shd w:val="clear" w:color="auto" w:fill="CA95E1" w:themeFill="accent4" w:themeFillTint="66"/>
      </w:tcPr>
    </w:tblStylePr>
    <w:tblStylePr w:type="band1Horz">
      <w:tblPr/>
      <w:tcPr>
        <w:shd w:val="clear" w:color="auto" w:fill="BC7BD9"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9D2459"/>
    <w:pPr>
      <w:spacing w:after="0" w:line="240" w:lineRule="auto"/>
    </w:pPr>
    <w:rPr>
      <w:rFonts w:eastAsia="Times New Roman" w:cs="Times New Roman"/>
      <w:color w:val="000000" w:themeColor="text1"/>
      <w:sz w:val="20"/>
      <w:szCs w:val="20"/>
      <w:lang w:eastAsia="en-AU"/>
    </w:rPr>
    <w:tblPr>
      <w:tblStyleRowBandSize w:val="1"/>
      <w:tblStyleColBandSize w:val="1"/>
      <w:tblBorders>
        <w:top w:val="single" w:sz="24" w:space="0" w:color="007DB6" w:themeColor="accent6"/>
        <w:left w:val="single" w:sz="4" w:space="0" w:color="20AA4D" w:themeColor="accent5"/>
        <w:bottom w:val="single" w:sz="4" w:space="0" w:color="20AA4D" w:themeColor="accent5"/>
        <w:right w:val="single" w:sz="4" w:space="0" w:color="20AA4D" w:themeColor="accent5"/>
        <w:insideH w:val="single" w:sz="4" w:space="0" w:color="FFFFFF" w:themeColor="background1"/>
        <w:insideV w:val="single" w:sz="4" w:space="0" w:color="FFFFFF" w:themeColor="background1"/>
      </w:tblBorders>
    </w:tblPr>
    <w:tcPr>
      <w:shd w:val="clear" w:color="auto" w:fill="E5FAEC" w:themeFill="accent5" w:themeFillTint="19"/>
    </w:tcPr>
    <w:tblStylePr w:type="firstRow">
      <w:rPr>
        <w:b/>
        <w:bCs/>
      </w:rPr>
      <w:tblPr/>
      <w:tcPr>
        <w:tcBorders>
          <w:top w:val="nil"/>
          <w:left w:val="nil"/>
          <w:bottom w:val="single" w:sz="24" w:space="0" w:color="007DB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652E" w:themeFill="accent5" w:themeFillShade="99"/>
      </w:tcPr>
    </w:tblStylePr>
    <w:tblStylePr w:type="firstCol">
      <w:rPr>
        <w:color w:val="FFFFFF" w:themeColor="background1"/>
      </w:rPr>
      <w:tblPr/>
      <w:tcPr>
        <w:tcBorders>
          <w:top w:val="nil"/>
          <w:left w:val="nil"/>
          <w:bottom w:val="nil"/>
          <w:right w:val="nil"/>
          <w:insideH w:val="single" w:sz="4" w:space="0" w:color="13652E" w:themeColor="accent5" w:themeShade="99"/>
          <w:insideV w:val="nil"/>
        </w:tcBorders>
        <w:shd w:val="clear" w:color="auto" w:fill="13652E"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13652E" w:themeFill="accent5" w:themeFillShade="99"/>
      </w:tcPr>
    </w:tblStylePr>
    <w:tblStylePr w:type="band1Vert">
      <w:tblPr/>
      <w:tcPr>
        <w:shd w:val="clear" w:color="auto" w:fill="97EBB2" w:themeFill="accent5" w:themeFillTint="66"/>
      </w:tcPr>
    </w:tblStylePr>
    <w:tblStylePr w:type="band1Horz">
      <w:tblPr/>
      <w:tcPr>
        <w:shd w:val="clear" w:color="auto" w:fill="7DE69F"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9D2459"/>
    <w:pPr>
      <w:spacing w:after="0" w:line="240" w:lineRule="auto"/>
    </w:pPr>
    <w:rPr>
      <w:rFonts w:eastAsia="Times New Roman" w:cs="Times New Roman"/>
      <w:color w:val="000000" w:themeColor="text1"/>
      <w:sz w:val="20"/>
      <w:szCs w:val="20"/>
      <w:lang w:eastAsia="en-AU"/>
    </w:rPr>
    <w:tblPr>
      <w:tblStyleRowBandSize w:val="1"/>
      <w:tblStyleColBandSize w:val="1"/>
      <w:tblBorders>
        <w:top w:val="single" w:sz="24" w:space="0" w:color="20AA4D" w:themeColor="accent5"/>
        <w:left w:val="single" w:sz="4" w:space="0" w:color="007DB6" w:themeColor="accent6"/>
        <w:bottom w:val="single" w:sz="4" w:space="0" w:color="007DB6" w:themeColor="accent6"/>
        <w:right w:val="single" w:sz="4" w:space="0" w:color="007DB6" w:themeColor="accent6"/>
        <w:insideH w:val="single" w:sz="4" w:space="0" w:color="FFFFFF" w:themeColor="background1"/>
        <w:insideV w:val="single" w:sz="4" w:space="0" w:color="FFFFFF" w:themeColor="background1"/>
      </w:tblBorders>
    </w:tblPr>
    <w:tcPr>
      <w:shd w:val="clear" w:color="auto" w:fill="DEF4FF" w:themeFill="accent6" w:themeFillTint="19"/>
    </w:tcPr>
    <w:tblStylePr w:type="firstRow">
      <w:rPr>
        <w:b/>
        <w:bCs/>
      </w:rPr>
      <w:tblPr/>
      <w:tcPr>
        <w:tcBorders>
          <w:top w:val="nil"/>
          <w:left w:val="nil"/>
          <w:bottom w:val="single" w:sz="24" w:space="0" w:color="20AA4D"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4A6D" w:themeFill="accent6" w:themeFillShade="99"/>
      </w:tcPr>
    </w:tblStylePr>
    <w:tblStylePr w:type="firstCol">
      <w:rPr>
        <w:color w:val="FFFFFF" w:themeColor="background1"/>
      </w:rPr>
      <w:tblPr/>
      <w:tcPr>
        <w:tcBorders>
          <w:top w:val="nil"/>
          <w:left w:val="nil"/>
          <w:bottom w:val="nil"/>
          <w:right w:val="nil"/>
          <w:insideH w:val="single" w:sz="4" w:space="0" w:color="004A6D" w:themeColor="accent6" w:themeShade="99"/>
          <w:insideV w:val="nil"/>
        </w:tcBorders>
        <w:shd w:val="clear" w:color="auto" w:fill="004A6D"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004A6D" w:themeFill="accent6" w:themeFillShade="99"/>
      </w:tcPr>
    </w:tblStylePr>
    <w:tblStylePr w:type="band1Vert">
      <w:tblPr/>
      <w:tcPr>
        <w:shd w:val="clear" w:color="auto" w:fill="7BD5FF" w:themeFill="accent6" w:themeFillTint="66"/>
      </w:tcPr>
    </w:tblStylePr>
    <w:tblStylePr w:type="band1Horz">
      <w:tblPr/>
      <w:tcPr>
        <w:shd w:val="clear" w:color="auto" w:fill="5BCBFF"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unhideWhenUsed/>
    <w:rsid w:val="009D2459"/>
    <w:pPr>
      <w:spacing w:after="0" w:line="240" w:lineRule="auto"/>
    </w:pPr>
    <w:rPr>
      <w:rFonts w:eastAsia="Times New Roman" w:cs="Times New Roman"/>
      <w:color w:val="FFFFFF" w:themeColor="background1"/>
      <w:sz w:val="20"/>
      <w:szCs w:val="20"/>
      <w:lang w:eastAsia="en-AU"/>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9D2459"/>
    <w:pPr>
      <w:spacing w:after="0" w:line="240" w:lineRule="auto"/>
    </w:pPr>
    <w:rPr>
      <w:rFonts w:eastAsia="Times New Roman" w:cs="Times New Roman"/>
      <w:color w:val="FFFFFF" w:themeColor="background1"/>
      <w:sz w:val="20"/>
      <w:szCs w:val="20"/>
      <w:lang w:eastAsia="en-AU"/>
    </w:rPr>
    <w:tblPr>
      <w:tblStyleRowBandSize w:val="1"/>
      <w:tblStyleColBandSize w:val="1"/>
    </w:tblPr>
    <w:tcPr>
      <w:shd w:val="clear" w:color="auto" w:fill="D7D8D6"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A6D6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A0A39E"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A0A39E" w:themeFill="accent1" w:themeFillShade="BF"/>
      </w:tcPr>
    </w:tblStylePr>
    <w:tblStylePr w:type="band1Vert">
      <w:tblPr/>
      <w:tcPr>
        <w:tcBorders>
          <w:top w:val="nil"/>
          <w:left w:val="nil"/>
          <w:bottom w:val="nil"/>
          <w:right w:val="nil"/>
          <w:insideH w:val="nil"/>
          <w:insideV w:val="nil"/>
        </w:tcBorders>
        <w:shd w:val="clear" w:color="auto" w:fill="A0A39E" w:themeFill="accent1" w:themeFillShade="BF"/>
      </w:tcPr>
    </w:tblStylePr>
    <w:tblStylePr w:type="band1Horz">
      <w:tblPr/>
      <w:tcPr>
        <w:tcBorders>
          <w:top w:val="nil"/>
          <w:left w:val="nil"/>
          <w:bottom w:val="nil"/>
          <w:right w:val="nil"/>
          <w:insideH w:val="nil"/>
          <w:insideV w:val="nil"/>
        </w:tcBorders>
        <w:shd w:val="clear" w:color="auto" w:fill="A0A39E" w:themeFill="accent1" w:themeFillShade="BF"/>
      </w:tcPr>
    </w:tblStylePr>
  </w:style>
  <w:style w:type="table" w:styleId="DarkList-Accent2">
    <w:name w:val="Dark List Accent 2"/>
    <w:basedOn w:val="TableNormal"/>
    <w:uiPriority w:val="70"/>
    <w:semiHidden/>
    <w:unhideWhenUsed/>
    <w:rsid w:val="009D2459"/>
    <w:pPr>
      <w:spacing w:after="0" w:line="240" w:lineRule="auto"/>
    </w:pPr>
    <w:rPr>
      <w:rFonts w:eastAsia="Times New Roman" w:cs="Times New Roman"/>
      <w:color w:val="FFFFFF" w:themeColor="background1"/>
      <w:sz w:val="20"/>
      <w:szCs w:val="20"/>
      <w:lang w:eastAsia="en-AU"/>
    </w:rPr>
    <w:tblPr>
      <w:tblStyleRowBandSize w:val="1"/>
      <w:tblStyleColBandSize w:val="1"/>
    </w:tblPr>
    <w:tcPr>
      <w:shd w:val="clear" w:color="auto" w:fill="FFC709"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36400"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59700"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59700" w:themeFill="accent2" w:themeFillShade="BF"/>
      </w:tcPr>
    </w:tblStylePr>
    <w:tblStylePr w:type="band1Vert">
      <w:tblPr/>
      <w:tcPr>
        <w:tcBorders>
          <w:top w:val="nil"/>
          <w:left w:val="nil"/>
          <w:bottom w:val="nil"/>
          <w:right w:val="nil"/>
          <w:insideH w:val="nil"/>
          <w:insideV w:val="nil"/>
        </w:tcBorders>
        <w:shd w:val="clear" w:color="auto" w:fill="C59700" w:themeFill="accent2" w:themeFillShade="BF"/>
      </w:tcPr>
    </w:tblStylePr>
    <w:tblStylePr w:type="band1Horz">
      <w:tblPr/>
      <w:tcPr>
        <w:tcBorders>
          <w:top w:val="nil"/>
          <w:left w:val="nil"/>
          <w:bottom w:val="nil"/>
          <w:right w:val="nil"/>
          <w:insideH w:val="nil"/>
          <w:insideV w:val="nil"/>
        </w:tcBorders>
        <w:shd w:val="clear" w:color="auto" w:fill="C59700" w:themeFill="accent2" w:themeFillShade="BF"/>
      </w:tcPr>
    </w:tblStylePr>
  </w:style>
  <w:style w:type="table" w:styleId="DarkList-Accent3">
    <w:name w:val="Dark List Accent 3"/>
    <w:basedOn w:val="TableNormal"/>
    <w:uiPriority w:val="70"/>
    <w:semiHidden/>
    <w:unhideWhenUsed/>
    <w:rsid w:val="009D2459"/>
    <w:pPr>
      <w:spacing w:after="0" w:line="240" w:lineRule="auto"/>
    </w:pPr>
    <w:rPr>
      <w:rFonts w:eastAsia="Times New Roman" w:cs="Times New Roman"/>
      <w:color w:val="FFFFFF" w:themeColor="background1"/>
      <w:sz w:val="20"/>
      <w:szCs w:val="20"/>
      <w:lang w:eastAsia="en-AU"/>
    </w:rPr>
    <w:tblPr>
      <w:tblStyleRowBandSize w:val="1"/>
      <w:tblStyleColBandSize w:val="1"/>
    </w:tblPr>
    <w:tcPr>
      <w:shd w:val="clear" w:color="auto" w:fill="CD163F"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60B1F"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99102F"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99102F" w:themeFill="accent3" w:themeFillShade="BF"/>
      </w:tcPr>
    </w:tblStylePr>
    <w:tblStylePr w:type="band1Vert">
      <w:tblPr/>
      <w:tcPr>
        <w:tcBorders>
          <w:top w:val="nil"/>
          <w:left w:val="nil"/>
          <w:bottom w:val="nil"/>
          <w:right w:val="nil"/>
          <w:insideH w:val="nil"/>
          <w:insideV w:val="nil"/>
        </w:tcBorders>
        <w:shd w:val="clear" w:color="auto" w:fill="99102F" w:themeFill="accent3" w:themeFillShade="BF"/>
      </w:tcPr>
    </w:tblStylePr>
    <w:tblStylePr w:type="band1Horz">
      <w:tblPr/>
      <w:tcPr>
        <w:tcBorders>
          <w:top w:val="nil"/>
          <w:left w:val="nil"/>
          <w:bottom w:val="nil"/>
          <w:right w:val="nil"/>
          <w:insideH w:val="nil"/>
          <w:insideV w:val="nil"/>
        </w:tcBorders>
        <w:shd w:val="clear" w:color="auto" w:fill="99102F" w:themeFill="accent3" w:themeFillShade="BF"/>
      </w:tcPr>
    </w:tblStylePr>
  </w:style>
  <w:style w:type="table" w:styleId="DarkList-Accent4">
    <w:name w:val="Dark List Accent 4"/>
    <w:basedOn w:val="TableNormal"/>
    <w:uiPriority w:val="70"/>
    <w:semiHidden/>
    <w:unhideWhenUsed/>
    <w:rsid w:val="009D2459"/>
    <w:pPr>
      <w:spacing w:after="0" w:line="240" w:lineRule="auto"/>
    </w:pPr>
    <w:rPr>
      <w:rFonts w:eastAsia="Times New Roman" w:cs="Times New Roman"/>
      <w:color w:val="FFFFFF" w:themeColor="background1"/>
      <w:sz w:val="20"/>
      <w:szCs w:val="20"/>
      <w:lang w:eastAsia="en-AU"/>
    </w:rPr>
    <w:tblPr>
      <w:tblStyleRowBandSize w:val="1"/>
      <w:tblStyleColBandSize w:val="1"/>
    </w:tblPr>
    <w:tcPr>
      <w:shd w:val="clear" w:color="auto" w:fill="692686"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31342"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4E1C64"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4E1C64" w:themeFill="accent4" w:themeFillShade="BF"/>
      </w:tcPr>
    </w:tblStylePr>
    <w:tblStylePr w:type="band1Vert">
      <w:tblPr/>
      <w:tcPr>
        <w:tcBorders>
          <w:top w:val="nil"/>
          <w:left w:val="nil"/>
          <w:bottom w:val="nil"/>
          <w:right w:val="nil"/>
          <w:insideH w:val="nil"/>
          <w:insideV w:val="nil"/>
        </w:tcBorders>
        <w:shd w:val="clear" w:color="auto" w:fill="4E1C64" w:themeFill="accent4" w:themeFillShade="BF"/>
      </w:tcPr>
    </w:tblStylePr>
    <w:tblStylePr w:type="band1Horz">
      <w:tblPr/>
      <w:tcPr>
        <w:tcBorders>
          <w:top w:val="nil"/>
          <w:left w:val="nil"/>
          <w:bottom w:val="nil"/>
          <w:right w:val="nil"/>
          <w:insideH w:val="nil"/>
          <w:insideV w:val="nil"/>
        </w:tcBorders>
        <w:shd w:val="clear" w:color="auto" w:fill="4E1C64" w:themeFill="accent4" w:themeFillShade="BF"/>
      </w:tcPr>
    </w:tblStylePr>
  </w:style>
  <w:style w:type="table" w:styleId="DarkList-Accent5">
    <w:name w:val="Dark List Accent 5"/>
    <w:basedOn w:val="TableNormal"/>
    <w:uiPriority w:val="70"/>
    <w:semiHidden/>
    <w:unhideWhenUsed/>
    <w:rsid w:val="009D2459"/>
    <w:pPr>
      <w:spacing w:after="0" w:line="240" w:lineRule="auto"/>
    </w:pPr>
    <w:rPr>
      <w:rFonts w:eastAsia="Times New Roman" w:cs="Times New Roman"/>
      <w:color w:val="FFFFFF" w:themeColor="background1"/>
      <w:sz w:val="20"/>
      <w:szCs w:val="20"/>
      <w:lang w:eastAsia="en-AU"/>
    </w:rPr>
    <w:tblPr>
      <w:tblStyleRowBandSize w:val="1"/>
      <w:tblStyleColBandSize w:val="1"/>
    </w:tblPr>
    <w:tcPr>
      <w:shd w:val="clear" w:color="auto" w:fill="20AA4D"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05426"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187F39"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187F39" w:themeFill="accent5" w:themeFillShade="BF"/>
      </w:tcPr>
    </w:tblStylePr>
    <w:tblStylePr w:type="band1Vert">
      <w:tblPr/>
      <w:tcPr>
        <w:tcBorders>
          <w:top w:val="nil"/>
          <w:left w:val="nil"/>
          <w:bottom w:val="nil"/>
          <w:right w:val="nil"/>
          <w:insideH w:val="nil"/>
          <w:insideV w:val="nil"/>
        </w:tcBorders>
        <w:shd w:val="clear" w:color="auto" w:fill="187F39" w:themeFill="accent5" w:themeFillShade="BF"/>
      </w:tcPr>
    </w:tblStylePr>
    <w:tblStylePr w:type="band1Horz">
      <w:tblPr/>
      <w:tcPr>
        <w:tcBorders>
          <w:top w:val="nil"/>
          <w:left w:val="nil"/>
          <w:bottom w:val="nil"/>
          <w:right w:val="nil"/>
          <w:insideH w:val="nil"/>
          <w:insideV w:val="nil"/>
        </w:tcBorders>
        <w:shd w:val="clear" w:color="auto" w:fill="187F39" w:themeFill="accent5" w:themeFillShade="BF"/>
      </w:tcPr>
    </w:tblStylePr>
  </w:style>
  <w:style w:type="table" w:styleId="DarkList-Accent6">
    <w:name w:val="Dark List Accent 6"/>
    <w:basedOn w:val="TableNormal"/>
    <w:uiPriority w:val="70"/>
    <w:semiHidden/>
    <w:unhideWhenUsed/>
    <w:rsid w:val="009D2459"/>
    <w:pPr>
      <w:spacing w:after="0" w:line="240" w:lineRule="auto"/>
    </w:pPr>
    <w:rPr>
      <w:rFonts w:eastAsia="Times New Roman" w:cs="Times New Roman"/>
      <w:color w:val="FFFFFF" w:themeColor="background1"/>
      <w:sz w:val="20"/>
      <w:szCs w:val="20"/>
      <w:lang w:eastAsia="en-AU"/>
    </w:rPr>
    <w:tblPr>
      <w:tblStyleRowBandSize w:val="1"/>
      <w:tblStyleColBandSize w:val="1"/>
    </w:tblPr>
    <w:tcPr>
      <w:shd w:val="clear" w:color="auto" w:fill="007DB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3D5A"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005D88"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005D88" w:themeFill="accent6" w:themeFillShade="BF"/>
      </w:tcPr>
    </w:tblStylePr>
    <w:tblStylePr w:type="band1Vert">
      <w:tblPr/>
      <w:tcPr>
        <w:tcBorders>
          <w:top w:val="nil"/>
          <w:left w:val="nil"/>
          <w:bottom w:val="nil"/>
          <w:right w:val="nil"/>
          <w:insideH w:val="nil"/>
          <w:insideV w:val="nil"/>
        </w:tcBorders>
        <w:shd w:val="clear" w:color="auto" w:fill="005D88" w:themeFill="accent6" w:themeFillShade="BF"/>
      </w:tcPr>
    </w:tblStylePr>
    <w:tblStylePr w:type="band1Horz">
      <w:tblPr/>
      <w:tcPr>
        <w:tcBorders>
          <w:top w:val="nil"/>
          <w:left w:val="nil"/>
          <w:bottom w:val="nil"/>
          <w:right w:val="nil"/>
          <w:insideH w:val="nil"/>
          <w:insideV w:val="nil"/>
        </w:tcBorders>
        <w:shd w:val="clear" w:color="auto" w:fill="005D88" w:themeFill="accent6" w:themeFillShade="BF"/>
      </w:tcPr>
    </w:tblStylePr>
  </w:style>
  <w:style w:type="table" w:styleId="GridTable1Light">
    <w:name w:val="Grid Table 1 Light"/>
    <w:basedOn w:val="TableNormal"/>
    <w:uiPriority w:val="46"/>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EEEFEE" w:themeColor="accent1" w:themeTint="66"/>
        <w:left w:val="single" w:sz="4" w:space="0" w:color="EEEFEE" w:themeColor="accent1" w:themeTint="66"/>
        <w:bottom w:val="single" w:sz="4" w:space="0" w:color="EEEFEE" w:themeColor="accent1" w:themeTint="66"/>
        <w:right w:val="single" w:sz="4" w:space="0" w:color="EEEFEE" w:themeColor="accent1" w:themeTint="66"/>
        <w:insideH w:val="single" w:sz="4" w:space="0" w:color="EEEFEE" w:themeColor="accent1" w:themeTint="66"/>
        <w:insideV w:val="single" w:sz="4" w:space="0" w:color="EEEFEE" w:themeColor="accent1" w:themeTint="66"/>
      </w:tblBorders>
    </w:tblPr>
    <w:tblStylePr w:type="firstRow">
      <w:rPr>
        <w:b/>
        <w:bCs/>
      </w:rPr>
      <w:tblPr/>
      <w:tcPr>
        <w:tcBorders>
          <w:bottom w:val="single" w:sz="12" w:space="0" w:color="E6E7E6" w:themeColor="accent1" w:themeTint="99"/>
        </w:tcBorders>
      </w:tcPr>
    </w:tblStylePr>
    <w:tblStylePr w:type="lastRow">
      <w:rPr>
        <w:b/>
        <w:bCs/>
      </w:rPr>
      <w:tblPr/>
      <w:tcPr>
        <w:tcBorders>
          <w:top w:val="double" w:sz="2" w:space="0" w:color="E6E7E6"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FFE89C" w:themeColor="accent2" w:themeTint="66"/>
        <w:left w:val="single" w:sz="4" w:space="0" w:color="FFE89C" w:themeColor="accent2" w:themeTint="66"/>
        <w:bottom w:val="single" w:sz="4" w:space="0" w:color="FFE89C" w:themeColor="accent2" w:themeTint="66"/>
        <w:right w:val="single" w:sz="4" w:space="0" w:color="FFE89C" w:themeColor="accent2" w:themeTint="66"/>
        <w:insideH w:val="single" w:sz="4" w:space="0" w:color="FFE89C" w:themeColor="accent2" w:themeTint="66"/>
        <w:insideV w:val="single" w:sz="4" w:space="0" w:color="FFE89C" w:themeColor="accent2" w:themeTint="66"/>
      </w:tblBorders>
    </w:tblPr>
    <w:tblStylePr w:type="firstRow">
      <w:rPr>
        <w:b/>
        <w:bCs/>
      </w:rPr>
      <w:tblPr/>
      <w:tcPr>
        <w:tcBorders>
          <w:bottom w:val="single" w:sz="12" w:space="0" w:color="FFDC6B" w:themeColor="accent2" w:themeTint="99"/>
        </w:tcBorders>
      </w:tcPr>
    </w:tblStylePr>
    <w:tblStylePr w:type="lastRow">
      <w:rPr>
        <w:b/>
        <w:bCs/>
      </w:rPr>
      <w:tblPr/>
      <w:tcPr>
        <w:tcBorders>
          <w:top w:val="double" w:sz="2" w:space="0" w:color="FFDC6B"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F498AD" w:themeColor="accent3" w:themeTint="66"/>
        <w:left w:val="single" w:sz="4" w:space="0" w:color="F498AD" w:themeColor="accent3" w:themeTint="66"/>
        <w:bottom w:val="single" w:sz="4" w:space="0" w:color="F498AD" w:themeColor="accent3" w:themeTint="66"/>
        <w:right w:val="single" w:sz="4" w:space="0" w:color="F498AD" w:themeColor="accent3" w:themeTint="66"/>
        <w:insideH w:val="single" w:sz="4" w:space="0" w:color="F498AD" w:themeColor="accent3" w:themeTint="66"/>
        <w:insideV w:val="single" w:sz="4" w:space="0" w:color="F498AD" w:themeColor="accent3" w:themeTint="66"/>
      </w:tblBorders>
    </w:tblPr>
    <w:tblStylePr w:type="firstRow">
      <w:rPr>
        <w:b/>
        <w:bCs/>
      </w:rPr>
      <w:tblPr/>
      <w:tcPr>
        <w:tcBorders>
          <w:bottom w:val="single" w:sz="12" w:space="0" w:color="EE6584" w:themeColor="accent3" w:themeTint="99"/>
        </w:tcBorders>
      </w:tcPr>
    </w:tblStylePr>
    <w:tblStylePr w:type="lastRow">
      <w:rPr>
        <w:b/>
        <w:bCs/>
      </w:rPr>
      <w:tblPr/>
      <w:tcPr>
        <w:tcBorders>
          <w:top w:val="double" w:sz="2" w:space="0" w:color="EE6584"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CA95E1" w:themeColor="accent4" w:themeTint="66"/>
        <w:left w:val="single" w:sz="4" w:space="0" w:color="CA95E1" w:themeColor="accent4" w:themeTint="66"/>
        <w:bottom w:val="single" w:sz="4" w:space="0" w:color="CA95E1" w:themeColor="accent4" w:themeTint="66"/>
        <w:right w:val="single" w:sz="4" w:space="0" w:color="CA95E1" w:themeColor="accent4" w:themeTint="66"/>
        <w:insideH w:val="single" w:sz="4" w:space="0" w:color="CA95E1" w:themeColor="accent4" w:themeTint="66"/>
        <w:insideV w:val="single" w:sz="4" w:space="0" w:color="CA95E1" w:themeColor="accent4" w:themeTint="66"/>
      </w:tblBorders>
    </w:tblPr>
    <w:tblStylePr w:type="firstRow">
      <w:rPr>
        <w:b/>
        <w:bCs/>
      </w:rPr>
      <w:tblPr/>
      <w:tcPr>
        <w:tcBorders>
          <w:bottom w:val="single" w:sz="12" w:space="0" w:color="AF60D2" w:themeColor="accent4" w:themeTint="99"/>
        </w:tcBorders>
      </w:tcPr>
    </w:tblStylePr>
    <w:tblStylePr w:type="lastRow">
      <w:rPr>
        <w:b/>
        <w:bCs/>
      </w:rPr>
      <w:tblPr/>
      <w:tcPr>
        <w:tcBorders>
          <w:top w:val="double" w:sz="2" w:space="0" w:color="AF60D2"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97EBB2" w:themeColor="accent5" w:themeTint="66"/>
        <w:left w:val="single" w:sz="4" w:space="0" w:color="97EBB2" w:themeColor="accent5" w:themeTint="66"/>
        <w:bottom w:val="single" w:sz="4" w:space="0" w:color="97EBB2" w:themeColor="accent5" w:themeTint="66"/>
        <w:right w:val="single" w:sz="4" w:space="0" w:color="97EBB2" w:themeColor="accent5" w:themeTint="66"/>
        <w:insideH w:val="single" w:sz="4" w:space="0" w:color="97EBB2" w:themeColor="accent5" w:themeTint="66"/>
        <w:insideV w:val="single" w:sz="4" w:space="0" w:color="97EBB2" w:themeColor="accent5" w:themeTint="66"/>
      </w:tblBorders>
    </w:tblPr>
    <w:tblStylePr w:type="firstRow">
      <w:rPr>
        <w:b/>
        <w:bCs/>
      </w:rPr>
      <w:tblPr/>
      <w:tcPr>
        <w:tcBorders>
          <w:bottom w:val="single" w:sz="12" w:space="0" w:color="63E18C" w:themeColor="accent5" w:themeTint="99"/>
        </w:tcBorders>
      </w:tcPr>
    </w:tblStylePr>
    <w:tblStylePr w:type="lastRow">
      <w:rPr>
        <w:b/>
        <w:bCs/>
      </w:rPr>
      <w:tblPr/>
      <w:tcPr>
        <w:tcBorders>
          <w:top w:val="double" w:sz="2" w:space="0" w:color="63E18C"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7BD5FF" w:themeColor="accent6" w:themeTint="66"/>
        <w:left w:val="single" w:sz="4" w:space="0" w:color="7BD5FF" w:themeColor="accent6" w:themeTint="66"/>
        <w:bottom w:val="single" w:sz="4" w:space="0" w:color="7BD5FF" w:themeColor="accent6" w:themeTint="66"/>
        <w:right w:val="single" w:sz="4" w:space="0" w:color="7BD5FF" w:themeColor="accent6" w:themeTint="66"/>
        <w:insideH w:val="single" w:sz="4" w:space="0" w:color="7BD5FF" w:themeColor="accent6" w:themeTint="66"/>
        <w:insideV w:val="single" w:sz="4" w:space="0" w:color="7BD5FF" w:themeColor="accent6" w:themeTint="66"/>
      </w:tblBorders>
    </w:tblPr>
    <w:tblStylePr w:type="firstRow">
      <w:rPr>
        <w:b/>
        <w:bCs/>
      </w:rPr>
      <w:tblPr/>
      <w:tcPr>
        <w:tcBorders>
          <w:bottom w:val="single" w:sz="12" w:space="0" w:color="3AC1FF" w:themeColor="accent6" w:themeTint="99"/>
        </w:tcBorders>
      </w:tcPr>
    </w:tblStylePr>
    <w:tblStylePr w:type="lastRow">
      <w:rPr>
        <w:b/>
        <w:bCs/>
      </w:rPr>
      <w:tblPr/>
      <w:tcPr>
        <w:tcBorders>
          <w:top w:val="double" w:sz="2" w:space="0" w:color="3AC1FF"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9D2459"/>
    <w:pPr>
      <w:spacing w:after="0" w:line="240" w:lineRule="auto"/>
    </w:pPr>
    <w:rPr>
      <w:rFonts w:eastAsia="Times New Roman" w:cs="Times New Roman"/>
      <w:sz w:val="20"/>
      <w:szCs w:val="20"/>
      <w:lang w:eastAsia="en-AU"/>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9D2459"/>
    <w:pPr>
      <w:spacing w:after="0" w:line="240" w:lineRule="auto"/>
    </w:pPr>
    <w:rPr>
      <w:rFonts w:eastAsia="Times New Roman" w:cs="Times New Roman"/>
      <w:sz w:val="20"/>
      <w:szCs w:val="20"/>
      <w:lang w:eastAsia="en-AU"/>
    </w:rPr>
    <w:tblPr>
      <w:tblStyleRowBandSize w:val="1"/>
      <w:tblStyleColBandSize w:val="1"/>
      <w:tblBorders>
        <w:top w:val="single" w:sz="2" w:space="0" w:color="E6E7E6" w:themeColor="accent1" w:themeTint="99"/>
        <w:bottom w:val="single" w:sz="2" w:space="0" w:color="E6E7E6" w:themeColor="accent1" w:themeTint="99"/>
        <w:insideH w:val="single" w:sz="2" w:space="0" w:color="E6E7E6" w:themeColor="accent1" w:themeTint="99"/>
        <w:insideV w:val="single" w:sz="2" w:space="0" w:color="E6E7E6" w:themeColor="accent1" w:themeTint="99"/>
      </w:tblBorders>
    </w:tblPr>
    <w:tblStylePr w:type="firstRow">
      <w:rPr>
        <w:b/>
        <w:bCs/>
      </w:rPr>
      <w:tblPr/>
      <w:tcPr>
        <w:tcBorders>
          <w:top w:val="nil"/>
          <w:bottom w:val="single" w:sz="12" w:space="0" w:color="E6E7E6" w:themeColor="accent1" w:themeTint="99"/>
          <w:insideH w:val="nil"/>
          <w:insideV w:val="nil"/>
        </w:tcBorders>
        <w:shd w:val="clear" w:color="auto" w:fill="FFFFFF" w:themeFill="background1"/>
      </w:tcPr>
    </w:tblStylePr>
    <w:tblStylePr w:type="lastRow">
      <w:rPr>
        <w:b/>
        <w:bCs/>
      </w:rPr>
      <w:tblPr/>
      <w:tcPr>
        <w:tcBorders>
          <w:top w:val="double" w:sz="2" w:space="0" w:color="E6E7E6"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6F7F6" w:themeFill="accent1" w:themeFillTint="33"/>
      </w:tcPr>
    </w:tblStylePr>
    <w:tblStylePr w:type="band1Horz">
      <w:tblPr/>
      <w:tcPr>
        <w:shd w:val="clear" w:color="auto" w:fill="F6F7F6" w:themeFill="accent1" w:themeFillTint="33"/>
      </w:tcPr>
    </w:tblStylePr>
  </w:style>
  <w:style w:type="table" w:styleId="GridTable2-Accent2">
    <w:name w:val="Grid Table 2 Accent 2"/>
    <w:basedOn w:val="TableNormal"/>
    <w:uiPriority w:val="47"/>
    <w:rsid w:val="009D2459"/>
    <w:pPr>
      <w:spacing w:after="0" w:line="240" w:lineRule="auto"/>
    </w:pPr>
    <w:rPr>
      <w:rFonts w:eastAsia="Times New Roman" w:cs="Times New Roman"/>
      <w:sz w:val="20"/>
      <w:szCs w:val="20"/>
      <w:lang w:eastAsia="en-AU"/>
    </w:rPr>
    <w:tblPr>
      <w:tblStyleRowBandSize w:val="1"/>
      <w:tblStyleColBandSize w:val="1"/>
      <w:tblBorders>
        <w:top w:val="single" w:sz="2" w:space="0" w:color="FFDC6B" w:themeColor="accent2" w:themeTint="99"/>
        <w:bottom w:val="single" w:sz="2" w:space="0" w:color="FFDC6B" w:themeColor="accent2" w:themeTint="99"/>
        <w:insideH w:val="single" w:sz="2" w:space="0" w:color="FFDC6B" w:themeColor="accent2" w:themeTint="99"/>
        <w:insideV w:val="single" w:sz="2" w:space="0" w:color="FFDC6B" w:themeColor="accent2" w:themeTint="99"/>
      </w:tblBorders>
    </w:tblPr>
    <w:tblStylePr w:type="firstRow">
      <w:rPr>
        <w:b/>
        <w:bCs/>
      </w:rPr>
      <w:tblPr/>
      <w:tcPr>
        <w:tcBorders>
          <w:top w:val="nil"/>
          <w:bottom w:val="single" w:sz="12" w:space="0" w:color="FFDC6B" w:themeColor="accent2" w:themeTint="99"/>
          <w:insideH w:val="nil"/>
          <w:insideV w:val="nil"/>
        </w:tcBorders>
        <w:shd w:val="clear" w:color="auto" w:fill="FFFFFF" w:themeFill="background1"/>
      </w:tcPr>
    </w:tblStylePr>
    <w:tblStylePr w:type="lastRow">
      <w:rPr>
        <w:b/>
        <w:bCs/>
      </w:rPr>
      <w:tblPr/>
      <w:tcPr>
        <w:tcBorders>
          <w:top w:val="double" w:sz="2" w:space="0" w:color="FFDC6B"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3CD" w:themeFill="accent2" w:themeFillTint="33"/>
      </w:tcPr>
    </w:tblStylePr>
    <w:tblStylePr w:type="band1Horz">
      <w:tblPr/>
      <w:tcPr>
        <w:shd w:val="clear" w:color="auto" w:fill="FFF3CD" w:themeFill="accent2" w:themeFillTint="33"/>
      </w:tcPr>
    </w:tblStylePr>
  </w:style>
  <w:style w:type="table" w:styleId="GridTable2-Accent3">
    <w:name w:val="Grid Table 2 Accent 3"/>
    <w:basedOn w:val="TableNormal"/>
    <w:uiPriority w:val="47"/>
    <w:rsid w:val="009D2459"/>
    <w:pPr>
      <w:spacing w:after="0" w:line="240" w:lineRule="auto"/>
    </w:pPr>
    <w:rPr>
      <w:rFonts w:eastAsia="Times New Roman" w:cs="Times New Roman"/>
      <w:sz w:val="20"/>
      <w:szCs w:val="20"/>
      <w:lang w:eastAsia="en-AU"/>
    </w:rPr>
    <w:tblPr>
      <w:tblStyleRowBandSize w:val="1"/>
      <w:tblStyleColBandSize w:val="1"/>
      <w:tblBorders>
        <w:top w:val="single" w:sz="2" w:space="0" w:color="EE6584" w:themeColor="accent3" w:themeTint="99"/>
        <w:bottom w:val="single" w:sz="2" w:space="0" w:color="EE6584" w:themeColor="accent3" w:themeTint="99"/>
        <w:insideH w:val="single" w:sz="2" w:space="0" w:color="EE6584" w:themeColor="accent3" w:themeTint="99"/>
        <w:insideV w:val="single" w:sz="2" w:space="0" w:color="EE6584" w:themeColor="accent3" w:themeTint="99"/>
      </w:tblBorders>
    </w:tblPr>
    <w:tblStylePr w:type="firstRow">
      <w:rPr>
        <w:b/>
        <w:bCs/>
      </w:rPr>
      <w:tblPr/>
      <w:tcPr>
        <w:tcBorders>
          <w:top w:val="nil"/>
          <w:bottom w:val="single" w:sz="12" w:space="0" w:color="EE6584" w:themeColor="accent3" w:themeTint="99"/>
          <w:insideH w:val="nil"/>
          <w:insideV w:val="nil"/>
        </w:tcBorders>
        <w:shd w:val="clear" w:color="auto" w:fill="FFFFFF" w:themeFill="background1"/>
      </w:tcPr>
    </w:tblStylePr>
    <w:tblStylePr w:type="lastRow">
      <w:rPr>
        <w:b/>
        <w:bCs/>
      </w:rPr>
      <w:tblPr/>
      <w:tcPr>
        <w:tcBorders>
          <w:top w:val="double" w:sz="2" w:space="0" w:color="EE6584"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9CBD6" w:themeFill="accent3" w:themeFillTint="33"/>
      </w:tcPr>
    </w:tblStylePr>
    <w:tblStylePr w:type="band1Horz">
      <w:tblPr/>
      <w:tcPr>
        <w:shd w:val="clear" w:color="auto" w:fill="F9CBD6" w:themeFill="accent3" w:themeFillTint="33"/>
      </w:tcPr>
    </w:tblStylePr>
  </w:style>
  <w:style w:type="table" w:styleId="GridTable2-Accent4">
    <w:name w:val="Grid Table 2 Accent 4"/>
    <w:basedOn w:val="TableNormal"/>
    <w:uiPriority w:val="47"/>
    <w:rsid w:val="009D2459"/>
    <w:pPr>
      <w:spacing w:after="0" w:line="240" w:lineRule="auto"/>
    </w:pPr>
    <w:rPr>
      <w:rFonts w:eastAsia="Times New Roman" w:cs="Times New Roman"/>
      <w:sz w:val="20"/>
      <w:szCs w:val="20"/>
      <w:lang w:eastAsia="en-AU"/>
    </w:rPr>
    <w:tblPr>
      <w:tblStyleRowBandSize w:val="1"/>
      <w:tblStyleColBandSize w:val="1"/>
      <w:tblBorders>
        <w:top w:val="single" w:sz="2" w:space="0" w:color="AF60D2" w:themeColor="accent4" w:themeTint="99"/>
        <w:bottom w:val="single" w:sz="2" w:space="0" w:color="AF60D2" w:themeColor="accent4" w:themeTint="99"/>
        <w:insideH w:val="single" w:sz="2" w:space="0" w:color="AF60D2" w:themeColor="accent4" w:themeTint="99"/>
        <w:insideV w:val="single" w:sz="2" w:space="0" w:color="AF60D2" w:themeColor="accent4" w:themeTint="99"/>
      </w:tblBorders>
    </w:tblPr>
    <w:tblStylePr w:type="firstRow">
      <w:rPr>
        <w:b/>
        <w:bCs/>
      </w:rPr>
      <w:tblPr/>
      <w:tcPr>
        <w:tcBorders>
          <w:top w:val="nil"/>
          <w:bottom w:val="single" w:sz="12" w:space="0" w:color="AF60D2" w:themeColor="accent4" w:themeTint="99"/>
          <w:insideH w:val="nil"/>
          <w:insideV w:val="nil"/>
        </w:tcBorders>
        <w:shd w:val="clear" w:color="auto" w:fill="FFFFFF" w:themeFill="background1"/>
      </w:tcPr>
    </w:tblStylePr>
    <w:tblStylePr w:type="lastRow">
      <w:rPr>
        <w:b/>
        <w:bCs/>
      </w:rPr>
      <w:tblPr/>
      <w:tcPr>
        <w:tcBorders>
          <w:top w:val="double" w:sz="2" w:space="0" w:color="AF60D2"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4CAF0" w:themeFill="accent4" w:themeFillTint="33"/>
      </w:tcPr>
    </w:tblStylePr>
    <w:tblStylePr w:type="band1Horz">
      <w:tblPr/>
      <w:tcPr>
        <w:shd w:val="clear" w:color="auto" w:fill="E4CAF0" w:themeFill="accent4" w:themeFillTint="33"/>
      </w:tcPr>
    </w:tblStylePr>
  </w:style>
  <w:style w:type="table" w:styleId="GridTable2-Accent5">
    <w:name w:val="Grid Table 2 Accent 5"/>
    <w:basedOn w:val="TableNormal"/>
    <w:uiPriority w:val="47"/>
    <w:rsid w:val="009D2459"/>
    <w:pPr>
      <w:spacing w:after="0" w:line="240" w:lineRule="auto"/>
    </w:pPr>
    <w:rPr>
      <w:rFonts w:eastAsia="Times New Roman" w:cs="Times New Roman"/>
      <w:sz w:val="20"/>
      <w:szCs w:val="20"/>
      <w:lang w:eastAsia="en-AU"/>
    </w:rPr>
    <w:tblPr>
      <w:tblStyleRowBandSize w:val="1"/>
      <w:tblStyleColBandSize w:val="1"/>
      <w:tblBorders>
        <w:top w:val="single" w:sz="2" w:space="0" w:color="63E18C" w:themeColor="accent5" w:themeTint="99"/>
        <w:bottom w:val="single" w:sz="2" w:space="0" w:color="63E18C" w:themeColor="accent5" w:themeTint="99"/>
        <w:insideH w:val="single" w:sz="2" w:space="0" w:color="63E18C" w:themeColor="accent5" w:themeTint="99"/>
        <w:insideV w:val="single" w:sz="2" w:space="0" w:color="63E18C" w:themeColor="accent5" w:themeTint="99"/>
      </w:tblBorders>
    </w:tblPr>
    <w:tblStylePr w:type="firstRow">
      <w:rPr>
        <w:b/>
        <w:bCs/>
      </w:rPr>
      <w:tblPr/>
      <w:tcPr>
        <w:tcBorders>
          <w:top w:val="nil"/>
          <w:bottom w:val="single" w:sz="12" w:space="0" w:color="63E18C" w:themeColor="accent5" w:themeTint="99"/>
          <w:insideH w:val="nil"/>
          <w:insideV w:val="nil"/>
        </w:tcBorders>
        <w:shd w:val="clear" w:color="auto" w:fill="FFFFFF" w:themeFill="background1"/>
      </w:tcPr>
    </w:tblStylePr>
    <w:tblStylePr w:type="lastRow">
      <w:rPr>
        <w:b/>
        <w:bCs/>
      </w:rPr>
      <w:tblPr/>
      <w:tcPr>
        <w:tcBorders>
          <w:top w:val="double" w:sz="2" w:space="0" w:color="63E18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BF5D8" w:themeFill="accent5" w:themeFillTint="33"/>
      </w:tcPr>
    </w:tblStylePr>
    <w:tblStylePr w:type="band1Horz">
      <w:tblPr/>
      <w:tcPr>
        <w:shd w:val="clear" w:color="auto" w:fill="CBF5D8" w:themeFill="accent5" w:themeFillTint="33"/>
      </w:tcPr>
    </w:tblStylePr>
  </w:style>
  <w:style w:type="table" w:styleId="GridTable2-Accent6">
    <w:name w:val="Grid Table 2 Accent 6"/>
    <w:basedOn w:val="TableNormal"/>
    <w:uiPriority w:val="47"/>
    <w:rsid w:val="009D2459"/>
    <w:pPr>
      <w:spacing w:after="0" w:line="240" w:lineRule="auto"/>
    </w:pPr>
    <w:rPr>
      <w:rFonts w:eastAsia="Times New Roman" w:cs="Times New Roman"/>
      <w:sz w:val="20"/>
      <w:szCs w:val="20"/>
      <w:lang w:eastAsia="en-AU"/>
    </w:rPr>
    <w:tblPr>
      <w:tblStyleRowBandSize w:val="1"/>
      <w:tblStyleColBandSize w:val="1"/>
      <w:tblBorders>
        <w:top w:val="single" w:sz="2" w:space="0" w:color="3AC1FF" w:themeColor="accent6" w:themeTint="99"/>
        <w:bottom w:val="single" w:sz="2" w:space="0" w:color="3AC1FF" w:themeColor="accent6" w:themeTint="99"/>
        <w:insideH w:val="single" w:sz="2" w:space="0" w:color="3AC1FF" w:themeColor="accent6" w:themeTint="99"/>
        <w:insideV w:val="single" w:sz="2" w:space="0" w:color="3AC1FF" w:themeColor="accent6" w:themeTint="99"/>
      </w:tblBorders>
    </w:tblPr>
    <w:tblStylePr w:type="firstRow">
      <w:rPr>
        <w:b/>
        <w:bCs/>
      </w:rPr>
      <w:tblPr/>
      <w:tcPr>
        <w:tcBorders>
          <w:top w:val="nil"/>
          <w:bottom w:val="single" w:sz="12" w:space="0" w:color="3AC1FF" w:themeColor="accent6" w:themeTint="99"/>
          <w:insideH w:val="nil"/>
          <w:insideV w:val="nil"/>
        </w:tcBorders>
        <w:shd w:val="clear" w:color="auto" w:fill="FFFFFF" w:themeFill="background1"/>
      </w:tcPr>
    </w:tblStylePr>
    <w:tblStylePr w:type="lastRow">
      <w:rPr>
        <w:b/>
        <w:bCs/>
      </w:rPr>
      <w:tblPr/>
      <w:tcPr>
        <w:tcBorders>
          <w:top w:val="double" w:sz="2" w:space="0" w:color="3AC1F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DEAFF" w:themeFill="accent6" w:themeFillTint="33"/>
      </w:tcPr>
    </w:tblStylePr>
    <w:tblStylePr w:type="band1Horz">
      <w:tblPr/>
      <w:tcPr>
        <w:shd w:val="clear" w:color="auto" w:fill="BDEAFF" w:themeFill="accent6" w:themeFillTint="33"/>
      </w:tcPr>
    </w:tblStylePr>
  </w:style>
  <w:style w:type="table" w:styleId="GridTable3">
    <w:name w:val="Grid Table 3"/>
    <w:basedOn w:val="TableNormal"/>
    <w:uiPriority w:val="48"/>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E6E7E6" w:themeColor="accent1" w:themeTint="99"/>
        <w:left w:val="single" w:sz="4" w:space="0" w:color="E6E7E6" w:themeColor="accent1" w:themeTint="99"/>
        <w:bottom w:val="single" w:sz="4" w:space="0" w:color="E6E7E6" w:themeColor="accent1" w:themeTint="99"/>
        <w:right w:val="single" w:sz="4" w:space="0" w:color="E6E7E6" w:themeColor="accent1" w:themeTint="99"/>
        <w:insideH w:val="single" w:sz="4" w:space="0" w:color="E6E7E6" w:themeColor="accent1" w:themeTint="99"/>
        <w:insideV w:val="single" w:sz="4" w:space="0" w:color="E6E7E6"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F7F6" w:themeFill="accent1" w:themeFillTint="33"/>
      </w:tcPr>
    </w:tblStylePr>
    <w:tblStylePr w:type="band1Horz">
      <w:tblPr/>
      <w:tcPr>
        <w:shd w:val="clear" w:color="auto" w:fill="F6F7F6" w:themeFill="accent1" w:themeFillTint="33"/>
      </w:tcPr>
    </w:tblStylePr>
    <w:tblStylePr w:type="neCell">
      <w:tblPr/>
      <w:tcPr>
        <w:tcBorders>
          <w:bottom w:val="single" w:sz="4" w:space="0" w:color="E6E7E6" w:themeColor="accent1" w:themeTint="99"/>
        </w:tcBorders>
      </w:tcPr>
    </w:tblStylePr>
    <w:tblStylePr w:type="nwCell">
      <w:tblPr/>
      <w:tcPr>
        <w:tcBorders>
          <w:bottom w:val="single" w:sz="4" w:space="0" w:color="E6E7E6" w:themeColor="accent1" w:themeTint="99"/>
        </w:tcBorders>
      </w:tcPr>
    </w:tblStylePr>
    <w:tblStylePr w:type="seCell">
      <w:tblPr/>
      <w:tcPr>
        <w:tcBorders>
          <w:top w:val="single" w:sz="4" w:space="0" w:color="E6E7E6" w:themeColor="accent1" w:themeTint="99"/>
        </w:tcBorders>
      </w:tcPr>
    </w:tblStylePr>
    <w:tblStylePr w:type="swCell">
      <w:tblPr/>
      <w:tcPr>
        <w:tcBorders>
          <w:top w:val="single" w:sz="4" w:space="0" w:color="E6E7E6" w:themeColor="accent1" w:themeTint="99"/>
        </w:tcBorders>
      </w:tcPr>
    </w:tblStylePr>
  </w:style>
  <w:style w:type="table" w:styleId="GridTable3-Accent2">
    <w:name w:val="Grid Table 3 Accent 2"/>
    <w:basedOn w:val="TableNormal"/>
    <w:uiPriority w:val="48"/>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FFDC6B" w:themeColor="accent2" w:themeTint="99"/>
        <w:left w:val="single" w:sz="4" w:space="0" w:color="FFDC6B" w:themeColor="accent2" w:themeTint="99"/>
        <w:bottom w:val="single" w:sz="4" w:space="0" w:color="FFDC6B" w:themeColor="accent2" w:themeTint="99"/>
        <w:right w:val="single" w:sz="4" w:space="0" w:color="FFDC6B" w:themeColor="accent2" w:themeTint="99"/>
        <w:insideH w:val="single" w:sz="4" w:space="0" w:color="FFDC6B" w:themeColor="accent2" w:themeTint="99"/>
        <w:insideV w:val="single" w:sz="4" w:space="0" w:color="FFDC6B"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3CD" w:themeFill="accent2" w:themeFillTint="33"/>
      </w:tcPr>
    </w:tblStylePr>
    <w:tblStylePr w:type="band1Horz">
      <w:tblPr/>
      <w:tcPr>
        <w:shd w:val="clear" w:color="auto" w:fill="FFF3CD" w:themeFill="accent2" w:themeFillTint="33"/>
      </w:tcPr>
    </w:tblStylePr>
    <w:tblStylePr w:type="neCell">
      <w:tblPr/>
      <w:tcPr>
        <w:tcBorders>
          <w:bottom w:val="single" w:sz="4" w:space="0" w:color="FFDC6B" w:themeColor="accent2" w:themeTint="99"/>
        </w:tcBorders>
      </w:tcPr>
    </w:tblStylePr>
    <w:tblStylePr w:type="nwCell">
      <w:tblPr/>
      <w:tcPr>
        <w:tcBorders>
          <w:bottom w:val="single" w:sz="4" w:space="0" w:color="FFDC6B" w:themeColor="accent2" w:themeTint="99"/>
        </w:tcBorders>
      </w:tcPr>
    </w:tblStylePr>
    <w:tblStylePr w:type="seCell">
      <w:tblPr/>
      <w:tcPr>
        <w:tcBorders>
          <w:top w:val="single" w:sz="4" w:space="0" w:color="FFDC6B" w:themeColor="accent2" w:themeTint="99"/>
        </w:tcBorders>
      </w:tcPr>
    </w:tblStylePr>
    <w:tblStylePr w:type="swCell">
      <w:tblPr/>
      <w:tcPr>
        <w:tcBorders>
          <w:top w:val="single" w:sz="4" w:space="0" w:color="FFDC6B" w:themeColor="accent2" w:themeTint="99"/>
        </w:tcBorders>
      </w:tcPr>
    </w:tblStylePr>
  </w:style>
  <w:style w:type="table" w:styleId="GridTable3-Accent3">
    <w:name w:val="Grid Table 3 Accent 3"/>
    <w:basedOn w:val="TableNormal"/>
    <w:uiPriority w:val="48"/>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EE6584" w:themeColor="accent3" w:themeTint="99"/>
        <w:left w:val="single" w:sz="4" w:space="0" w:color="EE6584" w:themeColor="accent3" w:themeTint="99"/>
        <w:bottom w:val="single" w:sz="4" w:space="0" w:color="EE6584" w:themeColor="accent3" w:themeTint="99"/>
        <w:right w:val="single" w:sz="4" w:space="0" w:color="EE6584" w:themeColor="accent3" w:themeTint="99"/>
        <w:insideH w:val="single" w:sz="4" w:space="0" w:color="EE6584" w:themeColor="accent3" w:themeTint="99"/>
        <w:insideV w:val="single" w:sz="4" w:space="0" w:color="EE658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CBD6" w:themeFill="accent3" w:themeFillTint="33"/>
      </w:tcPr>
    </w:tblStylePr>
    <w:tblStylePr w:type="band1Horz">
      <w:tblPr/>
      <w:tcPr>
        <w:shd w:val="clear" w:color="auto" w:fill="F9CBD6" w:themeFill="accent3" w:themeFillTint="33"/>
      </w:tcPr>
    </w:tblStylePr>
    <w:tblStylePr w:type="neCell">
      <w:tblPr/>
      <w:tcPr>
        <w:tcBorders>
          <w:bottom w:val="single" w:sz="4" w:space="0" w:color="EE6584" w:themeColor="accent3" w:themeTint="99"/>
        </w:tcBorders>
      </w:tcPr>
    </w:tblStylePr>
    <w:tblStylePr w:type="nwCell">
      <w:tblPr/>
      <w:tcPr>
        <w:tcBorders>
          <w:bottom w:val="single" w:sz="4" w:space="0" w:color="EE6584" w:themeColor="accent3" w:themeTint="99"/>
        </w:tcBorders>
      </w:tcPr>
    </w:tblStylePr>
    <w:tblStylePr w:type="seCell">
      <w:tblPr/>
      <w:tcPr>
        <w:tcBorders>
          <w:top w:val="single" w:sz="4" w:space="0" w:color="EE6584" w:themeColor="accent3" w:themeTint="99"/>
        </w:tcBorders>
      </w:tcPr>
    </w:tblStylePr>
    <w:tblStylePr w:type="swCell">
      <w:tblPr/>
      <w:tcPr>
        <w:tcBorders>
          <w:top w:val="single" w:sz="4" w:space="0" w:color="EE6584" w:themeColor="accent3" w:themeTint="99"/>
        </w:tcBorders>
      </w:tcPr>
    </w:tblStylePr>
  </w:style>
  <w:style w:type="table" w:styleId="GridTable3-Accent4">
    <w:name w:val="Grid Table 3 Accent 4"/>
    <w:basedOn w:val="TableNormal"/>
    <w:uiPriority w:val="48"/>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AF60D2" w:themeColor="accent4" w:themeTint="99"/>
        <w:left w:val="single" w:sz="4" w:space="0" w:color="AF60D2" w:themeColor="accent4" w:themeTint="99"/>
        <w:bottom w:val="single" w:sz="4" w:space="0" w:color="AF60D2" w:themeColor="accent4" w:themeTint="99"/>
        <w:right w:val="single" w:sz="4" w:space="0" w:color="AF60D2" w:themeColor="accent4" w:themeTint="99"/>
        <w:insideH w:val="single" w:sz="4" w:space="0" w:color="AF60D2" w:themeColor="accent4" w:themeTint="99"/>
        <w:insideV w:val="single" w:sz="4" w:space="0" w:color="AF60D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CAF0" w:themeFill="accent4" w:themeFillTint="33"/>
      </w:tcPr>
    </w:tblStylePr>
    <w:tblStylePr w:type="band1Horz">
      <w:tblPr/>
      <w:tcPr>
        <w:shd w:val="clear" w:color="auto" w:fill="E4CAF0" w:themeFill="accent4" w:themeFillTint="33"/>
      </w:tcPr>
    </w:tblStylePr>
    <w:tblStylePr w:type="neCell">
      <w:tblPr/>
      <w:tcPr>
        <w:tcBorders>
          <w:bottom w:val="single" w:sz="4" w:space="0" w:color="AF60D2" w:themeColor="accent4" w:themeTint="99"/>
        </w:tcBorders>
      </w:tcPr>
    </w:tblStylePr>
    <w:tblStylePr w:type="nwCell">
      <w:tblPr/>
      <w:tcPr>
        <w:tcBorders>
          <w:bottom w:val="single" w:sz="4" w:space="0" w:color="AF60D2" w:themeColor="accent4" w:themeTint="99"/>
        </w:tcBorders>
      </w:tcPr>
    </w:tblStylePr>
    <w:tblStylePr w:type="seCell">
      <w:tblPr/>
      <w:tcPr>
        <w:tcBorders>
          <w:top w:val="single" w:sz="4" w:space="0" w:color="AF60D2" w:themeColor="accent4" w:themeTint="99"/>
        </w:tcBorders>
      </w:tcPr>
    </w:tblStylePr>
    <w:tblStylePr w:type="swCell">
      <w:tblPr/>
      <w:tcPr>
        <w:tcBorders>
          <w:top w:val="single" w:sz="4" w:space="0" w:color="AF60D2" w:themeColor="accent4" w:themeTint="99"/>
        </w:tcBorders>
      </w:tcPr>
    </w:tblStylePr>
  </w:style>
  <w:style w:type="table" w:styleId="GridTable3-Accent5">
    <w:name w:val="Grid Table 3 Accent 5"/>
    <w:basedOn w:val="TableNormal"/>
    <w:uiPriority w:val="48"/>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63E18C" w:themeColor="accent5" w:themeTint="99"/>
        <w:left w:val="single" w:sz="4" w:space="0" w:color="63E18C" w:themeColor="accent5" w:themeTint="99"/>
        <w:bottom w:val="single" w:sz="4" w:space="0" w:color="63E18C" w:themeColor="accent5" w:themeTint="99"/>
        <w:right w:val="single" w:sz="4" w:space="0" w:color="63E18C" w:themeColor="accent5" w:themeTint="99"/>
        <w:insideH w:val="single" w:sz="4" w:space="0" w:color="63E18C" w:themeColor="accent5" w:themeTint="99"/>
        <w:insideV w:val="single" w:sz="4" w:space="0" w:color="63E18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BF5D8" w:themeFill="accent5" w:themeFillTint="33"/>
      </w:tcPr>
    </w:tblStylePr>
    <w:tblStylePr w:type="band1Horz">
      <w:tblPr/>
      <w:tcPr>
        <w:shd w:val="clear" w:color="auto" w:fill="CBF5D8" w:themeFill="accent5" w:themeFillTint="33"/>
      </w:tcPr>
    </w:tblStylePr>
    <w:tblStylePr w:type="neCell">
      <w:tblPr/>
      <w:tcPr>
        <w:tcBorders>
          <w:bottom w:val="single" w:sz="4" w:space="0" w:color="63E18C" w:themeColor="accent5" w:themeTint="99"/>
        </w:tcBorders>
      </w:tcPr>
    </w:tblStylePr>
    <w:tblStylePr w:type="nwCell">
      <w:tblPr/>
      <w:tcPr>
        <w:tcBorders>
          <w:bottom w:val="single" w:sz="4" w:space="0" w:color="63E18C" w:themeColor="accent5" w:themeTint="99"/>
        </w:tcBorders>
      </w:tcPr>
    </w:tblStylePr>
    <w:tblStylePr w:type="seCell">
      <w:tblPr/>
      <w:tcPr>
        <w:tcBorders>
          <w:top w:val="single" w:sz="4" w:space="0" w:color="63E18C" w:themeColor="accent5" w:themeTint="99"/>
        </w:tcBorders>
      </w:tcPr>
    </w:tblStylePr>
    <w:tblStylePr w:type="swCell">
      <w:tblPr/>
      <w:tcPr>
        <w:tcBorders>
          <w:top w:val="single" w:sz="4" w:space="0" w:color="63E18C" w:themeColor="accent5" w:themeTint="99"/>
        </w:tcBorders>
      </w:tcPr>
    </w:tblStylePr>
  </w:style>
  <w:style w:type="table" w:styleId="GridTable3-Accent6">
    <w:name w:val="Grid Table 3 Accent 6"/>
    <w:basedOn w:val="TableNormal"/>
    <w:uiPriority w:val="48"/>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3AC1FF" w:themeColor="accent6" w:themeTint="99"/>
        <w:left w:val="single" w:sz="4" w:space="0" w:color="3AC1FF" w:themeColor="accent6" w:themeTint="99"/>
        <w:bottom w:val="single" w:sz="4" w:space="0" w:color="3AC1FF" w:themeColor="accent6" w:themeTint="99"/>
        <w:right w:val="single" w:sz="4" w:space="0" w:color="3AC1FF" w:themeColor="accent6" w:themeTint="99"/>
        <w:insideH w:val="single" w:sz="4" w:space="0" w:color="3AC1FF" w:themeColor="accent6" w:themeTint="99"/>
        <w:insideV w:val="single" w:sz="4" w:space="0" w:color="3AC1F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DEAFF" w:themeFill="accent6" w:themeFillTint="33"/>
      </w:tcPr>
    </w:tblStylePr>
    <w:tblStylePr w:type="band1Horz">
      <w:tblPr/>
      <w:tcPr>
        <w:shd w:val="clear" w:color="auto" w:fill="BDEAFF" w:themeFill="accent6" w:themeFillTint="33"/>
      </w:tcPr>
    </w:tblStylePr>
    <w:tblStylePr w:type="neCell">
      <w:tblPr/>
      <w:tcPr>
        <w:tcBorders>
          <w:bottom w:val="single" w:sz="4" w:space="0" w:color="3AC1FF" w:themeColor="accent6" w:themeTint="99"/>
        </w:tcBorders>
      </w:tcPr>
    </w:tblStylePr>
    <w:tblStylePr w:type="nwCell">
      <w:tblPr/>
      <w:tcPr>
        <w:tcBorders>
          <w:bottom w:val="single" w:sz="4" w:space="0" w:color="3AC1FF" w:themeColor="accent6" w:themeTint="99"/>
        </w:tcBorders>
      </w:tcPr>
    </w:tblStylePr>
    <w:tblStylePr w:type="seCell">
      <w:tblPr/>
      <w:tcPr>
        <w:tcBorders>
          <w:top w:val="single" w:sz="4" w:space="0" w:color="3AC1FF" w:themeColor="accent6" w:themeTint="99"/>
        </w:tcBorders>
      </w:tcPr>
    </w:tblStylePr>
    <w:tblStylePr w:type="swCell">
      <w:tblPr/>
      <w:tcPr>
        <w:tcBorders>
          <w:top w:val="single" w:sz="4" w:space="0" w:color="3AC1FF" w:themeColor="accent6" w:themeTint="99"/>
        </w:tcBorders>
      </w:tcPr>
    </w:tblStylePr>
  </w:style>
  <w:style w:type="table" w:styleId="GridTable4">
    <w:name w:val="Grid Table 4"/>
    <w:basedOn w:val="TableNormal"/>
    <w:uiPriority w:val="49"/>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E6E7E6" w:themeColor="accent1" w:themeTint="99"/>
        <w:left w:val="single" w:sz="4" w:space="0" w:color="E6E7E6" w:themeColor="accent1" w:themeTint="99"/>
        <w:bottom w:val="single" w:sz="4" w:space="0" w:color="E6E7E6" w:themeColor="accent1" w:themeTint="99"/>
        <w:right w:val="single" w:sz="4" w:space="0" w:color="E6E7E6" w:themeColor="accent1" w:themeTint="99"/>
        <w:insideH w:val="single" w:sz="4" w:space="0" w:color="E6E7E6" w:themeColor="accent1" w:themeTint="99"/>
        <w:insideV w:val="single" w:sz="4" w:space="0" w:color="E6E7E6" w:themeColor="accent1" w:themeTint="99"/>
      </w:tblBorders>
    </w:tblPr>
    <w:tblStylePr w:type="firstRow">
      <w:rPr>
        <w:b/>
        <w:bCs/>
        <w:color w:val="FFFFFF" w:themeColor="background1"/>
      </w:rPr>
      <w:tblPr/>
      <w:tcPr>
        <w:tcBorders>
          <w:top w:val="single" w:sz="4" w:space="0" w:color="D7D8D6" w:themeColor="accent1"/>
          <w:left w:val="single" w:sz="4" w:space="0" w:color="D7D8D6" w:themeColor="accent1"/>
          <w:bottom w:val="single" w:sz="4" w:space="0" w:color="D7D8D6" w:themeColor="accent1"/>
          <w:right w:val="single" w:sz="4" w:space="0" w:color="D7D8D6" w:themeColor="accent1"/>
          <w:insideH w:val="nil"/>
          <w:insideV w:val="nil"/>
        </w:tcBorders>
        <w:shd w:val="clear" w:color="auto" w:fill="D7D8D6" w:themeFill="accent1"/>
      </w:tcPr>
    </w:tblStylePr>
    <w:tblStylePr w:type="lastRow">
      <w:rPr>
        <w:b/>
        <w:bCs/>
      </w:rPr>
      <w:tblPr/>
      <w:tcPr>
        <w:tcBorders>
          <w:top w:val="double" w:sz="4" w:space="0" w:color="D7D8D6" w:themeColor="accent1"/>
        </w:tcBorders>
      </w:tcPr>
    </w:tblStylePr>
    <w:tblStylePr w:type="firstCol">
      <w:rPr>
        <w:b/>
        <w:bCs/>
      </w:rPr>
    </w:tblStylePr>
    <w:tblStylePr w:type="lastCol">
      <w:rPr>
        <w:b/>
        <w:bCs/>
      </w:rPr>
    </w:tblStylePr>
    <w:tblStylePr w:type="band1Vert">
      <w:tblPr/>
      <w:tcPr>
        <w:shd w:val="clear" w:color="auto" w:fill="F6F7F6" w:themeFill="accent1" w:themeFillTint="33"/>
      </w:tcPr>
    </w:tblStylePr>
    <w:tblStylePr w:type="band1Horz">
      <w:tblPr/>
      <w:tcPr>
        <w:shd w:val="clear" w:color="auto" w:fill="F6F7F6" w:themeFill="accent1" w:themeFillTint="33"/>
      </w:tcPr>
    </w:tblStylePr>
  </w:style>
  <w:style w:type="table" w:styleId="GridTable4-Accent2">
    <w:name w:val="Grid Table 4 Accent 2"/>
    <w:basedOn w:val="TableNormal"/>
    <w:uiPriority w:val="49"/>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FFDC6B" w:themeColor="accent2" w:themeTint="99"/>
        <w:left w:val="single" w:sz="4" w:space="0" w:color="FFDC6B" w:themeColor="accent2" w:themeTint="99"/>
        <w:bottom w:val="single" w:sz="4" w:space="0" w:color="FFDC6B" w:themeColor="accent2" w:themeTint="99"/>
        <w:right w:val="single" w:sz="4" w:space="0" w:color="FFDC6B" w:themeColor="accent2" w:themeTint="99"/>
        <w:insideH w:val="single" w:sz="4" w:space="0" w:color="FFDC6B" w:themeColor="accent2" w:themeTint="99"/>
        <w:insideV w:val="single" w:sz="4" w:space="0" w:color="FFDC6B" w:themeColor="accent2" w:themeTint="99"/>
      </w:tblBorders>
    </w:tblPr>
    <w:tblStylePr w:type="firstRow">
      <w:rPr>
        <w:b/>
        <w:bCs/>
        <w:color w:val="FFFFFF" w:themeColor="background1"/>
      </w:rPr>
      <w:tblPr/>
      <w:tcPr>
        <w:tcBorders>
          <w:top w:val="single" w:sz="4" w:space="0" w:color="FFC709" w:themeColor="accent2"/>
          <w:left w:val="single" w:sz="4" w:space="0" w:color="FFC709" w:themeColor="accent2"/>
          <w:bottom w:val="single" w:sz="4" w:space="0" w:color="FFC709" w:themeColor="accent2"/>
          <w:right w:val="single" w:sz="4" w:space="0" w:color="FFC709" w:themeColor="accent2"/>
          <w:insideH w:val="nil"/>
          <w:insideV w:val="nil"/>
        </w:tcBorders>
        <w:shd w:val="clear" w:color="auto" w:fill="FFC709" w:themeFill="accent2"/>
      </w:tcPr>
    </w:tblStylePr>
    <w:tblStylePr w:type="lastRow">
      <w:rPr>
        <w:b/>
        <w:bCs/>
      </w:rPr>
      <w:tblPr/>
      <w:tcPr>
        <w:tcBorders>
          <w:top w:val="double" w:sz="4" w:space="0" w:color="FFC709" w:themeColor="accent2"/>
        </w:tcBorders>
      </w:tcPr>
    </w:tblStylePr>
    <w:tblStylePr w:type="firstCol">
      <w:rPr>
        <w:b/>
        <w:bCs/>
      </w:rPr>
    </w:tblStylePr>
    <w:tblStylePr w:type="lastCol">
      <w:rPr>
        <w:b/>
        <w:bCs/>
      </w:rPr>
    </w:tblStylePr>
    <w:tblStylePr w:type="band1Vert">
      <w:tblPr/>
      <w:tcPr>
        <w:shd w:val="clear" w:color="auto" w:fill="FFF3CD" w:themeFill="accent2" w:themeFillTint="33"/>
      </w:tcPr>
    </w:tblStylePr>
    <w:tblStylePr w:type="band1Horz">
      <w:tblPr/>
      <w:tcPr>
        <w:shd w:val="clear" w:color="auto" w:fill="FFF3CD" w:themeFill="accent2" w:themeFillTint="33"/>
      </w:tcPr>
    </w:tblStylePr>
  </w:style>
  <w:style w:type="table" w:styleId="GridTable4-Accent3">
    <w:name w:val="Grid Table 4 Accent 3"/>
    <w:basedOn w:val="TableNormal"/>
    <w:uiPriority w:val="49"/>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EE6584" w:themeColor="accent3" w:themeTint="99"/>
        <w:left w:val="single" w:sz="4" w:space="0" w:color="EE6584" w:themeColor="accent3" w:themeTint="99"/>
        <w:bottom w:val="single" w:sz="4" w:space="0" w:color="EE6584" w:themeColor="accent3" w:themeTint="99"/>
        <w:right w:val="single" w:sz="4" w:space="0" w:color="EE6584" w:themeColor="accent3" w:themeTint="99"/>
        <w:insideH w:val="single" w:sz="4" w:space="0" w:color="EE6584" w:themeColor="accent3" w:themeTint="99"/>
        <w:insideV w:val="single" w:sz="4" w:space="0" w:color="EE6584" w:themeColor="accent3" w:themeTint="99"/>
      </w:tblBorders>
    </w:tblPr>
    <w:tblStylePr w:type="firstRow">
      <w:rPr>
        <w:b/>
        <w:bCs/>
        <w:color w:val="FFFFFF" w:themeColor="background1"/>
      </w:rPr>
      <w:tblPr/>
      <w:tcPr>
        <w:tcBorders>
          <w:top w:val="single" w:sz="4" w:space="0" w:color="CD163F" w:themeColor="accent3"/>
          <w:left w:val="single" w:sz="4" w:space="0" w:color="CD163F" w:themeColor="accent3"/>
          <w:bottom w:val="single" w:sz="4" w:space="0" w:color="CD163F" w:themeColor="accent3"/>
          <w:right w:val="single" w:sz="4" w:space="0" w:color="CD163F" w:themeColor="accent3"/>
          <w:insideH w:val="nil"/>
          <w:insideV w:val="nil"/>
        </w:tcBorders>
        <w:shd w:val="clear" w:color="auto" w:fill="CD163F" w:themeFill="accent3"/>
      </w:tcPr>
    </w:tblStylePr>
    <w:tblStylePr w:type="lastRow">
      <w:rPr>
        <w:b/>
        <w:bCs/>
      </w:rPr>
      <w:tblPr/>
      <w:tcPr>
        <w:tcBorders>
          <w:top w:val="double" w:sz="4" w:space="0" w:color="CD163F" w:themeColor="accent3"/>
        </w:tcBorders>
      </w:tcPr>
    </w:tblStylePr>
    <w:tblStylePr w:type="firstCol">
      <w:rPr>
        <w:b/>
        <w:bCs/>
      </w:rPr>
    </w:tblStylePr>
    <w:tblStylePr w:type="lastCol">
      <w:rPr>
        <w:b/>
        <w:bCs/>
      </w:rPr>
    </w:tblStylePr>
    <w:tblStylePr w:type="band1Vert">
      <w:tblPr/>
      <w:tcPr>
        <w:shd w:val="clear" w:color="auto" w:fill="F9CBD6" w:themeFill="accent3" w:themeFillTint="33"/>
      </w:tcPr>
    </w:tblStylePr>
    <w:tblStylePr w:type="band1Horz">
      <w:tblPr/>
      <w:tcPr>
        <w:shd w:val="clear" w:color="auto" w:fill="F9CBD6" w:themeFill="accent3" w:themeFillTint="33"/>
      </w:tcPr>
    </w:tblStylePr>
  </w:style>
  <w:style w:type="table" w:styleId="GridTable4-Accent4">
    <w:name w:val="Grid Table 4 Accent 4"/>
    <w:basedOn w:val="TableNormal"/>
    <w:uiPriority w:val="49"/>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AF60D2" w:themeColor="accent4" w:themeTint="99"/>
        <w:left w:val="single" w:sz="4" w:space="0" w:color="AF60D2" w:themeColor="accent4" w:themeTint="99"/>
        <w:bottom w:val="single" w:sz="4" w:space="0" w:color="AF60D2" w:themeColor="accent4" w:themeTint="99"/>
        <w:right w:val="single" w:sz="4" w:space="0" w:color="AF60D2" w:themeColor="accent4" w:themeTint="99"/>
        <w:insideH w:val="single" w:sz="4" w:space="0" w:color="AF60D2" w:themeColor="accent4" w:themeTint="99"/>
        <w:insideV w:val="single" w:sz="4" w:space="0" w:color="AF60D2" w:themeColor="accent4" w:themeTint="99"/>
      </w:tblBorders>
    </w:tblPr>
    <w:tblStylePr w:type="firstRow">
      <w:rPr>
        <w:b/>
        <w:bCs/>
        <w:color w:val="FFFFFF" w:themeColor="background1"/>
      </w:rPr>
      <w:tblPr/>
      <w:tcPr>
        <w:tcBorders>
          <w:top w:val="single" w:sz="4" w:space="0" w:color="692686" w:themeColor="accent4"/>
          <w:left w:val="single" w:sz="4" w:space="0" w:color="692686" w:themeColor="accent4"/>
          <w:bottom w:val="single" w:sz="4" w:space="0" w:color="692686" w:themeColor="accent4"/>
          <w:right w:val="single" w:sz="4" w:space="0" w:color="692686" w:themeColor="accent4"/>
          <w:insideH w:val="nil"/>
          <w:insideV w:val="nil"/>
        </w:tcBorders>
        <w:shd w:val="clear" w:color="auto" w:fill="692686" w:themeFill="accent4"/>
      </w:tcPr>
    </w:tblStylePr>
    <w:tblStylePr w:type="lastRow">
      <w:rPr>
        <w:b/>
        <w:bCs/>
      </w:rPr>
      <w:tblPr/>
      <w:tcPr>
        <w:tcBorders>
          <w:top w:val="double" w:sz="4" w:space="0" w:color="692686" w:themeColor="accent4"/>
        </w:tcBorders>
      </w:tcPr>
    </w:tblStylePr>
    <w:tblStylePr w:type="firstCol">
      <w:rPr>
        <w:b/>
        <w:bCs/>
      </w:rPr>
    </w:tblStylePr>
    <w:tblStylePr w:type="lastCol">
      <w:rPr>
        <w:b/>
        <w:bCs/>
      </w:rPr>
    </w:tblStylePr>
    <w:tblStylePr w:type="band1Vert">
      <w:tblPr/>
      <w:tcPr>
        <w:shd w:val="clear" w:color="auto" w:fill="E4CAF0" w:themeFill="accent4" w:themeFillTint="33"/>
      </w:tcPr>
    </w:tblStylePr>
    <w:tblStylePr w:type="band1Horz">
      <w:tblPr/>
      <w:tcPr>
        <w:shd w:val="clear" w:color="auto" w:fill="E4CAF0" w:themeFill="accent4" w:themeFillTint="33"/>
      </w:tcPr>
    </w:tblStylePr>
  </w:style>
  <w:style w:type="table" w:styleId="GridTable4-Accent5">
    <w:name w:val="Grid Table 4 Accent 5"/>
    <w:basedOn w:val="TableNormal"/>
    <w:uiPriority w:val="49"/>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63E18C" w:themeColor="accent5" w:themeTint="99"/>
        <w:left w:val="single" w:sz="4" w:space="0" w:color="63E18C" w:themeColor="accent5" w:themeTint="99"/>
        <w:bottom w:val="single" w:sz="4" w:space="0" w:color="63E18C" w:themeColor="accent5" w:themeTint="99"/>
        <w:right w:val="single" w:sz="4" w:space="0" w:color="63E18C" w:themeColor="accent5" w:themeTint="99"/>
        <w:insideH w:val="single" w:sz="4" w:space="0" w:color="63E18C" w:themeColor="accent5" w:themeTint="99"/>
        <w:insideV w:val="single" w:sz="4" w:space="0" w:color="63E18C" w:themeColor="accent5" w:themeTint="99"/>
      </w:tblBorders>
    </w:tblPr>
    <w:tblStylePr w:type="firstRow">
      <w:rPr>
        <w:b/>
        <w:bCs/>
        <w:color w:val="FFFFFF" w:themeColor="background1"/>
      </w:rPr>
      <w:tblPr/>
      <w:tcPr>
        <w:tcBorders>
          <w:top w:val="single" w:sz="4" w:space="0" w:color="20AA4D" w:themeColor="accent5"/>
          <w:left w:val="single" w:sz="4" w:space="0" w:color="20AA4D" w:themeColor="accent5"/>
          <w:bottom w:val="single" w:sz="4" w:space="0" w:color="20AA4D" w:themeColor="accent5"/>
          <w:right w:val="single" w:sz="4" w:space="0" w:color="20AA4D" w:themeColor="accent5"/>
          <w:insideH w:val="nil"/>
          <w:insideV w:val="nil"/>
        </w:tcBorders>
        <w:shd w:val="clear" w:color="auto" w:fill="20AA4D" w:themeFill="accent5"/>
      </w:tcPr>
    </w:tblStylePr>
    <w:tblStylePr w:type="lastRow">
      <w:rPr>
        <w:b/>
        <w:bCs/>
      </w:rPr>
      <w:tblPr/>
      <w:tcPr>
        <w:tcBorders>
          <w:top w:val="double" w:sz="4" w:space="0" w:color="20AA4D" w:themeColor="accent5"/>
        </w:tcBorders>
      </w:tcPr>
    </w:tblStylePr>
    <w:tblStylePr w:type="firstCol">
      <w:rPr>
        <w:b/>
        <w:bCs/>
      </w:rPr>
    </w:tblStylePr>
    <w:tblStylePr w:type="lastCol">
      <w:rPr>
        <w:b/>
        <w:bCs/>
      </w:rPr>
    </w:tblStylePr>
    <w:tblStylePr w:type="band1Vert">
      <w:tblPr/>
      <w:tcPr>
        <w:shd w:val="clear" w:color="auto" w:fill="CBF5D8" w:themeFill="accent5" w:themeFillTint="33"/>
      </w:tcPr>
    </w:tblStylePr>
    <w:tblStylePr w:type="band1Horz">
      <w:tblPr/>
      <w:tcPr>
        <w:shd w:val="clear" w:color="auto" w:fill="CBF5D8" w:themeFill="accent5" w:themeFillTint="33"/>
      </w:tcPr>
    </w:tblStylePr>
  </w:style>
  <w:style w:type="table" w:styleId="GridTable4-Accent6">
    <w:name w:val="Grid Table 4 Accent 6"/>
    <w:basedOn w:val="TableNormal"/>
    <w:uiPriority w:val="49"/>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3AC1FF" w:themeColor="accent6" w:themeTint="99"/>
        <w:left w:val="single" w:sz="4" w:space="0" w:color="3AC1FF" w:themeColor="accent6" w:themeTint="99"/>
        <w:bottom w:val="single" w:sz="4" w:space="0" w:color="3AC1FF" w:themeColor="accent6" w:themeTint="99"/>
        <w:right w:val="single" w:sz="4" w:space="0" w:color="3AC1FF" w:themeColor="accent6" w:themeTint="99"/>
        <w:insideH w:val="single" w:sz="4" w:space="0" w:color="3AC1FF" w:themeColor="accent6" w:themeTint="99"/>
        <w:insideV w:val="single" w:sz="4" w:space="0" w:color="3AC1FF" w:themeColor="accent6" w:themeTint="99"/>
      </w:tblBorders>
    </w:tblPr>
    <w:tblStylePr w:type="firstRow">
      <w:rPr>
        <w:b/>
        <w:bCs/>
        <w:color w:val="FFFFFF" w:themeColor="background1"/>
      </w:rPr>
      <w:tblPr/>
      <w:tcPr>
        <w:tcBorders>
          <w:top w:val="single" w:sz="4" w:space="0" w:color="007DB6" w:themeColor="accent6"/>
          <w:left w:val="single" w:sz="4" w:space="0" w:color="007DB6" w:themeColor="accent6"/>
          <w:bottom w:val="single" w:sz="4" w:space="0" w:color="007DB6" w:themeColor="accent6"/>
          <w:right w:val="single" w:sz="4" w:space="0" w:color="007DB6" w:themeColor="accent6"/>
          <w:insideH w:val="nil"/>
          <w:insideV w:val="nil"/>
        </w:tcBorders>
        <w:shd w:val="clear" w:color="auto" w:fill="007DB6" w:themeFill="accent6"/>
      </w:tcPr>
    </w:tblStylePr>
    <w:tblStylePr w:type="lastRow">
      <w:rPr>
        <w:b/>
        <w:bCs/>
      </w:rPr>
      <w:tblPr/>
      <w:tcPr>
        <w:tcBorders>
          <w:top w:val="double" w:sz="4" w:space="0" w:color="007DB6" w:themeColor="accent6"/>
        </w:tcBorders>
      </w:tcPr>
    </w:tblStylePr>
    <w:tblStylePr w:type="firstCol">
      <w:rPr>
        <w:b/>
        <w:bCs/>
      </w:rPr>
    </w:tblStylePr>
    <w:tblStylePr w:type="lastCol">
      <w:rPr>
        <w:b/>
        <w:bCs/>
      </w:rPr>
    </w:tblStylePr>
    <w:tblStylePr w:type="band1Vert">
      <w:tblPr/>
      <w:tcPr>
        <w:shd w:val="clear" w:color="auto" w:fill="BDEAFF" w:themeFill="accent6" w:themeFillTint="33"/>
      </w:tcPr>
    </w:tblStylePr>
    <w:tblStylePr w:type="band1Horz">
      <w:tblPr/>
      <w:tcPr>
        <w:shd w:val="clear" w:color="auto" w:fill="BDEAFF" w:themeFill="accent6" w:themeFillTint="33"/>
      </w:tcPr>
    </w:tblStylePr>
  </w:style>
  <w:style w:type="table" w:styleId="GridTable5Dark">
    <w:name w:val="Grid Table 5 Dark"/>
    <w:basedOn w:val="TableNormal"/>
    <w:uiPriority w:val="50"/>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6F7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7D8D6"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7D8D6"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7D8D6"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7D8D6" w:themeFill="accent1"/>
      </w:tcPr>
    </w:tblStylePr>
    <w:tblStylePr w:type="band1Vert">
      <w:tblPr/>
      <w:tcPr>
        <w:shd w:val="clear" w:color="auto" w:fill="EEEFEE" w:themeFill="accent1" w:themeFillTint="66"/>
      </w:tcPr>
    </w:tblStylePr>
    <w:tblStylePr w:type="band1Horz">
      <w:tblPr/>
      <w:tcPr>
        <w:shd w:val="clear" w:color="auto" w:fill="EEEFEE" w:themeFill="accent1" w:themeFillTint="66"/>
      </w:tcPr>
    </w:tblStylePr>
  </w:style>
  <w:style w:type="table" w:styleId="GridTable5Dark-Accent2">
    <w:name w:val="Grid Table 5 Dark Accent 2"/>
    <w:basedOn w:val="TableNormal"/>
    <w:uiPriority w:val="50"/>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3CD"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709"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709"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709"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709" w:themeFill="accent2"/>
      </w:tcPr>
    </w:tblStylePr>
    <w:tblStylePr w:type="band1Vert">
      <w:tblPr/>
      <w:tcPr>
        <w:shd w:val="clear" w:color="auto" w:fill="FFE89C" w:themeFill="accent2" w:themeFillTint="66"/>
      </w:tcPr>
    </w:tblStylePr>
    <w:tblStylePr w:type="band1Horz">
      <w:tblPr/>
      <w:tcPr>
        <w:shd w:val="clear" w:color="auto" w:fill="FFE89C" w:themeFill="accent2" w:themeFillTint="66"/>
      </w:tcPr>
    </w:tblStylePr>
  </w:style>
  <w:style w:type="table" w:styleId="GridTable5Dark-Accent3">
    <w:name w:val="Grid Table 5 Dark Accent 3"/>
    <w:basedOn w:val="TableNormal"/>
    <w:uiPriority w:val="50"/>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9CBD6"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D163F"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D163F"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D163F"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D163F" w:themeFill="accent3"/>
      </w:tcPr>
    </w:tblStylePr>
    <w:tblStylePr w:type="band1Vert">
      <w:tblPr/>
      <w:tcPr>
        <w:shd w:val="clear" w:color="auto" w:fill="F498AD" w:themeFill="accent3" w:themeFillTint="66"/>
      </w:tcPr>
    </w:tblStylePr>
    <w:tblStylePr w:type="band1Horz">
      <w:tblPr/>
      <w:tcPr>
        <w:shd w:val="clear" w:color="auto" w:fill="F498AD" w:themeFill="accent3" w:themeFillTint="66"/>
      </w:tcPr>
    </w:tblStylePr>
  </w:style>
  <w:style w:type="table" w:styleId="GridTable5Dark-Accent4">
    <w:name w:val="Grid Table 5 Dark Accent 4"/>
    <w:basedOn w:val="TableNormal"/>
    <w:uiPriority w:val="50"/>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4CAF0"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92686"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92686"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92686"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92686" w:themeFill="accent4"/>
      </w:tcPr>
    </w:tblStylePr>
    <w:tblStylePr w:type="band1Vert">
      <w:tblPr/>
      <w:tcPr>
        <w:shd w:val="clear" w:color="auto" w:fill="CA95E1" w:themeFill="accent4" w:themeFillTint="66"/>
      </w:tcPr>
    </w:tblStylePr>
    <w:tblStylePr w:type="band1Horz">
      <w:tblPr/>
      <w:tcPr>
        <w:shd w:val="clear" w:color="auto" w:fill="CA95E1" w:themeFill="accent4" w:themeFillTint="66"/>
      </w:tcPr>
    </w:tblStylePr>
  </w:style>
  <w:style w:type="table" w:styleId="GridTable5Dark-Accent5">
    <w:name w:val="Grid Table 5 Dark Accent 5"/>
    <w:basedOn w:val="TableNormal"/>
    <w:uiPriority w:val="50"/>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BF5D8"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0AA4D"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0AA4D"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0AA4D"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0AA4D" w:themeFill="accent5"/>
      </w:tcPr>
    </w:tblStylePr>
    <w:tblStylePr w:type="band1Vert">
      <w:tblPr/>
      <w:tcPr>
        <w:shd w:val="clear" w:color="auto" w:fill="97EBB2" w:themeFill="accent5" w:themeFillTint="66"/>
      </w:tcPr>
    </w:tblStylePr>
    <w:tblStylePr w:type="band1Horz">
      <w:tblPr/>
      <w:tcPr>
        <w:shd w:val="clear" w:color="auto" w:fill="97EBB2" w:themeFill="accent5" w:themeFillTint="66"/>
      </w:tcPr>
    </w:tblStylePr>
  </w:style>
  <w:style w:type="table" w:styleId="GridTable5Dark-Accent6">
    <w:name w:val="Grid Table 5 Dark Accent 6"/>
    <w:basedOn w:val="TableNormal"/>
    <w:uiPriority w:val="50"/>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DEAFF"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7DB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7DB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7DB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7DB6" w:themeFill="accent6"/>
      </w:tcPr>
    </w:tblStylePr>
    <w:tblStylePr w:type="band1Vert">
      <w:tblPr/>
      <w:tcPr>
        <w:shd w:val="clear" w:color="auto" w:fill="7BD5FF" w:themeFill="accent6" w:themeFillTint="66"/>
      </w:tcPr>
    </w:tblStylePr>
    <w:tblStylePr w:type="band1Horz">
      <w:tblPr/>
      <w:tcPr>
        <w:shd w:val="clear" w:color="auto" w:fill="7BD5FF" w:themeFill="accent6" w:themeFillTint="66"/>
      </w:tcPr>
    </w:tblStylePr>
  </w:style>
  <w:style w:type="table" w:styleId="GridTable6Colorful">
    <w:name w:val="Grid Table 6 Colorful"/>
    <w:basedOn w:val="TableNormal"/>
    <w:uiPriority w:val="51"/>
    <w:rsid w:val="009D2459"/>
    <w:pPr>
      <w:spacing w:after="0" w:line="240" w:lineRule="auto"/>
    </w:pPr>
    <w:rPr>
      <w:rFonts w:eastAsia="Times New Roman" w:cs="Times New Roman"/>
      <w:color w:val="000000" w:themeColor="text1"/>
      <w:sz w:val="20"/>
      <w:szCs w:val="20"/>
      <w:lang w:eastAsia="en-AU"/>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9D2459"/>
    <w:pPr>
      <w:spacing w:after="0" w:line="240" w:lineRule="auto"/>
    </w:pPr>
    <w:rPr>
      <w:rFonts w:eastAsia="Times New Roman" w:cs="Times New Roman"/>
      <w:color w:val="A0A39E" w:themeColor="accent1" w:themeShade="BF"/>
      <w:sz w:val="20"/>
      <w:szCs w:val="20"/>
      <w:lang w:eastAsia="en-AU"/>
    </w:rPr>
    <w:tblPr>
      <w:tblStyleRowBandSize w:val="1"/>
      <w:tblStyleColBandSize w:val="1"/>
      <w:tblBorders>
        <w:top w:val="single" w:sz="4" w:space="0" w:color="E6E7E6" w:themeColor="accent1" w:themeTint="99"/>
        <w:left w:val="single" w:sz="4" w:space="0" w:color="E6E7E6" w:themeColor="accent1" w:themeTint="99"/>
        <w:bottom w:val="single" w:sz="4" w:space="0" w:color="E6E7E6" w:themeColor="accent1" w:themeTint="99"/>
        <w:right w:val="single" w:sz="4" w:space="0" w:color="E6E7E6" w:themeColor="accent1" w:themeTint="99"/>
        <w:insideH w:val="single" w:sz="4" w:space="0" w:color="E6E7E6" w:themeColor="accent1" w:themeTint="99"/>
        <w:insideV w:val="single" w:sz="4" w:space="0" w:color="E6E7E6" w:themeColor="accent1" w:themeTint="99"/>
      </w:tblBorders>
    </w:tblPr>
    <w:tblStylePr w:type="firstRow">
      <w:rPr>
        <w:b/>
        <w:bCs/>
      </w:rPr>
      <w:tblPr/>
      <w:tcPr>
        <w:tcBorders>
          <w:bottom w:val="single" w:sz="12" w:space="0" w:color="E6E7E6" w:themeColor="accent1" w:themeTint="99"/>
        </w:tcBorders>
      </w:tcPr>
    </w:tblStylePr>
    <w:tblStylePr w:type="lastRow">
      <w:rPr>
        <w:b/>
        <w:bCs/>
      </w:rPr>
      <w:tblPr/>
      <w:tcPr>
        <w:tcBorders>
          <w:top w:val="double" w:sz="4" w:space="0" w:color="E6E7E6" w:themeColor="accent1" w:themeTint="99"/>
        </w:tcBorders>
      </w:tcPr>
    </w:tblStylePr>
    <w:tblStylePr w:type="firstCol">
      <w:rPr>
        <w:b/>
        <w:bCs/>
      </w:rPr>
    </w:tblStylePr>
    <w:tblStylePr w:type="lastCol">
      <w:rPr>
        <w:b/>
        <w:bCs/>
      </w:rPr>
    </w:tblStylePr>
    <w:tblStylePr w:type="band1Vert">
      <w:tblPr/>
      <w:tcPr>
        <w:shd w:val="clear" w:color="auto" w:fill="F6F7F6" w:themeFill="accent1" w:themeFillTint="33"/>
      </w:tcPr>
    </w:tblStylePr>
    <w:tblStylePr w:type="band1Horz">
      <w:tblPr/>
      <w:tcPr>
        <w:shd w:val="clear" w:color="auto" w:fill="F6F7F6" w:themeFill="accent1" w:themeFillTint="33"/>
      </w:tcPr>
    </w:tblStylePr>
  </w:style>
  <w:style w:type="table" w:styleId="GridTable6Colorful-Accent2">
    <w:name w:val="Grid Table 6 Colorful Accent 2"/>
    <w:basedOn w:val="TableNormal"/>
    <w:uiPriority w:val="51"/>
    <w:rsid w:val="009D2459"/>
    <w:pPr>
      <w:spacing w:after="0" w:line="240" w:lineRule="auto"/>
    </w:pPr>
    <w:rPr>
      <w:rFonts w:eastAsia="Times New Roman" w:cs="Times New Roman"/>
      <w:color w:val="C59700" w:themeColor="accent2" w:themeShade="BF"/>
      <w:sz w:val="20"/>
      <w:szCs w:val="20"/>
      <w:lang w:eastAsia="en-AU"/>
    </w:rPr>
    <w:tblPr>
      <w:tblStyleRowBandSize w:val="1"/>
      <w:tblStyleColBandSize w:val="1"/>
      <w:tblBorders>
        <w:top w:val="single" w:sz="4" w:space="0" w:color="FFDC6B" w:themeColor="accent2" w:themeTint="99"/>
        <w:left w:val="single" w:sz="4" w:space="0" w:color="FFDC6B" w:themeColor="accent2" w:themeTint="99"/>
        <w:bottom w:val="single" w:sz="4" w:space="0" w:color="FFDC6B" w:themeColor="accent2" w:themeTint="99"/>
        <w:right w:val="single" w:sz="4" w:space="0" w:color="FFDC6B" w:themeColor="accent2" w:themeTint="99"/>
        <w:insideH w:val="single" w:sz="4" w:space="0" w:color="FFDC6B" w:themeColor="accent2" w:themeTint="99"/>
        <w:insideV w:val="single" w:sz="4" w:space="0" w:color="FFDC6B" w:themeColor="accent2" w:themeTint="99"/>
      </w:tblBorders>
    </w:tblPr>
    <w:tblStylePr w:type="firstRow">
      <w:rPr>
        <w:b/>
        <w:bCs/>
      </w:rPr>
      <w:tblPr/>
      <w:tcPr>
        <w:tcBorders>
          <w:bottom w:val="single" w:sz="12" w:space="0" w:color="FFDC6B" w:themeColor="accent2" w:themeTint="99"/>
        </w:tcBorders>
      </w:tcPr>
    </w:tblStylePr>
    <w:tblStylePr w:type="lastRow">
      <w:rPr>
        <w:b/>
        <w:bCs/>
      </w:rPr>
      <w:tblPr/>
      <w:tcPr>
        <w:tcBorders>
          <w:top w:val="double" w:sz="4" w:space="0" w:color="FFDC6B" w:themeColor="accent2" w:themeTint="99"/>
        </w:tcBorders>
      </w:tcPr>
    </w:tblStylePr>
    <w:tblStylePr w:type="firstCol">
      <w:rPr>
        <w:b/>
        <w:bCs/>
      </w:rPr>
    </w:tblStylePr>
    <w:tblStylePr w:type="lastCol">
      <w:rPr>
        <w:b/>
        <w:bCs/>
      </w:rPr>
    </w:tblStylePr>
    <w:tblStylePr w:type="band1Vert">
      <w:tblPr/>
      <w:tcPr>
        <w:shd w:val="clear" w:color="auto" w:fill="FFF3CD" w:themeFill="accent2" w:themeFillTint="33"/>
      </w:tcPr>
    </w:tblStylePr>
    <w:tblStylePr w:type="band1Horz">
      <w:tblPr/>
      <w:tcPr>
        <w:shd w:val="clear" w:color="auto" w:fill="FFF3CD" w:themeFill="accent2" w:themeFillTint="33"/>
      </w:tcPr>
    </w:tblStylePr>
  </w:style>
  <w:style w:type="table" w:styleId="GridTable6Colorful-Accent3">
    <w:name w:val="Grid Table 6 Colorful Accent 3"/>
    <w:basedOn w:val="TableNormal"/>
    <w:uiPriority w:val="51"/>
    <w:rsid w:val="009D2459"/>
    <w:pPr>
      <w:spacing w:after="0" w:line="240" w:lineRule="auto"/>
    </w:pPr>
    <w:rPr>
      <w:rFonts w:eastAsia="Times New Roman" w:cs="Times New Roman"/>
      <w:color w:val="99102F" w:themeColor="accent3" w:themeShade="BF"/>
      <w:sz w:val="20"/>
      <w:szCs w:val="20"/>
      <w:lang w:eastAsia="en-AU"/>
    </w:rPr>
    <w:tblPr>
      <w:tblStyleRowBandSize w:val="1"/>
      <w:tblStyleColBandSize w:val="1"/>
      <w:tblBorders>
        <w:top w:val="single" w:sz="4" w:space="0" w:color="EE6584" w:themeColor="accent3" w:themeTint="99"/>
        <w:left w:val="single" w:sz="4" w:space="0" w:color="EE6584" w:themeColor="accent3" w:themeTint="99"/>
        <w:bottom w:val="single" w:sz="4" w:space="0" w:color="EE6584" w:themeColor="accent3" w:themeTint="99"/>
        <w:right w:val="single" w:sz="4" w:space="0" w:color="EE6584" w:themeColor="accent3" w:themeTint="99"/>
        <w:insideH w:val="single" w:sz="4" w:space="0" w:color="EE6584" w:themeColor="accent3" w:themeTint="99"/>
        <w:insideV w:val="single" w:sz="4" w:space="0" w:color="EE6584" w:themeColor="accent3" w:themeTint="99"/>
      </w:tblBorders>
    </w:tblPr>
    <w:tblStylePr w:type="firstRow">
      <w:rPr>
        <w:b/>
        <w:bCs/>
      </w:rPr>
      <w:tblPr/>
      <w:tcPr>
        <w:tcBorders>
          <w:bottom w:val="single" w:sz="12" w:space="0" w:color="EE6584" w:themeColor="accent3" w:themeTint="99"/>
        </w:tcBorders>
      </w:tcPr>
    </w:tblStylePr>
    <w:tblStylePr w:type="lastRow">
      <w:rPr>
        <w:b/>
        <w:bCs/>
      </w:rPr>
      <w:tblPr/>
      <w:tcPr>
        <w:tcBorders>
          <w:top w:val="double" w:sz="4" w:space="0" w:color="EE6584" w:themeColor="accent3" w:themeTint="99"/>
        </w:tcBorders>
      </w:tcPr>
    </w:tblStylePr>
    <w:tblStylePr w:type="firstCol">
      <w:rPr>
        <w:b/>
        <w:bCs/>
      </w:rPr>
    </w:tblStylePr>
    <w:tblStylePr w:type="lastCol">
      <w:rPr>
        <w:b/>
        <w:bCs/>
      </w:rPr>
    </w:tblStylePr>
    <w:tblStylePr w:type="band1Vert">
      <w:tblPr/>
      <w:tcPr>
        <w:shd w:val="clear" w:color="auto" w:fill="F9CBD6" w:themeFill="accent3" w:themeFillTint="33"/>
      </w:tcPr>
    </w:tblStylePr>
    <w:tblStylePr w:type="band1Horz">
      <w:tblPr/>
      <w:tcPr>
        <w:shd w:val="clear" w:color="auto" w:fill="F9CBD6" w:themeFill="accent3" w:themeFillTint="33"/>
      </w:tcPr>
    </w:tblStylePr>
  </w:style>
  <w:style w:type="table" w:styleId="GridTable6Colorful-Accent4">
    <w:name w:val="Grid Table 6 Colorful Accent 4"/>
    <w:basedOn w:val="TableNormal"/>
    <w:uiPriority w:val="51"/>
    <w:rsid w:val="009D2459"/>
    <w:pPr>
      <w:spacing w:after="0" w:line="240" w:lineRule="auto"/>
    </w:pPr>
    <w:rPr>
      <w:rFonts w:eastAsia="Times New Roman" w:cs="Times New Roman"/>
      <w:color w:val="4E1C64" w:themeColor="accent4" w:themeShade="BF"/>
      <w:sz w:val="20"/>
      <w:szCs w:val="20"/>
      <w:lang w:eastAsia="en-AU"/>
    </w:rPr>
    <w:tblPr>
      <w:tblStyleRowBandSize w:val="1"/>
      <w:tblStyleColBandSize w:val="1"/>
      <w:tblBorders>
        <w:top w:val="single" w:sz="4" w:space="0" w:color="AF60D2" w:themeColor="accent4" w:themeTint="99"/>
        <w:left w:val="single" w:sz="4" w:space="0" w:color="AF60D2" w:themeColor="accent4" w:themeTint="99"/>
        <w:bottom w:val="single" w:sz="4" w:space="0" w:color="AF60D2" w:themeColor="accent4" w:themeTint="99"/>
        <w:right w:val="single" w:sz="4" w:space="0" w:color="AF60D2" w:themeColor="accent4" w:themeTint="99"/>
        <w:insideH w:val="single" w:sz="4" w:space="0" w:color="AF60D2" w:themeColor="accent4" w:themeTint="99"/>
        <w:insideV w:val="single" w:sz="4" w:space="0" w:color="AF60D2" w:themeColor="accent4" w:themeTint="99"/>
      </w:tblBorders>
    </w:tblPr>
    <w:tblStylePr w:type="firstRow">
      <w:rPr>
        <w:b/>
        <w:bCs/>
      </w:rPr>
      <w:tblPr/>
      <w:tcPr>
        <w:tcBorders>
          <w:bottom w:val="single" w:sz="12" w:space="0" w:color="AF60D2" w:themeColor="accent4" w:themeTint="99"/>
        </w:tcBorders>
      </w:tcPr>
    </w:tblStylePr>
    <w:tblStylePr w:type="lastRow">
      <w:rPr>
        <w:b/>
        <w:bCs/>
      </w:rPr>
      <w:tblPr/>
      <w:tcPr>
        <w:tcBorders>
          <w:top w:val="double" w:sz="4" w:space="0" w:color="AF60D2" w:themeColor="accent4" w:themeTint="99"/>
        </w:tcBorders>
      </w:tcPr>
    </w:tblStylePr>
    <w:tblStylePr w:type="firstCol">
      <w:rPr>
        <w:b/>
        <w:bCs/>
      </w:rPr>
    </w:tblStylePr>
    <w:tblStylePr w:type="lastCol">
      <w:rPr>
        <w:b/>
        <w:bCs/>
      </w:rPr>
    </w:tblStylePr>
    <w:tblStylePr w:type="band1Vert">
      <w:tblPr/>
      <w:tcPr>
        <w:shd w:val="clear" w:color="auto" w:fill="E4CAF0" w:themeFill="accent4" w:themeFillTint="33"/>
      </w:tcPr>
    </w:tblStylePr>
    <w:tblStylePr w:type="band1Horz">
      <w:tblPr/>
      <w:tcPr>
        <w:shd w:val="clear" w:color="auto" w:fill="E4CAF0" w:themeFill="accent4" w:themeFillTint="33"/>
      </w:tcPr>
    </w:tblStylePr>
  </w:style>
  <w:style w:type="table" w:styleId="GridTable6Colorful-Accent5">
    <w:name w:val="Grid Table 6 Colorful Accent 5"/>
    <w:basedOn w:val="TableNormal"/>
    <w:uiPriority w:val="51"/>
    <w:rsid w:val="009D2459"/>
    <w:pPr>
      <w:spacing w:after="0" w:line="240" w:lineRule="auto"/>
    </w:pPr>
    <w:rPr>
      <w:rFonts w:eastAsia="Times New Roman" w:cs="Times New Roman"/>
      <w:color w:val="187F39" w:themeColor="accent5" w:themeShade="BF"/>
      <w:sz w:val="20"/>
      <w:szCs w:val="20"/>
      <w:lang w:eastAsia="en-AU"/>
    </w:rPr>
    <w:tblPr>
      <w:tblStyleRowBandSize w:val="1"/>
      <w:tblStyleColBandSize w:val="1"/>
      <w:tblBorders>
        <w:top w:val="single" w:sz="4" w:space="0" w:color="63E18C" w:themeColor="accent5" w:themeTint="99"/>
        <w:left w:val="single" w:sz="4" w:space="0" w:color="63E18C" w:themeColor="accent5" w:themeTint="99"/>
        <w:bottom w:val="single" w:sz="4" w:space="0" w:color="63E18C" w:themeColor="accent5" w:themeTint="99"/>
        <w:right w:val="single" w:sz="4" w:space="0" w:color="63E18C" w:themeColor="accent5" w:themeTint="99"/>
        <w:insideH w:val="single" w:sz="4" w:space="0" w:color="63E18C" w:themeColor="accent5" w:themeTint="99"/>
        <w:insideV w:val="single" w:sz="4" w:space="0" w:color="63E18C" w:themeColor="accent5" w:themeTint="99"/>
      </w:tblBorders>
    </w:tblPr>
    <w:tblStylePr w:type="firstRow">
      <w:rPr>
        <w:b/>
        <w:bCs/>
      </w:rPr>
      <w:tblPr/>
      <w:tcPr>
        <w:tcBorders>
          <w:bottom w:val="single" w:sz="12" w:space="0" w:color="63E18C" w:themeColor="accent5" w:themeTint="99"/>
        </w:tcBorders>
      </w:tcPr>
    </w:tblStylePr>
    <w:tblStylePr w:type="lastRow">
      <w:rPr>
        <w:b/>
        <w:bCs/>
      </w:rPr>
      <w:tblPr/>
      <w:tcPr>
        <w:tcBorders>
          <w:top w:val="double" w:sz="4" w:space="0" w:color="63E18C" w:themeColor="accent5" w:themeTint="99"/>
        </w:tcBorders>
      </w:tcPr>
    </w:tblStylePr>
    <w:tblStylePr w:type="firstCol">
      <w:rPr>
        <w:b/>
        <w:bCs/>
      </w:rPr>
    </w:tblStylePr>
    <w:tblStylePr w:type="lastCol">
      <w:rPr>
        <w:b/>
        <w:bCs/>
      </w:rPr>
    </w:tblStylePr>
    <w:tblStylePr w:type="band1Vert">
      <w:tblPr/>
      <w:tcPr>
        <w:shd w:val="clear" w:color="auto" w:fill="CBF5D8" w:themeFill="accent5" w:themeFillTint="33"/>
      </w:tcPr>
    </w:tblStylePr>
    <w:tblStylePr w:type="band1Horz">
      <w:tblPr/>
      <w:tcPr>
        <w:shd w:val="clear" w:color="auto" w:fill="CBF5D8" w:themeFill="accent5" w:themeFillTint="33"/>
      </w:tcPr>
    </w:tblStylePr>
  </w:style>
  <w:style w:type="table" w:styleId="GridTable6Colorful-Accent6">
    <w:name w:val="Grid Table 6 Colorful Accent 6"/>
    <w:basedOn w:val="TableNormal"/>
    <w:uiPriority w:val="51"/>
    <w:rsid w:val="009D2459"/>
    <w:pPr>
      <w:spacing w:after="0" w:line="240" w:lineRule="auto"/>
    </w:pPr>
    <w:rPr>
      <w:rFonts w:eastAsia="Times New Roman" w:cs="Times New Roman"/>
      <w:color w:val="005D88" w:themeColor="accent6" w:themeShade="BF"/>
      <w:sz w:val="20"/>
      <w:szCs w:val="20"/>
      <w:lang w:eastAsia="en-AU"/>
    </w:rPr>
    <w:tblPr>
      <w:tblStyleRowBandSize w:val="1"/>
      <w:tblStyleColBandSize w:val="1"/>
      <w:tblBorders>
        <w:top w:val="single" w:sz="4" w:space="0" w:color="3AC1FF" w:themeColor="accent6" w:themeTint="99"/>
        <w:left w:val="single" w:sz="4" w:space="0" w:color="3AC1FF" w:themeColor="accent6" w:themeTint="99"/>
        <w:bottom w:val="single" w:sz="4" w:space="0" w:color="3AC1FF" w:themeColor="accent6" w:themeTint="99"/>
        <w:right w:val="single" w:sz="4" w:space="0" w:color="3AC1FF" w:themeColor="accent6" w:themeTint="99"/>
        <w:insideH w:val="single" w:sz="4" w:space="0" w:color="3AC1FF" w:themeColor="accent6" w:themeTint="99"/>
        <w:insideV w:val="single" w:sz="4" w:space="0" w:color="3AC1FF" w:themeColor="accent6" w:themeTint="99"/>
      </w:tblBorders>
    </w:tblPr>
    <w:tblStylePr w:type="firstRow">
      <w:rPr>
        <w:b/>
        <w:bCs/>
      </w:rPr>
      <w:tblPr/>
      <w:tcPr>
        <w:tcBorders>
          <w:bottom w:val="single" w:sz="12" w:space="0" w:color="3AC1FF" w:themeColor="accent6" w:themeTint="99"/>
        </w:tcBorders>
      </w:tcPr>
    </w:tblStylePr>
    <w:tblStylePr w:type="lastRow">
      <w:rPr>
        <w:b/>
        <w:bCs/>
      </w:rPr>
      <w:tblPr/>
      <w:tcPr>
        <w:tcBorders>
          <w:top w:val="double" w:sz="4" w:space="0" w:color="3AC1FF" w:themeColor="accent6" w:themeTint="99"/>
        </w:tcBorders>
      </w:tcPr>
    </w:tblStylePr>
    <w:tblStylePr w:type="firstCol">
      <w:rPr>
        <w:b/>
        <w:bCs/>
      </w:rPr>
    </w:tblStylePr>
    <w:tblStylePr w:type="lastCol">
      <w:rPr>
        <w:b/>
        <w:bCs/>
      </w:rPr>
    </w:tblStylePr>
    <w:tblStylePr w:type="band1Vert">
      <w:tblPr/>
      <w:tcPr>
        <w:shd w:val="clear" w:color="auto" w:fill="BDEAFF" w:themeFill="accent6" w:themeFillTint="33"/>
      </w:tcPr>
    </w:tblStylePr>
    <w:tblStylePr w:type="band1Horz">
      <w:tblPr/>
      <w:tcPr>
        <w:shd w:val="clear" w:color="auto" w:fill="BDEAFF" w:themeFill="accent6" w:themeFillTint="33"/>
      </w:tcPr>
    </w:tblStylePr>
  </w:style>
  <w:style w:type="table" w:styleId="GridTable7Colorful">
    <w:name w:val="Grid Table 7 Colorful"/>
    <w:basedOn w:val="TableNormal"/>
    <w:uiPriority w:val="52"/>
    <w:rsid w:val="009D2459"/>
    <w:pPr>
      <w:spacing w:after="0" w:line="240" w:lineRule="auto"/>
    </w:pPr>
    <w:rPr>
      <w:rFonts w:eastAsia="Times New Roman" w:cs="Times New Roman"/>
      <w:color w:val="000000" w:themeColor="text1"/>
      <w:sz w:val="20"/>
      <w:szCs w:val="20"/>
      <w:lang w:eastAsia="en-AU"/>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9D2459"/>
    <w:pPr>
      <w:spacing w:after="0" w:line="240" w:lineRule="auto"/>
    </w:pPr>
    <w:rPr>
      <w:rFonts w:eastAsia="Times New Roman" w:cs="Times New Roman"/>
      <w:color w:val="A0A39E" w:themeColor="accent1" w:themeShade="BF"/>
      <w:sz w:val="20"/>
      <w:szCs w:val="20"/>
      <w:lang w:eastAsia="en-AU"/>
    </w:rPr>
    <w:tblPr>
      <w:tblStyleRowBandSize w:val="1"/>
      <w:tblStyleColBandSize w:val="1"/>
      <w:tblBorders>
        <w:top w:val="single" w:sz="4" w:space="0" w:color="E6E7E6" w:themeColor="accent1" w:themeTint="99"/>
        <w:left w:val="single" w:sz="4" w:space="0" w:color="E6E7E6" w:themeColor="accent1" w:themeTint="99"/>
        <w:bottom w:val="single" w:sz="4" w:space="0" w:color="E6E7E6" w:themeColor="accent1" w:themeTint="99"/>
        <w:right w:val="single" w:sz="4" w:space="0" w:color="E6E7E6" w:themeColor="accent1" w:themeTint="99"/>
        <w:insideH w:val="single" w:sz="4" w:space="0" w:color="E6E7E6" w:themeColor="accent1" w:themeTint="99"/>
        <w:insideV w:val="single" w:sz="4" w:space="0" w:color="E6E7E6"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F7F6" w:themeFill="accent1" w:themeFillTint="33"/>
      </w:tcPr>
    </w:tblStylePr>
    <w:tblStylePr w:type="band1Horz">
      <w:tblPr/>
      <w:tcPr>
        <w:shd w:val="clear" w:color="auto" w:fill="F6F7F6" w:themeFill="accent1" w:themeFillTint="33"/>
      </w:tcPr>
    </w:tblStylePr>
    <w:tblStylePr w:type="neCell">
      <w:tblPr/>
      <w:tcPr>
        <w:tcBorders>
          <w:bottom w:val="single" w:sz="4" w:space="0" w:color="E6E7E6" w:themeColor="accent1" w:themeTint="99"/>
        </w:tcBorders>
      </w:tcPr>
    </w:tblStylePr>
    <w:tblStylePr w:type="nwCell">
      <w:tblPr/>
      <w:tcPr>
        <w:tcBorders>
          <w:bottom w:val="single" w:sz="4" w:space="0" w:color="E6E7E6" w:themeColor="accent1" w:themeTint="99"/>
        </w:tcBorders>
      </w:tcPr>
    </w:tblStylePr>
    <w:tblStylePr w:type="seCell">
      <w:tblPr/>
      <w:tcPr>
        <w:tcBorders>
          <w:top w:val="single" w:sz="4" w:space="0" w:color="E6E7E6" w:themeColor="accent1" w:themeTint="99"/>
        </w:tcBorders>
      </w:tcPr>
    </w:tblStylePr>
    <w:tblStylePr w:type="swCell">
      <w:tblPr/>
      <w:tcPr>
        <w:tcBorders>
          <w:top w:val="single" w:sz="4" w:space="0" w:color="E6E7E6" w:themeColor="accent1" w:themeTint="99"/>
        </w:tcBorders>
      </w:tcPr>
    </w:tblStylePr>
  </w:style>
  <w:style w:type="table" w:styleId="GridTable7Colorful-Accent3">
    <w:name w:val="Grid Table 7 Colorful Accent 3"/>
    <w:basedOn w:val="TableNormal"/>
    <w:uiPriority w:val="52"/>
    <w:rsid w:val="009D2459"/>
    <w:pPr>
      <w:spacing w:after="0" w:line="240" w:lineRule="auto"/>
    </w:pPr>
    <w:rPr>
      <w:rFonts w:eastAsia="Times New Roman" w:cs="Times New Roman"/>
      <w:color w:val="99102F" w:themeColor="accent3" w:themeShade="BF"/>
      <w:sz w:val="20"/>
      <w:szCs w:val="20"/>
      <w:lang w:eastAsia="en-AU"/>
    </w:rPr>
    <w:tblPr>
      <w:tblStyleRowBandSize w:val="1"/>
      <w:tblStyleColBandSize w:val="1"/>
      <w:tblBorders>
        <w:top w:val="single" w:sz="4" w:space="0" w:color="EE6584" w:themeColor="accent3" w:themeTint="99"/>
        <w:left w:val="single" w:sz="4" w:space="0" w:color="EE6584" w:themeColor="accent3" w:themeTint="99"/>
        <w:bottom w:val="single" w:sz="4" w:space="0" w:color="EE6584" w:themeColor="accent3" w:themeTint="99"/>
        <w:right w:val="single" w:sz="4" w:space="0" w:color="EE6584" w:themeColor="accent3" w:themeTint="99"/>
        <w:insideH w:val="single" w:sz="4" w:space="0" w:color="EE6584" w:themeColor="accent3" w:themeTint="99"/>
        <w:insideV w:val="single" w:sz="4" w:space="0" w:color="EE658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CBD6" w:themeFill="accent3" w:themeFillTint="33"/>
      </w:tcPr>
    </w:tblStylePr>
    <w:tblStylePr w:type="band1Horz">
      <w:tblPr/>
      <w:tcPr>
        <w:shd w:val="clear" w:color="auto" w:fill="F9CBD6" w:themeFill="accent3" w:themeFillTint="33"/>
      </w:tcPr>
    </w:tblStylePr>
    <w:tblStylePr w:type="neCell">
      <w:tblPr/>
      <w:tcPr>
        <w:tcBorders>
          <w:bottom w:val="single" w:sz="4" w:space="0" w:color="EE6584" w:themeColor="accent3" w:themeTint="99"/>
        </w:tcBorders>
      </w:tcPr>
    </w:tblStylePr>
    <w:tblStylePr w:type="nwCell">
      <w:tblPr/>
      <w:tcPr>
        <w:tcBorders>
          <w:bottom w:val="single" w:sz="4" w:space="0" w:color="EE6584" w:themeColor="accent3" w:themeTint="99"/>
        </w:tcBorders>
      </w:tcPr>
    </w:tblStylePr>
    <w:tblStylePr w:type="seCell">
      <w:tblPr/>
      <w:tcPr>
        <w:tcBorders>
          <w:top w:val="single" w:sz="4" w:space="0" w:color="EE6584" w:themeColor="accent3" w:themeTint="99"/>
        </w:tcBorders>
      </w:tcPr>
    </w:tblStylePr>
    <w:tblStylePr w:type="swCell">
      <w:tblPr/>
      <w:tcPr>
        <w:tcBorders>
          <w:top w:val="single" w:sz="4" w:space="0" w:color="EE6584" w:themeColor="accent3" w:themeTint="99"/>
        </w:tcBorders>
      </w:tcPr>
    </w:tblStylePr>
  </w:style>
  <w:style w:type="table" w:styleId="GridTable7Colorful-Accent4">
    <w:name w:val="Grid Table 7 Colorful Accent 4"/>
    <w:basedOn w:val="TableNormal"/>
    <w:uiPriority w:val="52"/>
    <w:rsid w:val="009D2459"/>
    <w:pPr>
      <w:spacing w:after="0" w:line="240" w:lineRule="auto"/>
    </w:pPr>
    <w:rPr>
      <w:rFonts w:eastAsia="Times New Roman" w:cs="Times New Roman"/>
      <w:color w:val="4E1C64" w:themeColor="accent4" w:themeShade="BF"/>
      <w:sz w:val="20"/>
      <w:szCs w:val="20"/>
      <w:lang w:eastAsia="en-AU"/>
    </w:rPr>
    <w:tblPr>
      <w:tblStyleRowBandSize w:val="1"/>
      <w:tblStyleColBandSize w:val="1"/>
      <w:tblBorders>
        <w:top w:val="single" w:sz="4" w:space="0" w:color="AF60D2" w:themeColor="accent4" w:themeTint="99"/>
        <w:left w:val="single" w:sz="4" w:space="0" w:color="AF60D2" w:themeColor="accent4" w:themeTint="99"/>
        <w:bottom w:val="single" w:sz="4" w:space="0" w:color="AF60D2" w:themeColor="accent4" w:themeTint="99"/>
        <w:right w:val="single" w:sz="4" w:space="0" w:color="AF60D2" w:themeColor="accent4" w:themeTint="99"/>
        <w:insideH w:val="single" w:sz="4" w:space="0" w:color="AF60D2" w:themeColor="accent4" w:themeTint="99"/>
        <w:insideV w:val="single" w:sz="4" w:space="0" w:color="AF60D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CAF0" w:themeFill="accent4" w:themeFillTint="33"/>
      </w:tcPr>
    </w:tblStylePr>
    <w:tblStylePr w:type="band1Horz">
      <w:tblPr/>
      <w:tcPr>
        <w:shd w:val="clear" w:color="auto" w:fill="E4CAF0" w:themeFill="accent4" w:themeFillTint="33"/>
      </w:tcPr>
    </w:tblStylePr>
    <w:tblStylePr w:type="neCell">
      <w:tblPr/>
      <w:tcPr>
        <w:tcBorders>
          <w:bottom w:val="single" w:sz="4" w:space="0" w:color="AF60D2" w:themeColor="accent4" w:themeTint="99"/>
        </w:tcBorders>
      </w:tcPr>
    </w:tblStylePr>
    <w:tblStylePr w:type="nwCell">
      <w:tblPr/>
      <w:tcPr>
        <w:tcBorders>
          <w:bottom w:val="single" w:sz="4" w:space="0" w:color="AF60D2" w:themeColor="accent4" w:themeTint="99"/>
        </w:tcBorders>
      </w:tcPr>
    </w:tblStylePr>
    <w:tblStylePr w:type="seCell">
      <w:tblPr/>
      <w:tcPr>
        <w:tcBorders>
          <w:top w:val="single" w:sz="4" w:space="0" w:color="AF60D2" w:themeColor="accent4" w:themeTint="99"/>
        </w:tcBorders>
      </w:tcPr>
    </w:tblStylePr>
    <w:tblStylePr w:type="swCell">
      <w:tblPr/>
      <w:tcPr>
        <w:tcBorders>
          <w:top w:val="single" w:sz="4" w:space="0" w:color="AF60D2" w:themeColor="accent4" w:themeTint="99"/>
        </w:tcBorders>
      </w:tcPr>
    </w:tblStylePr>
  </w:style>
  <w:style w:type="table" w:styleId="GridTable7Colorful-Accent5">
    <w:name w:val="Grid Table 7 Colorful Accent 5"/>
    <w:basedOn w:val="TableNormal"/>
    <w:uiPriority w:val="52"/>
    <w:rsid w:val="009D2459"/>
    <w:pPr>
      <w:spacing w:after="0" w:line="240" w:lineRule="auto"/>
    </w:pPr>
    <w:rPr>
      <w:rFonts w:eastAsia="Times New Roman" w:cs="Times New Roman"/>
      <w:color w:val="187F39" w:themeColor="accent5" w:themeShade="BF"/>
      <w:sz w:val="20"/>
      <w:szCs w:val="20"/>
      <w:lang w:eastAsia="en-AU"/>
    </w:rPr>
    <w:tblPr>
      <w:tblStyleRowBandSize w:val="1"/>
      <w:tblStyleColBandSize w:val="1"/>
      <w:tblBorders>
        <w:top w:val="single" w:sz="4" w:space="0" w:color="63E18C" w:themeColor="accent5" w:themeTint="99"/>
        <w:left w:val="single" w:sz="4" w:space="0" w:color="63E18C" w:themeColor="accent5" w:themeTint="99"/>
        <w:bottom w:val="single" w:sz="4" w:space="0" w:color="63E18C" w:themeColor="accent5" w:themeTint="99"/>
        <w:right w:val="single" w:sz="4" w:space="0" w:color="63E18C" w:themeColor="accent5" w:themeTint="99"/>
        <w:insideH w:val="single" w:sz="4" w:space="0" w:color="63E18C" w:themeColor="accent5" w:themeTint="99"/>
        <w:insideV w:val="single" w:sz="4" w:space="0" w:color="63E18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BF5D8" w:themeFill="accent5" w:themeFillTint="33"/>
      </w:tcPr>
    </w:tblStylePr>
    <w:tblStylePr w:type="band1Horz">
      <w:tblPr/>
      <w:tcPr>
        <w:shd w:val="clear" w:color="auto" w:fill="CBF5D8" w:themeFill="accent5" w:themeFillTint="33"/>
      </w:tcPr>
    </w:tblStylePr>
    <w:tblStylePr w:type="neCell">
      <w:tblPr/>
      <w:tcPr>
        <w:tcBorders>
          <w:bottom w:val="single" w:sz="4" w:space="0" w:color="63E18C" w:themeColor="accent5" w:themeTint="99"/>
        </w:tcBorders>
      </w:tcPr>
    </w:tblStylePr>
    <w:tblStylePr w:type="nwCell">
      <w:tblPr/>
      <w:tcPr>
        <w:tcBorders>
          <w:bottom w:val="single" w:sz="4" w:space="0" w:color="63E18C" w:themeColor="accent5" w:themeTint="99"/>
        </w:tcBorders>
      </w:tcPr>
    </w:tblStylePr>
    <w:tblStylePr w:type="seCell">
      <w:tblPr/>
      <w:tcPr>
        <w:tcBorders>
          <w:top w:val="single" w:sz="4" w:space="0" w:color="63E18C" w:themeColor="accent5" w:themeTint="99"/>
        </w:tcBorders>
      </w:tcPr>
    </w:tblStylePr>
    <w:tblStylePr w:type="swCell">
      <w:tblPr/>
      <w:tcPr>
        <w:tcBorders>
          <w:top w:val="single" w:sz="4" w:space="0" w:color="63E18C" w:themeColor="accent5" w:themeTint="99"/>
        </w:tcBorders>
      </w:tcPr>
    </w:tblStylePr>
  </w:style>
  <w:style w:type="table" w:styleId="GridTable7Colorful-Accent6">
    <w:name w:val="Grid Table 7 Colorful Accent 6"/>
    <w:basedOn w:val="TableNormal"/>
    <w:uiPriority w:val="52"/>
    <w:rsid w:val="009D2459"/>
    <w:pPr>
      <w:spacing w:after="0" w:line="240" w:lineRule="auto"/>
    </w:pPr>
    <w:rPr>
      <w:rFonts w:eastAsia="Times New Roman" w:cs="Times New Roman"/>
      <w:color w:val="005D88" w:themeColor="accent6" w:themeShade="BF"/>
      <w:sz w:val="20"/>
      <w:szCs w:val="20"/>
      <w:lang w:eastAsia="en-AU"/>
    </w:rPr>
    <w:tblPr>
      <w:tblStyleRowBandSize w:val="1"/>
      <w:tblStyleColBandSize w:val="1"/>
      <w:tblBorders>
        <w:top w:val="single" w:sz="4" w:space="0" w:color="3AC1FF" w:themeColor="accent6" w:themeTint="99"/>
        <w:left w:val="single" w:sz="4" w:space="0" w:color="3AC1FF" w:themeColor="accent6" w:themeTint="99"/>
        <w:bottom w:val="single" w:sz="4" w:space="0" w:color="3AC1FF" w:themeColor="accent6" w:themeTint="99"/>
        <w:right w:val="single" w:sz="4" w:space="0" w:color="3AC1FF" w:themeColor="accent6" w:themeTint="99"/>
        <w:insideH w:val="single" w:sz="4" w:space="0" w:color="3AC1FF" w:themeColor="accent6" w:themeTint="99"/>
        <w:insideV w:val="single" w:sz="4" w:space="0" w:color="3AC1F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DEAFF" w:themeFill="accent6" w:themeFillTint="33"/>
      </w:tcPr>
    </w:tblStylePr>
    <w:tblStylePr w:type="band1Horz">
      <w:tblPr/>
      <w:tcPr>
        <w:shd w:val="clear" w:color="auto" w:fill="BDEAFF" w:themeFill="accent6" w:themeFillTint="33"/>
      </w:tcPr>
    </w:tblStylePr>
    <w:tblStylePr w:type="neCell">
      <w:tblPr/>
      <w:tcPr>
        <w:tcBorders>
          <w:bottom w:val="single" w:sz="4" w:space="0" w:color="3AC1FF" w:themeColor="accent6" w:themeTint="99"/>
        </w:tcBorders>
      </w:tcPr>
    </w:tblStylePr>
    <w:tblStylePr w:type="nwCell">
      <w:tblPr/>
      <w:tcPr>
        <w:tcBorders>
          <w:bottom w:val="single" w:sz="4" w:space="0" w:color="3AC1FF" w:themeColor="accent6" w:themeTint="99"/>
        </w:tcBorders>
      </w:tcPr>
    </w:tblStylePr>
    <w:tblStylePr w:type="seCell">
      <w:tblPr/>
      <w:tcPr>
        <w:tcBorders>
          <w:top w:val="single" w:sz="4" w:space="0" w:color="3AC1FF" w:themeColor="accent6" w:themeTint="99"/>
        </w:tcBorders>
      </w:tcPr>
    </w:tblStylePr>
    <w:tblStylePr w:type="swCell">
      <w:tblPr/>
      <w:tcPr>
        <w:tcBorders>
          <w:top w:val="single" w:sz="4" w:space="0" w:color="3AC1FF" w:themeColor="accent6" w:themeTint="99"/>
        </w:tcBorders>
      </w:tcPr>
    </w:tblStylePr>
  </w:style>
  <w:style w:type="character" w:styleId="HTMLAcronym">
    <w:name w:val="HTML Acronym"/>
    <w:basedOn w:val="DefaultParagraphFont"/>
    <w:semiHidden/>
    <w:unhideWhenUsed/>
    <w:rsid w:val="009D2459"/>
  </w:style>
  <w:style w:type="character" w:styleId="HTMLCite">
    <w:name w:val="HTML Cite"/>
    <w:basedOn w:val="DefaultParagraphFont"/>
    <w:semiHidden/>
    <w:unhideWhenUsed/>
    <w:rsid w:val="009D2459"/>
    <w:rPr>
      <w:i/>
      <w:iCs/>
    </w:rPr>
  </w:style>
  <w:style w:type="character" w:styleId="HTMLCode">
    <w:name w:val="HTML Code"/>
    <w:basedOn w:val="DefaultParagraphFont"/>
    <w:semiHidden/>
    <w:unhideWhenUsed/>
    <w:rsid w:val="009D2459"/>
    <w:rPr>
      <w:rFonts w:ascii="Consolas" w:hAnsi="Consolas" w:cs="Consolas"/>
      <w:sz w:val="20"/>
      <w:szCs w:val="20"/>
    </w:rPr>
  </w:style>
  <w:style w:type="character" w:styleId="HTMLDefinition">
    <w:name w:val="HTML Definition"/>
    <w:basedOn w:val="DefaultParagraphFont"/>
    <w:semiHidden/>
    <w:unhideWhenUsed/>
    <w:rsid w:val="009D2459"/>
    <w:rPr>
      <w:i/>
      <w:iCs/>
    </w:rPr>
  </w:style>
  <w:style w:type="character" w:styleId="HTMLKeyboard">
    <w:name w:val="HTML Keyboard"/>
    <w:basedOn w:val="DefaultParagraphFont"/>
    <w:semiHidden/>
    <w:unhideWhenUsed/>
    <w:rsid w:val="009D2459"/>
    <w:rPr>
      <w:rFonts w:ascii="Consolas" w:hAnsi="Consolas" w:cs="Consolas"/>
      <w:sz w:val="20"/>
      <w:szCs w:val="20"/>
    </w:rPr>
  </w:style>
  <w:style w:type="character" w:styleId="HTMLSample">
    <w:name w:val="HTML Sample"/>
    <w:basedOn w:val="DefaultParagraphFont"/>
    <w:semiHidden/>
    <w:unhideWhenUsed/>
    <w:rsid w:val="009D2459"/>
    <w:rPr>
      <w:rFonts w:ascii="Consolas" w:hAnsi="Consolas" w:cs="Consolas"/>
      <w:sz w:val="24"/>
      <w:szCs w:val="24"/>
    </w:rPr>
  </w:style>
  <w:style w:type="character" w:styleId="HTMLTypewriter">
    <w:name w:val="HTML Typewriter"/>
    <w:basedOn w:val="DefaultParagraphFont"/>
    <w:semiHidden/>
    <w:unhideWhenUsed/>
    <w:rsid w:val="009D2459"/>
    <w:rPr>
      <w:rFonts w:ascii="Consolas" w:hAnsi="Consolas" w:cs="Consolas"/>
      <w:sz w:val="20"/>
      <w:szCs w:val="20"/>
    </w:rPr>
  </w:style>
  <w:style w:type="character" w:styleId="HTMLVariable">
    <w:name w:val="HTML Variable"/>
    <w:basedOn w:val="DefaultParagraphFont"/>
    <w:semiHidden/>
    <w:unhideWhenUsed/>
    <w:rsid w:val="009D2459"/>
    <w:rPr>
      <w:i/>
      <w:iCs/>
    </w:rPr>
  </w:style>
  <w:style w:type="character" w:styleId="IntenseReference">
    <w:name w:val="Intense Reference"/>
    <w:basedOn w:val="DefaultParagraphFont"/>
    <w:uiPriority w:val="32"/>
    <w:rsid w:val="009D2459"/>
    <w:rPr>
      <w:b/>
      <w:bCs/>
      <w:smallCaps/>
      <w:color w:val="D7D8D6" w:themeColor="accent1"/>
      <w:spacing w:val="5"/>
    </w:rPr>
  </w:style>
  <w:style w:type="table" w:styleId="LightGrid-Accent1">
    <w:name w:val="Light Grid Accent 1"/>
    <w:basedOn w:val="TableNormal"/>
    <w:uiPriority w:val="62"/>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D7D8D6" w:themeColor="accent1"/>
        <w:left w:val="single" w:sz="8" w:space="0" w:color="D7D8D6" w:themeColor="accent1"/>
        <w:bottom w:val="single" w:sz="8" w:space="0" w:color="D7D8D6" w:themeColor="accent1"/>
        <w:right w:val="single" w:sz="8" w:space="0" w:color="D7D8D6" w:themeColor="accent1"/>
        <w:insideH w:val="single" w:sz="8" w:space="0" w:color="D7D8D6" w:themeColor="accent1"/>
        <w:insideV w:val="single" w:sz="8" w:space="0" w:color="D7D8D6"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7D8D6" w:themeColor="accent1"/>
          <w:left w:val="single" w:sz="8" w:space="0" w:color="D7D8D6" w:themeColor="accent1"/>
          <w:bottom w:val="single" w:sz="18" w:space="0" w:color="D7D8D6" w:themeColor="accent1"/>
          <w:right w:val="single" w:sz="8" w:space="0" w:color="D7D8D6" w:themeColor="accent1"/>
          <w:insideH w:val="nil"/>
          <w:insideV w:val="single" w:sz="8" w:space="0" w:color="D7D8D6"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7D8D6" w:themeColor="accent1"/>
          <w:left w:val="single" w:sz="8" w:space="0" w:color="D7D8D6" w:themeColor="accent1"/>
          <w:bottom w:val="single" w:sz="8" w:space="0" w:color="D7D8D6" w:themeColor="accent1"/>
          <w:right w:val="single" w:sz="8" w:space="0" w:color="D7D8D6" w:themeColor="accent1"/>
          <w:insideH w:val="nil"/>
          <w:insideV w:val="single" w:sz="8" w:space="0" w:color="D7D8D6"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7D8D6" w:themeColor="accent1"/>
          <w:left w:val="single" w:sz="8" w:space="0" w:color="D7D8D6" w:themeColor="accent1"/>
          <w:bottom w:val="single" w:sz="8" w:space="0" w:color="D7D8D6" w:themeColor="accent1"/>
          <w:right w:val="single" w:sz="8" w:space="0" w:color="D7D8D6" w:themeColor="accent1"/>
        </w:tcBorders>
      </w:tcPr>
    </w:tblStylePr>
    <w:tblStylePr w:type="band1Vert">
      <w:tblPr/>
      <w:tcPr>
        <w:tcBorders>
          <w:top w:val="single" w:sz="8" w:space="0" w:color="D7D8D6" w:themeColor="accent1"/>
          <w:left w:val="single" w:sz="8" w:space="0" w:color="D7D8D6" w:themeColor="accent1"/>
          <w:bottom w:val="single" w:sz="8" w:space="0" w:color="D7D8D6" w:themeColor="accent1"/>
          <w:right w:val="single" w:sz="8" w:space="0" w:color="D7D8D6" w:themeColor="accent1"/>
        </w:tcBorders>
        <w:shd w:val="clear" w:color="auto" w:fill="F4F5F4" w:themeFill="accent1" w:themeFillTint="3F"/>
      </w:tcPr>
    </w:tblStylePr>
    <w:tblStylePr w:type="band1Horz">
      <w:tblPr/>
      <w:tcPr>
        <w:tcBorders>
          <w:top w:val="single" w:sz="8" w:space="0" w:color="D7D8D6" w:themeColor="accent1"/>
          <w:left w:val="single" w:sz="8" w:space="0" w:color="D7D8D6" w:themeColor="accent1"/>
          <w:bottom w:val="single" w:sz="8" w:space="0" w:color="D7D8D6" w:themeColor="accent1"/>
          <w:right w:val="single" w:sz="8" w:space="0" w:color="D7D8D6" w:themeColor="accent1"/>
          <w:insideV w:val="single" w:sz="8" w:space="0" w:color="D7D8D6" w:themeColor="accent1"/>
        </w:tcBorders>
        <w:shd w:val="clear" w:color="auto" w:fill="F4F5F4" w:themeFill="accent1" w:themeFillTint="3F"/>
      </w:tcPr>
    </w:tblStylePr>
    <w:tblStylePr w:type="band2Horz">
      <w:tblPr/>
      <w:tcPr>
        <w:tcBorders>
          <w:top w:val="single" w:sz="8" w:space="0" w:color="D7D8D6" w:themeColor="accent1"/>
          <w:left w:val="single" w:sz="8" w:space="0" w:color="D7D8D6" w:themeColor="accent1"/>
          <w:bottom w:val="single" w:sz="8" w:space="0" w:color="D7D8D6" w:themeColor="accent1"/>
          <w:right w:val="single" w:sz="8" w:space="0" w:color="D7D8D6" w:themeColor="accent1"/>
          <w:insideV w:val="single" w:sz="8" w:space="0" w:color="D7D8D6" w:themeColor="accent1"/>
        </w:tcBorders>
      </w:tcPr>
    </w:tblStylePr>
  </w:style>
  <w:style w:type="table" w:styleId="LightGrid-Accent2">
    <w:name w:val="Light Grid Accent 2"/>
    <w:basedOn w:val="TableNormal"/>
    <w:uiPriority w:val="62"/>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FFC709" w:themeColor="accent2"/>
        <w:left w:val="single" w:sz="8" w:space="0" w:color="FFC709" w:themeColor="accent2"/>
        <w:bottom w:val="single" w:sz="8" w:space="0" w:color="FFC709" w:themeColor="accent2"/>
        <w:right w:val="single" w:sz="8" w:space="0" w:color="FFC709" w:themeColor="accent2"/>
        <w:insideH w:val="single" w:sz="8" w:space="0" w:color="FFC709" w:themeColor="accent2"/>
        <w:insideV w:val="single" w:sz="8" w:space="0" w:color="FFC709"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709" w:themeColor="accent2"/>
          <w:left w:val="single" w:sz="8" w:space="0" w:color="FFC709" w:themeColor="accent2"/>
          <w:bottom w:val="single" w:sz="18" w:space="0" w:color="FFC709" w:themeColor="accent2"/>
          <w:right w:val="single" w:sz="8" w:space="0" w:color="FFC709" w:themeColor="accent2"/>
          <w:insideH w:val="nil"/>
          <w:insideV w:val="single" w:sz="8" w:space="0" w:color="FFC709"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709" w:themeColor="accent2"/>
          <w:left w:val="single" w:sz="8" w:space="0" w:color="FFC709" w:themeColor="accent2"/>
          <w:bottom w:val="single" w:sz="8" w:space="0" w:color="FFC709" w:themeColor="accent2"/>
          <w:right w:val="single" w:sz="8" w:space="0" w:color="FFC709" w:themeColor="accent2"/>
          <w:insideH w:val="nil"/>
          <w:insideV w:val="single" w:sz="8" w:space="0" w:color="FFC709"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709" w:themeColor="accent2"/>
          <w:left w:val="single" w:sz="8" w:space="0" w:color="FFC709" w:themeColor="accent2"/>
          <w:bottom w:val="single" w:sz="8" w:space="0" w:color="FFC709" w:themeColor="accent2"/>
          <w:right w:val="single" w:sz="8" w:space="0" w:color="FFC709" w:themeColor="accent2"/>
        </w:tcBorders>
      </w:tcPr>
    </w:tblStylePr>
    <w:tblStylePr w:type="band1Vert">
      <w:tblPr/>
      <w:tcPr>
        <w:tcBorders>
          <w:top w:val="single" w:sz="8" w:space="0" w:color="FFC709" w:themeColor="accent2"/>
          <w:left w:val="single" w:sz="8" w:space="0" w:color="FFC709" w:themeColor="accent2"/>
          <w:bottom w:val="single" w:sz="8" w:space="0" w:color="FFC709" w:themeColor="accent2"/>
          <w:right w:val="single" w:sz="8" w:space="0" w:color="FFC709" w:themeColor="accent2"/>
        </w:tcBorders>
        <w:shd w:val="clear" w:color="auto" w:fill="FFF0C2" w:themeFill="accent2" w:themeFillTint="3F"/>
      </w:tcPr>
    </w:tblStylePr>
    <w:tblStylePr w:type="band1Horz">
      <w:tblPr/>
      <w:tcPr>
        <w:tcBorders>
          <w:top w:val="single" w:sz="8" w:space="0" w:color="FFC709" w:themeColor="accent2"/>
          <w:left w:val="single" w:sz="8" w:space="0" w:color="FFC709" w:themeColor="accent2"/>
          <w:bottom w:val="single" w:sz="8" w:space="0" w:color="FFC709" w:themeColor="accent2"/>
          <w:right w:val="single" w:sz="8" w:space="0" w:color="FFC709" w:themeColor="accent2"/>
          <w:insideV w:val="single" w:sz="8" w:space="0" w:color="FFC709" w:themeColor="accent2"/>
        </w:tcBorders>
        <w:shd w:val="clear" w:color="auto" w:fill="FFF0C2" w:themeFill="accent2" w:themeFillTint="3F"/>
      </w:tcPr>
    </w:tblStylePr>
    <w:tblStylePr w:type="band2Horz">
      <w:tblPr/>
      <w:tcPr>
        <w:tcBorders>
          <w:top w:val="single" w:sz="8" w:space="0" w:color="FFC709" w:themeColor="accent2"/>
          <w:left w:val="single" w:sz="8" w:space="0" w:color="FFC709" w:themeColor="accent2"/>
          <w:bottom w:val="single" w:sz="8" w:space="0" w:color="FFC709" w:themeColor="accent2"/>
          <w:right w:val="single" w:sz="8" w:space="0" w:color="FFC709" w:themeColor="accent2"/>
          <w:insideV w:val="single" w:sz="8" w:space="0" w:color="FFC709" w:themeColor="accent2"/>
        </w:tcBorders>
      </w:tcPr>
    </w:tblStylePr>
  </w:style>
  <w:style w:type="table" w:styleId="LightGrid-Accent3">
    <w:name w:val="Light Grid Accent 3"/>
    <w:basedOn w:val="TableNormal"/>
    <w:uiPriority w:val="62"/>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CD163F" w:themeColor="accent3"/>
        <w:left w:val="single" w:sz="8" w:space="0" w:color="CD163F" w:themeColor="accent3"/>
        <w:bottom w:val="single" w:sz="8" w:space="0" w:color="CD163F" w:themeColor="accent3"/>
        <w:right w:val="single" w:sz="8" w:space="0" w:color="CD163F" w:themeColor="accent3"/>
        <w:insideH w:val="single" w:sz="8" w:space="0" w:color="CD163F" w:themeColor="accent3"/>
        <w:insideV w:val="single" w:sz="8" w:space="0" w:color="CD163F"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D163F" w:themeColor="accent3"/>
          <w:left w:val="single" w:sz="8" w:space="0" w:color="CD163F" w:themeColor="accent3"/>
          <w:bottom w:val="single" w:sz="18" w:space="0" w:color="CD163F" w:themeColor="accent3"/>
          <w:right w:val="single" w:sz="8" w:space="0" w:color="CD163F" w:themeColor="accent3"/>
          <w:insideH w:val="nil"/>
          <w:insideV w:val="single" w:sz="8" w:space="0" w:color="CD163F"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D163F" w:themeColor="accent3"/>
          <w:left w:val="single" w:sz="8" w:space="0" w:color="CD163F" w:themeColor="accent3"/>
          <w:bottom w:val="single" w:sz="8" w:space="0" w:color="CD163F" w:themeColor="accent3"/>
          <w:right w:val="single" w:sz="8" w:space="0" w:color="CD163F" w:themeColor="accent3"/>
          <w:insideH w:val="nil"/>
          <w:insideV w:val="single" w:sz="8" w:space="0" w:color="CD163F"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D163F" w:themeColor="accent3"/>
          <w:left w:val="single" w:sz="8" w:space="0" w:color="CD163F" w:themeColor="accent3"/>
          <w:bottom w:val="single" w:sz="8" w:space="0" w:color="CD163F" w:themeColor="accent3"/>
          <w:right w:val="single" w:sz="8" w:space="0" w:color="CD163F" w:themeColor="accent3"/>
        </w:tcBorders>
      </w:tcPr>
    </w:tblStylePr>
    <w:tblStylePr w:type="band1Vert">
      <w:tblPr/>
      <w:tcPr>
        <w:tcBorders>
          <w:top w:val="single" w:sz="8" w:space="0" w:color="CD163F" w:themeColor="accent3"/>
          <w:left w:val="single" w:sz="8" w:space="0" w:color="CD163F" w:themeColor="accent3"/>
          <w:bottom w:val="single" w:sz="8" w:space="0" w:color="CD163F" w:themeColor="accent3"/>
          <w:right w:val="single" w:sz="8" w:space="0" w:color="CD163F" w:themeColor="accent3"/>
        </w:tcBorders>
        <w:shd w:val="clear" w:color="auto" w:fill="F8BFCC" w:themeFill="accent3" w:themeFillTint="3F"/>
      </w:tcPr>
    </w:tblStylePr>
    <w:tblStylePr w:type="band1Horz">
      <w:tblPr/>
      <w:tcPr>
        <w:tcBorders>
          <w:top w:val="single" w:sz="8" w:space="0" w:color="CD163F" w:themeColor="accent3"/>
          <w:left w:val="single" w:sz="8" w:space="0" w:color="CD163F" w:themeColor="accent3"/>
          <w:bottom w:val="single" w:sz="8" w:space="0" w:color="CD163F" w:themeColor="accent3"/>
          <w:right w:val="single" w:sz="8" w:space="0" w:color="CD163F" w:themeColor="accent3"/>
          <w:insideV w:val="single" w:sz="8" w:space="0" w:color="CD163F" w:themeColor="accent3"/>
        </w:tcBorders>
        <w:shd w:val="clear" w:color="auto" w:fill="F8BFCC" w:themeFill="accent3" w:themeFillTint="3F"/>
      </w:tcPr>
    </w:tblStylePr>
    <w:tblStylePr w:type="band2Horz">
      <w:tblPr/>
      <w:tcPr>
        <w:tcBorders>
          <w:top w:val="single" w:sz="8" w:space="0" w:color="CD163F" w:themeColor="accent3"/>
          <w:left w:val="single" w:sz="8" w:space="0" w:color="CD163F" w:themeColor="accent3"/>
          <w:bottom w:val="single" w:sz="8" w:space="0" w:color="CD163F" w:themeColor="accent3"/>
          <w:right w:val="single" w:sz="8" w:space="0" w:color="CD163F" w:themeColor="accent3"/>
          <w:insideV w:val="single" w:sz="8" w:space="0" w:color="CD163F" w:themeColor="accent3"/>
        </w:tcBorders>
      </w:tcPr>
    </w:tblStylePr>
  </w:style>
  <w:style w:type="table" w:styleId="LightGrid-Accent4">
    <w:name w:val="Light Grid Accent 4"/>
    <w:basedOn w:val="TableNormal"/>
    <w:uiPriority w:val="62"/>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692686" w:themeColor="accent4"/>
        <w:left w:val="single" w:sz="8" w:space="0" w:color="692686" w:themeColor="accent4"/>
        <w:bottom w:val="single" w:sz="8" w:space="0" w:color="692686" w:themeColor="accent4"/>
        <w:right w:val="single" w:sz="8" w:space="0" w:color="692686" w:themeColor="accent4"/>
        <w:insideH w:val="single" w:sz="8" w:space="0" w:color="692686" w:themeColor="accent4"/>
        <w:insideV w:val="single" w:sz="8" w:space="0" w:color="692686"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92686" w:themeColor="accent4"/>
          <w:left w:val="single" w:sz="8" w:space="0" w:color="692686" w:themeColor="accent4"/>
          <w:bottom w:val="single" w:sz="18" w:space="0" w:color="692686" w:themeColor="accent4"/>
          <w:right w:val="single" w:sz="8" w:space="0" w:color="692686" w:themeColor="accent4"/>
          <w:insideH w:val="nil"/>
          <w:insideV w:val="single" w:sz="8" w:space="0" w:color="692686"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92686" w:themeColor="accent4"/>
          <w:left w:val="single" w:sz="8" w:space="0" w:color="692686" w:themeColor="accent4"/>
          <w:bottom w:val="single" w:sz="8" w:space="0" w:color="692686" w:themeColor="accent4"/>
          <w:right w:val="single" w:sz="8" w:space="0" w:color="692686" w:themeColor="accent4"/>
          <w:insideH w:val="nil"/>
          <w:insideV w:val="single" w:sz="8" w:space="0" w:color="692686"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92686" w:themeColor="accent4"/>
          <w:left w:val="single" w:sz="8" w:space="0" w:color="692686" w:themeColor="accent4"/>
          <w:bottom w:val="single" w:sz="8" w:space="0" w:color="692686" w:themeColor="accent4"/>
          <w:right w:val="single" w:sz="8" w:space="0" w:color="692686" w:themeColor="accent4"/>
        </w:tcBorders>
      </w:tcPr>
    </w:tblStylePr>
    <w:tblStylePr w:type="band1Vert">
      <w:tblPr/>
      <w:tcPr>
        <w:tcBorders>
          <w:top w:val="single" w:sz="8" w:space="0" w:color="692686" w:themeColor="accent4"/>
          <w:left w:val="single" w:sz="8" w:space="0" w:color="692686" w:themeColor="accent4"/>
          <w:bottom w:val="single" w:sz="8" w:space="0" w:color="692686" w:themeColor="accent4"/>
          <w:right w:val="single" w:sz="8" w:space="0" w:color="692686" w:themeColor="accent4"/>
        </w:tcBorders>
        <w:shd w:val="clear" w:color="auto" w:fill="DEBDEC" w:themeFill="accent4" w:themeFillTint="3F"/>
      </w:tcPr>
    </w:tblStylePr>
    <w:tblStylePr w:type="band1Horz">
      <w:tblPr/>
      <w:tcPr>
        <w:tcBorders>
          <w:top w:val="single" w:sz="8" w:space="0" w:color="692686" w:themeColor="accent4"/>
          <w:left w:val="single" w:sz="8" w:space="0" w:color="692686" w:themeColor="accent4"/>
          <w:bottom w:val="single" w:sz="8" w:space="0" w:color="692686" w:themeColor="accent4"/>
          <w:right w:val="single" w:sz="8" w:space="0" w:color="692686" w:themeColor="accent4"/>
          <w:insideV w:val="single" w:sz="8" w:space="0" w:color="692686" w:themeColor="accent4"/>
        </w:tcBorders>
        <w:shd w:val="clear" w:color="auto" w:fill="DEBDEC" w:themeFill="accent4" w:themeFillTint="3F"/>
      </w:tcPr>
    </w:tblStylePr>
    <w:tblStylePr w:type="band2Horz">
      <w:tblPr/>
      <w:tcPr>
        <w:tcBorders>
          <w:top w:val="single" w:sz="8" w:space="0" w:color="692686" w:themeColor="accent4"/>
          <w:left w:val="single" w:sz="8" w:space="0" w:color="692686" w:themeColor="accent4"/>
          <w:bottom w:val="single" w:sz="8" w:space="0" w:color="692686" w:themeColor="accent4"/>
          <w:right w:val="single" w:sz="8" w:space="0" w:color="692686" w:themeColor="accent4"/>
          <w:insideV w:val="single" w:sz="8" w:space="0" w:color="692686" w:themeColor="accent4"/>
        </w:tcBorders>
      </w:tcPr>
    </w:tblStylePr>
  </w:style>
  <w:style w:type="table" w:styleId="LightGrid-Accent5">
    <w:name w:val="Light Grid Accent 5"/>
    <w:basedOn w:val="TableNormal"/>
    <w:uiPriority w:val="62"/>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20AA4D" w:themeColor="accent5"/>
        <w:left w:val="single" w:sz="8" w:space="0" w:color="20AA4D" w:themeColor="accent5"/>
        <w:bottom w:val="single" w:sz="8" w:space="0" w:color="20AA4D" w:themeColor="accent5"/>
        <w:right w:val="single" w:sz="8" w:space="0" w:color="20AA4D" w:themeColor="accent5"/>
        <w:insideH w:val="single" w:sz="8" w:space="0" w:color="20AA4D" w:themeColor="accent5"/>
        <w:insideV w:val="single" w:sz="8" w:space="0" w:color="20AA4D"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0AA4D" w:themeColor="accent5"/>
          <w:left w:val="single" w:sz="8" w:space="0" w:color="20AA4D" w:themeColor="accent5"/>
          <w:bottom w:val="single" w:sz="18" w:space="0" w:color="20AA4D" w:themeColor="accent5"/>
          <w:right w:val="single" w:sz="8" w:space="0" w:color="20AA4D" w:themeColor="accent5"/>
          <w:insideH w:val="nil"/>
          <w:insideV w:val="single" w:sz="8" w:space="0" w:color="20AA4D"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0AA4D" w:themeColor="accent5"/>
          <w:left w:val="single" w:sz="8" w:space="0" w:color="20AA4D" w:themeColor="accent5"/>
          <w:bottom w:val="single" w:sz="8" w:space="0" w:color="20AA4D" w:themeColor="accent5"/>
          <w:right w:val="single" w:sz="8" w:space="0" w:color="20AA4D" w:themeColor="accent5"/>
          <w:insideH w:val="nil"/>
          <w:insideV w:val="single" w:sz="8" w:space="0" w:color="20AA4D"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0AA4D" w:themeColor="accent5"/>
          <w:left w:val="single" w:sz="8" w:space="0" w:color="20AA4D" w:themeColor="accent5"/>
          <w:bottom w:val="single" w:sz="8" w:space="0" w:color="20AA4D" w:themeColor="accent5"/>
          <w:right w:val="single" w:sz="8" w:space="0" w:color="20AA4D" w:themeColor="accent5"/>
        </w:tcBorders>
      </w:tcPr>
    </w:tblStylePr>
    <w:tblStylePr w:type="band1Vert">
      <w:tblPr/>
      <w:tcPr>
        <w:tcBorders>
          <w:top w:val="single" w:sz="8" w:space="0" w:color="20AA4D" w:themeColor="accent5"/>
          <w:left w:val="single" w:sz="8" w:space="0" w:color="20AA4D" w:themeColor="accent5"/>
          <w:bottom w:val="single" w:sz="8" w:space="0" w:color="20AA4D" w:themeColor="accent5"/>
          <w:right w:val="single" w:sz="8" w:space="0" w:color="20AA4D" w:themeColor="accent5"/>
        </w:tcBorders>
        <w:shd w:val="clear" w:color="auto" w:fill="BEF3CF" w:themeFill="accent5" w:themeFillTint="3F"/>
      </w:tcPr>
    </w:tblStylePr>
    <w:tblStylePr w:type="band1Horz">
      <w:tblPr/>
      <w:tcPr>
        <w:tcBorders>
          <w:top w:val="single" w:sz="8" w:space="0" w:color="20AA4D" w:themeColor="accent5"/>
          <w:left w:val="single" w:sz="8" w:space="0" w:color="20AA4D" w:themeColor="accent5"/>
          <w:bottom w:val="single" w:sz="8" w:space="0" w:color="20AA4D" w:themeColor="accent5"/>
          <w:right w:val="single" w:sz="8" w:space="0" w:color="20AA4D" w:themeColor="accent5"/>
          <w:insideV w:val="single" w:sz="8" w:space="0" w:color="20AA4D" w:themeColor="accent5"/>
        </w:tcBorders>
        <w:shd w:val="clear" w:color="auto" w:fill="BEF3CF" w:themeFill="accent5" w:themeFillTint="3F"/>
      </w:tcPr>
    </w:tblStylePr>
    <w:tblStylePr w:type="band2Horz">
      <w:tblPr/>
      <w:tcPr>
        <w:tcBorders>
          <w:top w:val="single" w:sz="8" w:space="0" w:color="20AA4D" w:themeColor="accent5"/>
          <w:left w:val="single" w:sz="8" w:space="0" w:color="20AA4D" w:themeColor="accent5"/>
          <w:bottom w:val="single" w:sz="8" w:space="0" w:color="20AA4D" w:themeColor="accent5"/>
          <w:right w:val="single" w:sz="8" w:space="0" w:color="20AA4D" w:themeColor="accent5"/>
          <w:insideV w:val="single" w:sz="8" w:space="0" w:color="20AA4D" w:themeColor="accent5"/>
        </w:tcBorders>
      </w:tcPr>
    </w:tblStylePr>
  </w:style>
  <w:style w:type="table" w:styleId="LightGrid-Accent6">
    <w:name w:val="Light Grid Accent 6"/>
    <w:basedOn w:val="TableNormal"/>
    <w:uiPriority w:val="62"/>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007DB6" w:themeColor="accent6"/>
        <w:left w:val="single" w:sz="8" w:space="0" w:color="007DB6" w:themeColor="accent6"/>
        <w:bottom w:val="single" w:sz="8" w:space="0" w:color="007DB6" w:themeColor="accent6"/>
        <w:right w:val="single" w:sz="8" w:space="0" w:color="007DB6" w:themeColor="accent6"/>
        <w:insideH w:val="single" w:sz="8" w:space="0" w:color="007DB6" w:themeColor="accent6"/>
        <w:insideV w:val="single" w:sz="8" w:space="0" w:color="007DB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7DB6" w:themeColor="accent6"/>
          <w:left w:val="single" w:sz="8" w:space="0" w:color="007DB6" w:themeColor="accent6"/>
          <w:bottom w:val="single" w:sz="18" w:space="0" w:color="007DB6" w:themeColor="accent6"/>
          <w:right w:val="single" w:sz="8" w:space="0" w:color="007DB6" w:themeColor="accent6"/>
          <w:insideH w:val="nil"/>
          <w:insideV w:val="single" w:sz="8" w:space="0" w:color="007DB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7DB6" w:themeColor="accent6"/>
          <w:left w:val="single" w:sz="8" w:space="0" w:color="007DB6" w:themeColor="accent6"/>
          <w:bottom w:val="single" w:sz="8" w:space="0" w:color="007DB6" w:themeColor="accent6"/>
          <w:right w:val="single" w:sz="8" w:space="0" w:color="007DB6" w:themeColor="accent6"/>
          <w:insideH w:val="nil"/>
          <w:insideV w:val="single" w:sz="8" w:space="0" w:color="007DB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7DB6" w:themeColor="accent6"/>
          <w:left w:val="single" w:sz="8" w:space="0" w:color="007DB6" w:themeColor="accent6"/>
          <w:bottom w:val="single" w:sz="8" w:space="0" w:color="007DB6" w:themeColor="accent6"/>
          <w:right w:val="single" w:sz="8" w:space="0" w:color="007DB6" w:themeColor="accent6"/>
        </w:tcBorders>
      </w:tcPr>
    </w:tblStylePr>
    <w:tblStylePr w:type="band1Vert">
      <w:tblPr/>
      <w:tcPr>
        <w:tcBorders>
          <w:top w:val="single" w:sz="8" w:space="0" w:color="007DB6" w:themeColor="accent6"/>
          <w:left w:val="single" w:sz="8" w:space="0" w:color="007DB6" w:themeColor="accent6"/>
          <w:bottom w:val="single" w:sz="8" w:space="0" w:color="007DB6" w:themeColor="accent6"/>
          <w:right w:val="single" w:sz="8" w:space="0" w:color="007DB6" w:themeColor="accent6"/>
        </w:tcBorders>
        <w:shd w:val="clear" w:color="auto" w:fill="ADE5FF" w:themeFill="accent6" w:themeFillTint="3F"/>
      </w:tcPr>
    </w:tblStylePr>
    <w:tblStylePr w:type="band1Horz">
      <w:tblPr/>
      <w:tcPr>
        <w:tcBorders>
          <w:top w:val="single" w:sz="8" w:space="0" w:color="007DB6" w:themeColor="accent6"/>
          <w:left w:val="single" w:sz="8" w:space="0" w:color="007DB6" w:themeColor="accent6"/>
          <w:bottom w:val="single" w:sz="8" w:space="0" w:color="007DB6" w:themeColor="accent6"/>
          <w:right w:val="single" w:sz="8" w:space="0" w:color="007DB6" w:themeColor="accent6"/>
          <w:insideV w:val="single" w:sz="8" w:space="0" w:color="007DB6" w:themeColor="accent6"/>
        </w:tcBorders>
        <w:shd w:val="clear" w:color="auto" w:fill="ADE5FF" w:themeFill="accent6" w:themeFillTint="3F"/>
      </w:tcPr>
    </w:tblStylePr>
    <w:tblStylePr w:type="band2Horz">
      <w:tblPr/>
      <w:tcPr>
        <w:tcBorders>
          <w:top w:val="single" w:sz="8" w:space="0" w:color="007DB6" w:themeColor="accent6"/>
          <w:left w:val="single" w:sz="8" w:space="0" w:color="007DB6" w:themeColor="accent6"/>
          <w:bottom w:val="single" w:sz="8" w:space="0" w:color="007DB6" w:themeColor="accent6"/>
          <w:right w:val="single" w:sz="8" w:space="0" w:color="007DB6" w:themeColor="accent6"/>
          <w:insideV w:val="single" w:sz="8" w:space="0" w:color="007DB6" w:themeColor="accent6"/>
        </w:tcBorders>
      </w:tcPr>
    </w:tblStylePr>
  </w:style>
  <w:style w:type="table" w:styleId="LightList">
    <w:name w:val="Light List"/>
    <w:basedOn w:val="TableNormal"/>
    <w:uiPriority w:val="61"/>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D7D8D6" w:themeColor="accent1"/>
        <w:left w:val="single" w:sz="8" w:space="0" w:color="D7D8D6" w:themeColor="accent1"/>
        <w:bottom w:val="single" w:sz="8" w:space="0" w:color="D7D8D6" w:themeColor="accent1"/>
        <w:right w:val="single" w:sz="8" w:space="0" w:color="D7D8D6" w:themeColor="accent1"/>
      </w:tblBorders>
    </w:tblPr>
    <w:tblStylePr w:type="firstRow">
      <w:pPr>
        <w:spacing w:before="0" w:after="0" w:line="240" w:lineRule="auto"/>
      </w:pPr>
      <w:rPr>
        <w:b/>
        <w:bCs/>
        <w:color w:val="FFFFFF" w:themeColor="background1"/>
      </w:rPr>
      <w:tblPr/>
      <w:tcPr>
        <w:shd w:val="clear" w:color="auto" w:fill="D7D8D6" w:themeFill="accent1"/>
      </w:tcPr>
    </w:tblStylePr>
    <w:tblStylePr w:type="lastRow">
      <w:pPr>
        <w:spacing w:before="0" w:after="0" w:line="240" w:lineRule="auto"/>
      </w:pPr>
      <w:rPr>
        <w:b/>
        <w:bCs/>
      </w:rPr>
      <w:tblPr/>
      <w:tcPr>
        <w:tcBorders>
          <w:top w:val="double" w:sz="6" w:space="0" w:color="D7D8D6" w:themeColor="accent1"/>
          <w:left w:val="single" w:sz="8" w:space="0" w:color="D7D8D6" w:themeColor="accent1"/>
          <w:bottom w:val="single" w:sz="8" w:space="0" w:color="D7D8D6" w:themeColor="accent1"/>
          <w:right w:val="single" w:sz="8" w:space="0" w:color="D7D8D6" w:themeColor="accent1"/>
        </w:tcBorders>
      </w:tcPr>
    </w:tblStylePr>
    <w:tblStylePr w:type="firstCol">
      <w:rPr>
        <w:b/>
        <w:bCs/>
      </w:rPr>
    </w:tblStylePr>
    <w:tblStylePr w:type="lastCol">
      <w:rPr>
        <w:b/>
        <w:bCs/>
      </w:rPr>
    </w:tblStylePr>
    <w:tblStylePr w:type="band1Vert">
      <w:tblPr/>
      <w:tcPr>
        <w:tcBorders>
          <w:top w:val="single" w:sz="8" w:space="0" w:color="D7D8D6" w:themeColor="accent1"/>
          <w:left w:val="single" w:sz="8" w:space="0" w:color="D7D8D6" w:themeColor="accent1"/>
          <w:bottom w:val="single" w:sz="8" w:space="0" w:color="D7D8D6" w:themeColor="accent1"/>
          <w:right w:val="single" w:sz="8" w:space="0" w:color="D7D8D6" w:themeColor="accent1"/>
        </w:tcBorders>
      </w:tcPr>
    </w:tblStylePr>
    <w:tblStylePr w:type="band1Horz">
      <w:tblPr/>
      <w:tcPr>
        <w:tcBorders>
          <w:top w:val="single" w:sz="8" w:space="0" w:color="D7D8D6" w:themeColor="accent1"/>
          <w:left w:val="single" w:sz="8" w:space="0" w:color="D7D8D6" w:themeColor="accent1"/>
          <w:bottom w:val="single" w:sz="8" w:space="0" w:color="D7D8D6" w:themeColor="accent1"/>
          <w:right w:val="single" w:sz="8" w:space="0" w:color="D7D8D6" w:themeColor="accent1"/>
        </w:tcBorders>
      </w:tcPr>
    </w:tblStylePr>
  </w:style>
  <w:style w:type="table" w:styleId="LightList-Accent2">
    <w:name w:val="Light List Accent 2"/>
    <w:basedOn w:val="TableNormal"/>
    <w:uiPriority w:val="61"/>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FFC709" w:themeColor="accent2"/>
        <w:left w:val="single" w:sz="8" w:space="0" w:color="FFC709" w:themeColor="accent2"/>
        <w:bottom w:val="single" w:sz="8" w:space="0" w:color="FFC709" w:themeColor="accent2"/>
        <w:right w:val="single" w:sz="8" w:space="0" w:color="FFC709" w:themeColor="accent2"/>
      </w:tblBorders>
    </w:tblPr>
    <w:tblStylePr w:type="firstRow">
      <w:pPr>
        <w:spacing w:before="0" w:after="0" w:line="240" w:lineRule="auto"/>
      </w:pPr>
      <w:rPr>
        <w:b/>
        <w:bCs/>
        <w:color w:val="FFFFFF" w:themeColor="background1"/>
      </w:rPr>
      <w:tblPr/>
      <w:tcPr>
        <w:shd w:val="clear" w:color="auto" w:fill="FFC709" w:themeFill="accent2"/>
      </w:tcPr>
    </w:tblStylePr>
    <w:tblStylePr w:type="lastRow">
      <w:pPr>
        <w:spacing w:before="0" w:after="0" w:line="240" w:lineRule="auto"/>
      </w:pPr>
      <w:rPr>
        <w:b/>
        <w:bCs/>
      </w:rPr>
      <w:tblPr/>
      <w:tcPr>
        <w:tcBorders>
          <w:top w:val="double" w:sz="6" w:space="0" w:color="FFC709" w:themeColor="accent2"/>
          <w:left w:val="single" w:sz="8" w:space="0" w:color="FFC709" w:themeColor="accent2"/>
          <w:bottom w:val="single" w:sz="8" w:space="0" w:color="FFC709" w:themeColor="accent2"/>
          <w:right w:val="single" w:sz="8" w:space="0" w:color="FFC709" w:themeColor="accent2"/>
        </w:tcBorders>
      </w:tcPr>
    </w:tblStylePr>
    <w:tblStylePr w:type="firstCol">
      <w:rPr>
        <w:b/>
        <w:bCs/>
      </w:rPr>
    </w:tblStylePr>
    <w:tblStylePr w:type="lastCol">
      <w:rPr>
        <w:b/>
        <w:bCs/>
      </w:rPr>
    </w:tblStylePr>
    <w:tblStylePr w:type="band1Vert">
      <w:tblPr/>
      <w:tcPr>
        <w:tcBorders>
          <w:top w:val="single" w:sz="8" w:space="0" w:color="FFC709" w:themeColor="accent2"/>
          <w:left w:val="single" w:sz="8" w:space="0" w:color="FFC709" w:themeColor="accent2"/>
          <w:bottom w:val="single" w:sz="8" w:space="0" w:color="FFC709" w:themeColor="accent2"/>
          <w:right w:val="single" w:sz="8" w:space="0" w:color="FFC709" w:themeColor="accent2"/>
        </w:tcBorders>
      </w:tcPr>
    </w:tblStylePr>
    <w:tblStylePr w:type="band1Horz">
      <w:tblPr/>
      <w:tcPr>
        <w:tcBorders>
          <w:top w:val="single" w:sz="8" w:space="0" w:color="FFC709" w:themeColor="accent2"/>
          <w:left w:val="single" w:sz="8" w:space="0" w:color="FFC709" w:themeColor="accent2"/>
          <w:bottom w:val="single" w:sz="8" w:space="0" w:color="FFC709" w:themeColor="accent2"/>
          <w:right w:val="single" w:sz="8" w:space="0" w:color="FFC709" w:themeColor="accent2"/>
        </w:tcBorders>
      </w:tcPr>
    </w:tblStylePr>
  </w:style>
  <w:style w:type="table" w:styleId="LightList-Accent3">
    <w:name w:val="Light List Accent 3"/>
    <w:basedOn w:val="TableNormal"/>
    <w:uiPriority w:val="61"/>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CD163F" w:themeColor="accent3"/>
        <w:left w:val="single" w:sz="8" w:space="0" w:color="CD163F" w:themeColor="accent3"/>
        <w:bottom w:val="single" w:sz="8" w:space="0" w:color="CD163F" w:themeColor="accent3"/>
        <w:right w:val="single" w:sz="8" w:space="0" w:color="CD163F" w:themeColor="accent3"/>
      </w:tblBorders>
    </w:tblPr>
    <w:tblStylePr w:type="firstRow">
      <w:pPr>
        <w:spacing w:before="0" w:after="0" w:line="240" w:lineRule="auto"/>
      </w:pPr>
      <w:rPr>
        <w:b/>
        <w:bCs/>
        <w:color w:val="FFFFFF" w:themeColor="background1"/>
      </w:rPr>
      <w:tblPr/>
      <w:tcPr>
        <w:shd w:val="clear" w:color="auto" w:fill="CD163F" w:themeFill="accent3"/>
      </w:tcPr>
    </w:tblStylePr>
    <w:tblStylePr w:type="lastRow">
      <w:pPr>
        <w:spacing w:before="0" w:after="0" w:line="240" w:lineRule="auto"/>
      </w:pPr>
      <w:rPr>
        <w:b/>
        <w:bCs/>
      </w:rPr>
      <w:tblPr/>
      <w:tcPr>
        <w:tcBorders>
          <w:top w:val="double" w:sz="6" w:space="0" w:color="CD163F" w:themeColor="accent3"/>
          <w:left w:val="single" w:sz="8" w:space="0" w:color="CD163F" w:themeColor="accent3"/>
          <w:bottom w:val="single" w:sz="8" w:space="0" w:color="CD163F" w:themeColor="accent3"/>
          <w:right w:val="single" w:sz="8" w:space="0" w:color="CD163F" w:themeColor="accent3"/>
        </w:tcBorders>
      </w:tcPr>
    </w:tblStylePr>
    <w:tblStylePr w:type="firstCol">
      <w:rPr>
        <w:b/>
        <w:bCs/>
      </w:rPr>
    </w:tblStylePr>
    <w:tblStylePr w:type="lastCol">
      <w:rPr>
        <w:b/>
        <w:bCs/>
      </w:rPr>
    </w:tblStylePr>
    <w:tblStylePr w:type="band1Vert">
      <w:tblPr/>
      <w:tcPr>
        <w:tcBorders>
          <w:top w:val="single" w:sz="8" w:space="0" w:color="CD163F" w:themeColor="accent3"/>
          <w:left w:val="single" w:sz="8" w:space="0" w:color="CD163F" w:themeColor="accent3"/>
          <w:bottom w:val="single" w:sz="8" w:space="0" w:color="CD163F" w:themeColor="accent3"/>
          <w:right w:val="single" w:sz="8" w:space="0" w:color="CD163F" w:themeColor="accent3"/>
        </w:tcBorders>
      </w:tcPr>
    </w:tblStylePr>
    <w:tblStylePr w:type="band1Horz">
      <w:tblPr/>
      <w:tcPr>
        <w:tcBorders>
          <w:top w:val="single" w:sz="8" w:space="0" w:color="CD163F" w:themeColor="accent3"/>
          <w:left w:val="single" w:sz="8" w:space="0" w:color="CD163F" w:themeColor="accent3"/>
          <w:bottom w:val="single" w:sz="8" w:space="0" w:color="CD163F" w:themeColor="accent3"/>
          <w:right w:val="single" w:sz="8" w:space="0" w:color="CD163F" w:themeColor="accent3"/>
        </w:tcBorders>
      </w:tcPr>
    </w:tblStylePr>
  </w:style>
  <w:style w:type="table" w:styleId="LightList-Accent4">
    <w:name w:val="Light List Accent 4"/>
    <w:basedOn w:val="TableNormal"/>
    <w:uiPriority w:val="61"/>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692686" w:themeColor="accent4"/>
        <w:left w:val="single" w:sz="8" w:space="0" w:color="692686" w:themeColor="accent4"/>
        <w:bottom w:val="single" w:sz="8" w:space="0" w:color="692686" w:themeColor="accent4"/>
        <w:right w:val="single" w:sz="8" w:space="0" w:color="692686" w:themeColor="accent4"/>
      </w:tblBorders>
    </w:tblPr>
    <w:tblStylePr w:type="firstRow">
      <w:pPr>
        <w:spacing w:before="0" w:after="0" w:line="240" w:lineRule="auto"/>
      </w:pPr>
      <w:rPr>
        <w:b/>
        <w:bCs/>
        <w:color w:val="FFFFFF" w:themeColor="background1"/>
      </w:rPr>
      <w:tblPr/>
      <w:tcPr>
        <w:shd w:val="clear" w:color="auto" w:fill="692686" w:themeFill="accent4"/>
      </w:tcPr>
    </w:tblStylePr>
    <w:tblStylePr w:type="lastRow">
      <w:pPr>
        <w:spacing w:before="0" w:after="0" w:line="240" w:lineRule="auto"/>
      </w:pPr>
      <w:rPr>
        <w:b/>
        <w:bCs/>
      </w:rPr>
      <w:tblPr/>
      <w:tcPr>
        <w:tcBorders>
          <w:top w:val="double" w:sz="6" w:space="0" w:color="692686" w:themeColor="accent4"/>
          <w:left w:val="single" w:sz="8" w:space="0" w:color="692686" w:themeColor="accent4"/>
          <w:bottom w:val="single" w:sz="8" w:space="0" w:color="692686" w:themeColor="accent4"/>
          <w:right w:val="single" w:sz="8" w:space="0" w:color="692686" w:themeColor="accent4"/>
        </w:tcBorders>
      </w:tcPr>
    </w:tblStylePr>
    <w:tblStylePr w:type="firstCol">
      <w:rPr>
        <w:b/>
        <w:bCs/>
      </w:rPr>
    </w:tblStylePr>
    <w:tblStylePr w:type="lastCol">
      <w:rPr>
        <w:b/>
        <w:bCs/>
      </w:rPr>
    </w:tblStylePr>
    <w:tblStylePr w:type="band1Vert">
      <w:tblPr/>
      <w:tcPr>
        <w:tcBorders>
          <w:top w:val="single" w:sz="8" w:space="0" w:color="692686" w:themeColor="accent4"/>
          <w:left w:val="single" w:sz="8" w:space="0" w:color="692686" w:themeColor="accent4"/>
          <w:bottom w:val="single" w:sz="8" w:space="0" w:color="692686" w:themeColor="accent4"/>
          <w:right w:val="single" w:sz="8" w:space="0" w:color="692686" w:themeColor="accent4"/>
        </w:tcBorders>
      </w:tcPr>
    </w:tblStylePr>
    <w:tblStylePr w:type="band1Horz">
      <w:tblPr/>
      <w:tcPr>
        <w:tcBorders>
          <w:top w:val="single" w:sz="8" w:space="0" w:color="692686" w:themeColor="accent4"/>
          <w:left w:val="single" w:sz="8" w:space="0" w:color="692686" w:themeColor="accent4"/>
          <w:bottom w:val="single" w:sz="8" w:space="0" w:color="692686" w:themeColor="accent4"/>
          <w:right w:val="single" w:sz="8" w:space="0" w:color="692686" w:themeColor="accent4"/>
        </w:tcBorders>
      </w:tcPr>
    </w:tblStylePr>
  </w:style>
  <w:style w:type="table" w:styleId="LightList-Accent5">
    <w:name w:val="Light List Accent 5"/>
    <w:basedOn w:val="TableNormal"/>
    <w:uiPriority w:val="61"/>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20AA4D" w:themeColor="accent5"/>
        <w:left w:val="single" w:sz="8" w:space="0" w:color="20AA4D" w:themeColor="accent5"/>
        <w:bottom w:val="single" w:sz="8" w:space="0" w:color="20AA4D" w:themeColor="accent5"/>
        <w:right w:val="single" w:sz="8" w:space="0" w:color="20AA4D" w:themeColor="accent5"/>
      </w:tblBorders>
    </w:tblPr>
    <w:tblStylePr w:type="firstRow">
      <w:pPr>
        <w:spacing w:before="0" w:after="0" w:line="240" w:lineRule="auto"/>
      </w:pPr>
      <w:rPr>
        <w:b/>
        <w:bCs/>
        <w:color w:val="FFFFFF" w:themeColor="background1"/>
      </w:rPr>
      <w:tblPr/>
      <w:tcPr>
        <w:shd w:val="clear" w:color="auto" w:fill="20AA4D" w:themeFill="accent5"/>
      </w:tcPr>
    </w:tblStylePr>
    <w:tblStylePr w:type="lastRow">
      <w:pPr>
        <w:spacing w:before="0" w:after="0" w:line="240" w:lineRule="auto"/>
      </w:pPr>
      <w:rPr>
        <w:b/>
        <w:bCs/>
      </w:rPr>
      <w:tblPr/>
      <w:tcPr>
        <w:tcBorders>
          <w:top w:val="double" w:sz="6" w:space="0" w:color="20AA4D" w:themeColor="accent5"/>
          <w:left w:val="single" w:sz="8" w:space="0" w:color="20AA4D" w:themeColor="accent5"/>
          <w:bottom w:val="single" w:sz="8" w:space="0" w:color="20AA4D" w:themeColor="accent5"/>
          <w:right w:val="single" w:sz="8" w:space="0" w:color="20AA4D" w:themeColor="accent5"/>
        </w:tcBorders>
      </w:tcPr>
    </w:tblStylePr>
    <w:tblStylePr w:type="firstCol">
      <w:rPr>
        <w:b/>
        <w:bCs/>
      </w:rPr>
    </w:tblStylePr>
    <w:tblStylePr w:type="lastCol">
      <w:rPr>
        <w:b/>
        <w:bCs/>
      </w:rPr>
    </w:tblStylePr>
    <w:tblStylePr w:type="band1Vert">
      <w:tblPr/>
      <w:tcPr>
        <w:tcBorders>
          <w:top w:val="single" w:sz="8" w:space="0" w:color="20AA4D" w:themeColor="accent5"/>
          <w:left w:val="single" w:sz="8" w:space="0" w:color="20AA4D" w:themeColor="accent5"/>
          <w:bottom w:val="single" w:sz="8" w:space="0" w:color="20AA4D" w:themeColor="accent5"/>
          <w:right w:val="single" w:sz="8" w:space="0" w:color="20AA4D" w:themeColor="accent5"/>
        </w:tcBorders>
      </w:tcPr>
    </w:tblStylePr>
    <w:tblStylePr w:type="band1Horz">
      <w:tblPr/>
      <w:tcPr>
        <w:tcBorders>
          <w:top w:val="single" w:sz="8" w:space="0" w:color="20AA4D" w:themeColor="accent5"/>
          <w:left w:val="single" w:sz="8" w:space="0" w:color="20AA4D" w:themeColor="accent5"/>
          <w:bottom w:val="single" w:sz="8" w:space="0" w:color="20AA4D" w:themeColor="accent5"/>
          <w:right w:val="single" w:sz="8" w:space="0" w:color="20AA4D" w:themeColor="accent5"/>
        </w:tcBorders>
      </w:tcPr>
    </w:tblStylePr>
  </w:style>
  <w:style w:type="table" w:styleId="LightList-Accent6">
    <w:name w:val="Light List Accent 6"/>
    <w:basedOn w:val="TableNormal"/>
    <w:uiPriority w:val="61"/>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007DB6" w:themeColor="accent6"/>
        <w:left w:val="single" w:sz="8" w:space="0" w:color="007DB6" w:themeColor="accent6"/>
        <w:bottom w:val="single" w:sz="8" w:space="0" w:color="007DB6" w:themeColor="accent6"/>
        <w:right w:val="single" w:sz="8" w:space="0" w:color="007DB6" w:themeColor="accent6"/>
      </w:tblBorders>
    </w:tblPr>
    <w:tblStylePr w:type="firstRow">
      <w:pPr>
        <w:spacing w:before="0" w:after="0" w:line="240" w:lineRule="auto"/>
      </w:pPr>
      <w:rPr>
        <w:b/>
        <w:bCs/>
        <w:color w:val="FFFFFF" w:themeColor="background1"/>
      </w:rPr>
      <w:tblPr/>
      <w:tcPr>
        <w:shd w:val="clear" w:color="auto" w:fill="007DB6" w:themeFill="accent6"/>
      </w:tcPr>
    </w:tblStylePr>
    <w:tblStylePr w:type="lastRow">
      <w:pPr>
        <w:spacing w:before="0" w:after="0" w:line="240" w:lineRule="auto"/>
      </w:pPr>
      <w:rPr>
        <w:b/>
        <w:bCs/>
      </w:rPr>
      <w:tblPr/>
      <w:tcPr>
        <w:tcBorders>
          <w:top w:val="double" w:sz="6" w:space="0" w:color="007DB6" w:themeColor="accent6"/>
          <w:left w:val="single" w:sz="8" w:space="0" w:color="007DB6" w:themeColor="accent6"/>
          <w:bottom w:val="single" w:sz="8" w:space="0" w:color="007DB6" w:themeColor="accent6"/>
          <w:right w:val="single" w:sz="8" w:space="0" w:color="007DB6" w:themeColor="accent6"/>
        </w:tcBorders>
      </w:tcPr>
    </w:tblStylePr>
    <w:tblStylePr w:type="firstCol">
      <w:rPr>
        <w:b/>
        <w:bCs/>
      </w:rPr>
    </w:tblStylePr>
    <w:tblStylePr w:type="lastCol">
      <w:rPr>
        <w:b/>
        <w:bCs/>
      </w:rPr>
    </w:tblStylePr>
    <w:tblStylePr w:type="band1Vert">
      <w:tblPr/>
      <w:tcPr>
        <w:tcBorders>
          <w:top w:val="single" w:sz="8" w:space="0" w:color="007DB6" w:themeColor="accent6"/>
          <w:left w:val="single" w:sz="8" w:space="0" w:color="007DB6" w:themeColor="accent6"/>
          <w:bottom w:val="single" w:sz="8" w:space="0" w:color="007DB6" w:themeColor="accent6"/>
          <w:right w:val="single" w:sz="8" w:space="0" w:color="007DB6" w:themeColor="accent6"/>
        </w:tcBorders>
      </w:tcPr>
    </w:tblStylePr>
    <w:tblStylePr w:type="band1Horz">
      <w:tblPr/>
      <w:tcPr>
        <w:tcBorders>
          <w:top w:val="single" w:sz="8" w:space="0" w:color="007DB6" w:themeColor="accent6"/>
          <w:left w:val="single" w:sz="8" w:space="0" w:color="007DB6" w:themeColor="accent6"/>
          <w:bottom w:val="single" w:sz="8" w:space="0" w:color="007DB6" w:themeColor="accent6"/>
          <w:right w:val="single" w:sz="8" w:space="0" w:color="007DB6" w:themeColor="accent6"/>
        </w:tcBorders>
      </w:tcPr>
    </w:tblStylePr>
  </w:style>
  <w:style w:type="table" w:styleId="LightShading">
    <w:name w:val="Light Shading"/>
    <w:basedOn w:val="TableNormal"/>
    <w:uiPriority w:val="60"/>
    <w:unhideWhenUsed/>
    <w:rsid w:val="009D2459"/>
    <w:pPr>
      <w:spacing w:after="0" w:line="240" w:lineRule="auto"/>
    </w:pPr>
    <w:rPr>
      <w:rFonts w:eastAsia="Times New Roman" w:cs="Times New Roman"/>
      <w:color w:val="000000" w:themeColor="text1" w:themeShade="BF"/>
      <w:sz w:val="20"/>
      <w:szCs w:val="20"/>
      <w:lang w:eastAsia="en-AU"/>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2">
    <w:name w:val="Light Shading Accent 2"/>
    <w:basedOn w:val="TableNormal"/>
    <w:uiPriority w:val="60"/>
    <w:semiHidden/>
    <w:unhideWhenUsed/>
    <w:rsid w:val="009D2459"/>
    <w:pPr>
      <w:spacing w:after="0" w:line="240" w:lineRule="auto"/>
    </w:pPr>
    <w:rPr>
      <w:rFonts w:eastAsia="Times New Roman" w:cs="Times New Roman"/>
      <w:color w:val="C59700" w:themeColor="accent2" w:themeShade="BF"/>
      <w:sz w:val="20"/>
      <w:szCs w:val="20"/>
      <w:lang w:eastAsia="en-AU"/>
    </w:rPr>
    <w:tblPr>
      <w:tblStyleRowBandSize w:val="1"/>
      <w:tblStyleColBandSize w:val="1"/>
      <w:tblBorders>
        <w:top w:val="single" w:sz="8" w:space="0" w:color="FFC709" w:themeColor="accent2"/>
        <w:bottom w:val="single" w:sz="8" w:space="0" w:color="FFC709" w:themeColor="accent2"/>
      </w:tblBorders>
    </w:tblPr>
    <w:tblStylePr w:type="firstRow">
      <w:pPr>
        <w:spacing w:before="0" w:after="0" w:line="240" w:lineRule="auto"/>
      </w:pPr>
      <w:rPr>
        <w:b/>
        <w:bCs/>
      </w:rPr>
      <w:tblPr/>
      <w:tcPr>
        <w:tcBorders>
          <w:top w:val="single" w:sz="8" w:space="0" w:color="FFC709" w:themeColor="accent2"/>
          <w:left w:val="nil"/>
          <w:bottom w:val="single" w:sz="8" w:space="0" w:color="FFC709" w:themeColor="accent2"/>
          <w:right w:val="nil"/>
          <w:insideH w:val="nil"/>
          <w:insideV w:val="nil"/>
        </w:tcBorders>
      </w:tcPr>
    </w:tblStylePr>
    <w:tblStylePr w:type="lastRow">
      <w:pPr>
        <w:spacing w:before="0" w:after="0" w:line="240" w:lineRule="auto"/>
      </w:pPr>
      <w:rPr>
        <w:b/>
        <w:bCs/>
      </w:rPr>
      <w:tblPr/>
      <w:tcPr>
        <w:tcBorders>
          <w:top w:val="single" w:sz="8" w:space="0" w:color="FFC709" w:themeColor="accent2"/>
          <w:left w:val="nil"/>
          <w:bottom w:val="single" w:sz="8" w:space="0" w:color="FFC70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0C2" w:themeFill="accent2" w:themeFillTint="3F"/>
      </w:tcPr>
    </w:tblStylePr>
    <w:tblStylePr w:type="band1Horz">
      <w:tblPr/>
      <w:tcPr>
        <w:tcBorders>
          <w:left w:val="nil"/>
          <w:right w:val="nil"/>
          <w:insideH w:val="nil"/>
          <w:insideV w:val="nil"/>
        </w:tcBorders>
        <w:shd w:val="clear" w:color="auto" w:fill="FFF0C2" w:themeFill="accent2" w:themeFillTint="3F"/>
      </w:tcPr>
    </w:tblStylePr>
  </w:style>
  <w:style w:type="table" w:styleId="LightShading-Accent3">
    <w:name w:val="Light Shading Accent 3"/>
    <w:basedOn w:val="TableNormal"/>
    <w:uiPriority w:val="60"/>
    <w:semiHidden/>
    <w:unhideWhenUsed/>
    <w:rsid w:val="009D2459"/>
    <w:pPr>
      <w:spacing w:after="0" w:line="240" w:lineRule="auto"/>
    </w:pPr>
    <w:rPr>
      <w:rFonts w:eastAsia="Times New Roman" w:cs="Times New Roman"/>
      <w:color w:val="99102F" w:themeColor="accent3" w:themeShade="BF"/>
      <w:sz w:val="20"/>
      <w:szCs w:val="20"/>
      <w:lang w:eastAsia="en-AU"/>
    </w:rPr>
    <w:tblPr>
      <w:tblStyleRowBandSize w:val="1"/>
      <w:tblStyleColBandSize w:val="1"/>
      <w:tblBorders>
        <w:top w:val="single" w:sz="8" w:space="0" w:color="CD163F" w:themeColor="accent3"/>
        <w:bottom w:val="single" w:sz="8" w:space="0" w:color="CD163F" w:themeColor="accent3"/>
      </w:tblBorders>
    </w:tblPr>
    <w:tblStylePr w:type="firstRow">
      <w:pPr>
        <w:spacing w:before="0" w:after="0" w:line="240" w:lineRule="auto"/>
      </w:pPr>
      <w:rPr>
        <w:b/>
        <w:bCs/>
      </w:rPr>
      <w:tblPr/>
      <w:tcPr>
        <w:tcBorders>
          <w:top w:val="single" w:sz="8" w:space="0" w:color="CD163F" w:themeColor="accent3"/>
          <w:left w:val="nil"/>
          <w:bottom w:val="single" w:sz="8" w:space="0" w:color="CD163F" w:themeColor="accent3"/>
          <w:right w:val="nil"/>
          <w:insideH w:val="nil"/>
          <w:insideV w:val="nil"/>
        </w:tcBorders>
      </w:tcPr>
    </w:tblStylePr>
    <w:tblStylePr w:type="lastRow">
      <w:pPr>
        <w:spacing w:before="0" w:after="0" w:line="240" w:lineRule="auto"/>
      </w:pPr>
      <w:rPr>
        <w:b/>
        <w:bCs/>
      </w:rPr>
      <w:tblPr/>
      <w:tcPr>
        <w:tcBorders>
          <w:top w:val="single" w:sz="8" w:space="0" w:color="CD163F" w:themeColor="accent3"/>
          <w:left w:val="nil"/>
          <w:bottom w:val="single" w:sz="8" w:space="0" w:color="CD163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8BFCC" w:themeFill="accent3" w:themeFillTint="3F"/>
      </w:tcPr>
    </w:tblStylePr>
    <w:tblStylePr w:type="band1Horz">
      <w:tblPr/>
      <w:tcPr>
        <w:tcBorders>
          <w:left w:val="nil"/>
          <w:right w:val="nil"/>
          <w:insideH w:val="nil"/>
          <w:insideV w:val="nil"/>
        </w:tcBorders>
        <w:shd w:val="clear" w:color="auto" w:fill="F8BFCC" w:themeFill="accent3" w:themeFillTint="3F"/>
      </w:tcPr>
    </w:tblStylePr>
  </w:style>
  <w:style w:type="table" w:styleId="LightShading-Accent4">
    <w:name w:val="Light Shading Accent 4"/>
    <w:basedOn w:val="TableNormal"/>
    <w:uiPriority w:val="60"/>
    <w:semiHidden/>
    <w:unhideWhenUsed/>
    <w:rsid w:val="009D2459"/>
    <w:pPr>
      <w:spacing w:after="0" w:line="240" w:lineRule="auto"/>
    </w:pPr>
    <w:rPr>
      <w:rFonts w:eastAsia="Times New Roman" w:cs="Times New Roman"/>
      <w:color w:val="4E1C64" w:themeColor="accent4" w:themeShade="BF"/>
      <w:sz w:val="20"/>
      <w:szCs w:val="20"/>
      <w:lang w:eastAsia="en-AU"/>
    </w:rPr>
    <w:tblPr>
      <w:tblStyleRowBandSize w:val="1"/>
      <w:tblStyleColBandSize w:val="1"/>
      <w:tblBorders>
        <w:top w:val="single" w:sz="8" w:space="0" w:color="692686" w:themeColor="accent4"/>
        <w:bottom w:val="single" w:sz="8" w:space="0" w:color="692686" w:themeColor="accent4"/>
      </w:tblBorders>
    </w:tblPr>
    <w:tblStylePr w:type="firstRow">
      <w:pPr>
        <w:spacing w:before="0" w:after="0" w:line="240" w:lineRule="auto"/>
      </w:pPr>
      <w:rPr>
        <w:b/>
        <w:bCs/>
      </w:rPr>
      <w:tblPr/>
      <w:tcPr>
        <w:tcBorders>
          <w:top w:val="single" w:sz="8" w:space="0" w:color="692686" w:themeColor="accent4"/>
          <w:left w:val="nil"/>
          <w:bottom w:val="single" w:sz="8" w:space="0" w:color="692686" w:themeColor="accent4"/>
          <w:right w:val="nil"/>
          <w:insideH w:val="nil"/>
          <w:insideV w:val="nil"/>
        </w:tcBorders>
      </w:tcPr>
    </w:tblStylePr>
    <w:tblStylePr w:type="lastRow">
      <w:pPr>
        <w:spacing w:before="0" w:after="0" w:line="240" w:lineRule="auto"/>
      </w:pPr>
      <w:rPr>
        <w:b/>
        <w:bCs/>
      </w:rPr>
      <w:tblPr/>
      <w:tcPr>
        <w:tcBorders>
          <w:top w:val="single" w:sz="8" w:space="0" w:color="692686" w:themeColor="accent4"/>
          <w:left w:val="nil"/>
          <w:bottom w:val="single" w:sz="8" w:space="0" w:color="692686"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EBDEC" w:themeFill="accent4" w:themeFillTint="3F"/>
      </w:tcPr>
    </w:tblStylePr>
    <w:tblStylePr w:type="band1Horz">
      <w:tblPr/>
      <w:tcPr>
        <w:tcBorders>
          <w:left w:val="nil"/>
          <w:right w:val="nil"/>
          <w:insideH w:val="nil"/>
          <w:insideV w:val="nil"/>
        </w:tcBorders>
        <w:shd w:val="clear" w:color="auto" w:fill="DEBDEC" w:themeFill="accent4" w:themeFillTint="3F"/>
      </w:tcPr>
    </w:tblStylePr>
  </w:style>
  <w:style w:type="table" w:styleId="LightShading-Accent5">
    <w:name w:val="Light Shading Accent 5"/>
    <w:basedOn w:val="TableNormal"/>
    <w:uiPriority w:val="60"/>
    <w:semiHidden/>
    <w:unhideWhenUsed/>
    <w:rsid w:val="009D2459"/>
    <w:pPr>
      <w:spacing w:after="0" w:line="240" w:lineRule="auto"/>
    </w:pPr>
    <w:rPr>
      <w:rFonts w:eastAsia="Times New Roman" w:cs="Times New Roman"/>
      <w:color w:val="187F39" w:themeColor="accent5" w:themeShade="BF"/>
      <w:sz w:val="20"/>
      <w:szCs w:val="20"/>
      <w:lang w:eastAsia="en-AU"/>
    </w:rPr>
    <w:tblPr>
      <w:tblStyleRowBandSize w:val="1"/>
      <w:tblStyleColBandSize w:val="1"/>
      <w:tblBorders>
        <w:top w:val="single" w:sz="8" w:space="0" w:color="20AA4D" w:themeColor="accent5"/>
        <w:bottom w:val="single" w:sz="8" w:space="0" w:color="20AA4D" w:themeColor="accent5"/>
      </w:tblBorders>
    </w:tblPr>
    <w:tblStylePr w:type="firstRow">
      <w:pPr>
        <w:spacing w:before="0" w:after="0" w:line="240" w:lineRule="auto"/>
      </w:pPr>
      <w:rPr>
        <w:b/>
        <w:bCs/>
      </w:rPr>
      <w:tblPr/>
      <w:tcPr>
        <w:tcBorders>
          <w:top w:val="single" w:sz="8" w:space="0" w:color="20AA4D" w:themeColor="accent5"/>
          <w:left w:val="nil"/>
          <w:bottom w:val="single" w:sz="8" w:space="0" w:color="20AA4D" w:themeColor="accent5"/>
          <w:right w:val="nil"/>
          <w:insideH w:val="nil"/>
          <w:insideV w:val="nil"/>
        </w:tcBorders>
      </w:tcPr>
    </w:tblStylePr>
    <w:tblStylePr w:type="lastRow">
      <w:pPr>
        <w:spacing w:before="0" w:after="0" w:line="240" w:lineRule="auto"/>
      </w:pPr>
      <w:rPr>
        <w:b/>
        <w:bCs/>
      </w:rPr>
      <w:tblPr/>
      <w:tcPr>
        <w:tcBorders>
          <w:top w:val="single" w:sz="8" w:space="0" w:color="20AA4D" w:themeColor="accent5"/>
          <w:left w:val="nil"/>
          <w:bottom w:val="single" w:sz="8" w:space="0" w:color="20AA4D"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EF3CF" w:themeFill="accent5" w:themeFillTint="3F"/>
      </w:tcPr>
    </w:tblStylePr>
    <w:tblStylePr w:type="band1Horz">
      <w:tblPr/>
      <w:tcPr>
        <w:tcBorders>
          <w:left w:val="nil"/>
          <w:right w:val="nil"/>
          <w:insideH w:val="nil"/>
          <w:insideV w:val="nil"/>
        </w:tcBorders>
        <w:shd w:val="clear" w:color="auto" w:fill="BEF3CF" w:themeFill="accent5" w:themeFillTint="3F"/>
      </w:tcPr>
    </w:tblStylePr>
  </w:style>
  <w:style w:type="table" w:styleId="LightShading-Accent6">
    <w:name w:val="Light Shading Accent 6"/>
    <w:basedOn w:val="TableNormal"/>
    <w:uiPriority w:val="60"/>
    <w:semiHidden/>
    <w:unhideWhenUsed/>
    <w:rsid w:val="009D2459"/>
    <w:pPr>
      <w:spacing w:after="0" w:line="240" w:lineRule="auto"/>
    </w:pPr>
    <w:rPr>
      <w:rFonts w:eastAsia="Times New Roman" w:cs="Times New Roman"/>
      <w:color w:val="005D88" w:themeColor="accent6" w:themeShade="BF"/>
      <w:sz w:val="20"/>
      <w:szCs w:val="20"/>
      <w:lang w:eastAsia="en-AU"/>
    </w:rPr>
    <w:tblPr>
      <w:tblStyleRowBandSize w:val="1"/>
      <w:tblStyleColBandSize w:val="1"/>
      <w:tblBorders>
        <w:top w:val="single" w:sz="8" w:space="0" w:color="007DB6" w:themeColor="accent6"/>
        <w:bottom w:val="single" w:sz="8" w:space="0" w:color="007DB6" w:themeColor="accent6"/>
      </w:tblBorders>
    </w:tblPr>
    <w:tblStylePr w:type="firstRow">
      <w:pPr>
        <w:spacing w:before="0" w:after="0" w:line="240" w:lineRule="auto"/>
      </w:pPr>
      <w:rPr>
        <w:b/>
        <w:bCs/>
      </w:rPr>
      <w:tblPr/>
      <w:tcPr>
        <w:tcBorders>
          <w:top w:val="single" w:sz="8" w:space="0" w:color="007DB6" w:themeColor="accent6"/>
          <w:left w:val="nil"/>
          <w:bottom w:val="single" w:sz="8" w:space="0" w:color="007DB6" w:themeColor="accent6"/>
          <w:right w:val="nil"/>
          <w:insideH w:val="nil"/>
          <w:insideV w:val="nil"/>
        </w:tcBorders>
      </w:tcPr>
    </w:tblStylePr>
    <w:tblStylePr w:type="lastRow">
      <w:pPr>
        <w:spacing w:before="0" w:after="0" w:line="240" w:lineRule="auto"/>
      </w:pPr>
      <w:rPr>
        <w:b/>
        <w:bCs/>
      </w:rPr>
      <w:tblPr/>
      <w:tcPr>
        <w:tcBorders>
          <w:top w:val="single" w:sz="8" w:space="0" w:color="007DB6" w:themeColor="accent6"/>
          <w:left w:val="nil"/>
          <w:bottom w:val="single" w:sz="8" w:space="0" w:color="007DB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DE5FF" w:themeFill="accent6" w:themeFillTint="3F"/>
      </w:tcPr>
    </w:tblStylePr>
    <w:tblStylePr w:type="band1Horz">
      <w:tblPr/>
      <w:tcPr>
        <w:tcBorders>
          <w:left w:val="nil"/>
          <w:right w:val="nil"/>
          <w:insideH w:val="nil"/>
          <w:insideV w:val="nil"/>
        </w:tcBorders>
        <w:shd w:val="clear" w:color="auto" w:fill="ADE5FF" w:themeFill="accent6" w:themeFillTint="3F"/>
      </w:tcPr>
    </w:tblStylePr>
  </w:style>
  <w:style w:type="character" w:styleId="LineNumber">
    <w:name w:val="line number"/>
    <w:basedOn w:val="DefaultParagraphFont"/>
    <w:semiHidden/>
    <w:unhideWhenUsed/>
    <w:rsid w:val="009D2459"/>
  </w:style>
  <w:style w:type="table" w:styleId="ListTable1Light">
    <w:name w:val="List Table 1 Light"/>
    <w:basedOn w:val="TableNormal"/>
    <w:uiPriority w:val="46"/>
    <w:rsid w:val="009D2459"/>
    <w:pPr>
      <w:spacing w:after="0" w:line="240" w:lineRule="auto"/>
    </w:pPr>
    <w:rPr>
      <w:rFonts w:eastAsia="Times New Roman" w:cs="Times New Roman"/>
      <w:sz w:val="20"/>
      <w:szCs w:val="20"/>
      <w:lang w:eastAsia="en-AU"/>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9D2459"/>
    <w:pPr>
      <w:spacing w:after="0" w:line="240" w:lineRule="auto"/>
    </w:pPr>
    <w:rPr>
      <w:rFonts w:eastAsia="Times New Roman" w:cs="Times New Roman"/>
      <w:sz w:val="20"/>
      <w:szCs w:val="20"/>
      <w:lang w:eastAsia="en-AU"/>
    </w:rPr>
    <w:tblPr>
      <w:tblStyleRowBandSize w:val="1"/>
      <w:tblStyleColBandSize w:val="1"/>
    </w:tblPr>
    <w:tblStylePr w:type="firstRow">
      <w:rPr>
        <w:b/>
        <w:bCs/>
      </w:rPr>
      <w:tblPr/>
      <w:tcPr>
        <w:tcBorders>
          <w:bottom w:val="single" w:sz="4" w:space="0" w:color="E6E7E6" w:themeColor="accent1" w:themeTint="99"/>
        </w:tcBorders>
      </w:tcPr>
    </w:tblStylePr>
    <w:tblStylePr w:type="lastRow">
      <w:rPr>
        <w:b/>
        <w:bCs/>
      </w:rPr>
      <w:tblPr/>
      <w:tcPr>
        <w:tcBorders>
          <w:top w:val="single" w:sz="4" w:space="0" w:color="E6E7E6" w:themeColor="accent1" w:themeTint="99"/>
        </w:tcBorders>
      </w:tcPr>
    </w:tblStylePr>
    <w:tblStylePr w:type="firstCol">
      <w:rPr>
        <w:b/>
        <w:bCs/>
      </w:rPr>
    </w:tblStylePr>
    <w:tblStylePr w:type="lastCol">
      <w:rPr>
        <w:b/>
        <w:bCs/>
      </w:rPr>
    </w:tblStylePr>
    <w:tblStylePr w:type="band1Vert">
      <w:tblPr/>
      <w:tcPr>
        <w:shd w:val="clear" w:color="auto" w:fill="F6F7F6" w:themeFill="accent1" w:themeFillTint="33"/>
      </w:tcPr>
    </w:tblStylePr>
    <w:tblStylePr w:type="band1Horz">
      <w:tblPr/>
      <w:tcPr>
        <w:shd w:val="clear" w:color="auto" w:fill="F6F7F6" w:themeFill="accent1" w:themeFillTint="33"/>
      </w:tcPr>
    </w:tblStylePr>
  </w:style>
  <w:style w:type="table" w:styleId="ListTable1Light-Accent2">
    <w:name w:val="List Table 1 Light Accent 2"/>
    <w:basedOn w:val="TableNormal"/>
    <w:uiPriority w:val="46"/>
    <w:rsid w:val="009D2459"/>
    <w:pPr>
      <w:spacing w:after="0" w:line="240" w:lineRule="auto"/>
    </w:pPr>
    <w:rPr>
      <w:rFonts w:eastAsia="Times New Roman" w:cs="Times New Roman"/>
      <w:sz w:val="20"/>
      <w:szCs w:val="20"/>
      <w:lang w:eastAsia="en-AU"/>
    </w:rPr>
    <w:tblPr>
      <w:tblStyleRowBandSize w:val="1"/>
      <w:tblStyleColBandSize w:val="1"/>
    </w:tblPr>
    <w:tblStylePr w:type="firstRow">
      <w:rPr>
        <w:b/>
        <w:bCs/>
      </w:rPr>
      <w:tblPr/>
      <w:tcPr>
        <w:tcBorders>
          <w:bottom w:val="single" w:sz="4" w:space="0" w:color="FFDC6B" w:themeColor="accent2" w:themeTint="99"/>
        </w:tcBorders>
      </w:tcPr>
    </w:tblStylePr>
    <w:tblStylePr w:type="lastRow">
      <w:rPr>
        <w:b/>
        <w:bCs/>
      </w:rPr>
      <w:tblPr/>
      <w:tcPr>
        <w:tcBorders>
          <w:top w:val="single" w:sz="4" w:space="0" w:color="FFDC6B" w:themeColor="accent2" w:themeTint="99"/>
        </w:tcBorders>
      </w:tcPr>
    </w:tblStylePr>
    <w:tblStylePr w:type="firstCol">
      <w:rPr>
        <w:b/>
        <w:bCs/>
      </w:rPr>
    </w:tblStylePr>
    <w:tblStylePr w:type="lastCol">
      <w:rPr>
        <w:b/>
        <w:bCs/>
      </w:rPr>
    </w:tblStylePr>
    <w:tblStylePr w:type="band1Vert">
      <w:tblPr/>
      <w:tcPr>
        <w:shd w:val="clear" w:color="auto" w:fill="FFF3CD" w:themeFill="accent2" w:themeFillTint="33"/>
      </w:tcPr>
    </w:tblStylePr>
    <w:tblStylePr w:type="band1Horz">
      <w:tblPr/>
      <w:tcPr>
        <w:shd w:val="clear" w:color="auto" w:fill="FFF3CD" w:themeFill="accent2" w:themeFillTint="33"/>
      </w:tcPr>
    </w:tblStylePr>
  </w:style>
  <w:style w:type="table" w:styleId="ListTable1Light-Accent3">
    <w:name w:val="List Table 1 Light Accent 3"/>
    <w:basedOn w:val="TableNormal"/>
    <w:uiPriority w:val="46"/>
    <w:rsid w:val="009D2459"/>
    <w:pPr>
      <w:spacing w:after="0" w:line="240" w:lineRule="auto"/>
    </w:pPr>
    <w:rPr>
      <w:rFonts w:eastAsia="Times New Roman" w:cs="Times New Roman"/>
      <w:sz w:val="20"/>
      <w:szCs w:val="20"/>
      <w:lang w:eastAsia="en-AU"/>
    </w:rPr>
    <w:tblPr>
      <w:tblStyleRowBandSize w:val="1"/>
      <w:tblStyleColBandSize w:val="1"/>
    </w:tblPr>
    <w:tblStylePr w:type="firstRow">
      <w:rPr>
        <w:b/>
        <w:bCs/>
      </w:rPr>
      <w:tblPr/>
      <w:tcPr>
        <w:tcBorders>
          <w:bottom w:val="single" w:sz="4" w:space="0" w:color="EE6584" w:themeColor="accent3" w:themeTint="99"/>
        </w:tcBorders>
      </w:tcPr>
    </w:tblStylePr>
    <w:tblStylePr w:type="lastRow">
      <w:rPr>
        <w:b/>
        <w:bCs/>
      </w:rPr>
      <w:tblPr/>
      <w:tcPr>
        <w:tcBorders>
          <w:top w:val="single" w:sz="4" w:space="0" w:color="EE6584" w:themeColor="accent3" w:themeTint="99"/>
        </w:tcBorders>
      </w:tcPr>
    </w:tblStylePr>
    <w:tblStylePr w:type="firstCol">
      <w:rPr>
        <w:b/>
        <w:bCs/>
      </w:rPr>
    </w:tblStylePr>
    <w:tblStylePr w:type="lastCol">
      <w:rPr>
        <w:b/>
        <w:bCs/>
      </w:rPr>
    </w:tblStylePr>
    <w:tblStylePr w:type="band1Vert">
      <w:tblPr/>
      <w:tcPr>
        <w:shd w:val="clear" w:color="auto" w:fill="F9CBD6" w:themeFill="accent3" w:themeFillTint="33"/>
      </w:tcPr>
    </w:tblStylePr>
    <w:tblStylePr w:type="band1Horz">
      <w:tblPr/>
      <w:tcPr>
        <w:shd w:val="clear" w:color="auto" w:fill="F9CBD6" w:themeFill="accent3" w:themeFillTint="33"/>
      </w:tcPr>
    </w:tblStylePr>
  </w:style>
  <w:style w:type="table" w:styleId="ListTable1Light-Accent4">
    <w:name w:val="List Table 1 Light Accent 4"/>
    <w:basedOn w:val="TableNormal"/>
    <w:uiPriority w:val="46"/>
    <w:rsid w:val="009D2459"/>
    <w:pPr>
      <w:spacing w:after="0" w:line="240" w:lineRule="auto"/>
    </w:pPr>
    <w:rPr>
      <w:rFonts w:eastAsia="Times New Roman" w:cs="Times New Roman"/>
      <w:sz w:val="20"/>
      <w:szCs w:val="20"/>
      <w:lang w:eastAsia="en-AU"/>
    </w:rPr>
    <w:tblPr>
      <w:tblStyleRowBandSize w:val="1"/>
      <w:tblStyleColBandSize w:val="1"/>
    </w:tblPr>
    <w:tblStylePr w:type="firstRow">
      <w:rPr>
        <w:b/>
        <w:bCs/>
      </w:rPr>
      <w:tblPr/>
      <w:tcPr>
        <w:tcBorders>
          <w:bottom w:val="single" w:sz="4" w:space="0" w:color="AF60D2" w:themeColor="accent4" w:themeTint="99"/>
        </w:tcBorders>
      </w:tcPr>
    </w:tblStylePr>
    <w:tblStylePr w:type="lastRow">
      <w:rPr>
        <w:b/>
        <w:bCs/>
      </w:rPr>
      <w:tblPr/>
      <w:tcPr>
        <w:tcBorders>
          <w:top w:val="single" w:sz="4" w:space="0" w:color="AF60D2" w:themeColor="accent4" w:themeTint="99"/>
        </w:tcBorders>
      </w:tcPr>
    </w:tblStylePr>
    <w:tblStylePr w:type="firstCol">
      <w:rPr>
        <w:b/>
        <w:bCs/>
      </w:rPr>
    </w:tblStylePr>
    <w:tblStylePr w:type="lastCol">
      <w:rPr>
        <w:b/>
        <w:bCs/>
      </w:rPr>
    </w:tblStylePr>
    <w:tblStylePr w:type="band1Vert">
      <w:tblPr/>
      <w:tcPr>
        <w:shd w:val="clear" w:color="auto" w:fill="E4CAF0" w:themeFill="accent4" w:themeFillTint="33"/>
      </w:tcPr>
    </w:tblStylePr>
    <w:tblStylePr w:type="band1Horz">
      <w:tblPr/>
      <w:tcPr>
        <w:shd w:val="clear" w:color="auto" w:fill="E4CAF0" w:themeFill="accent4" w:themeFillTint="33"/>
      </w:tcPr>
    </w:tblStylePr>
  </w:style>
  <w:style w:type="table" w:styleId="ListTable1Light-Accent5">
    <w:name w:val="List Table 1 Light Accent 5"/>
    <w:basedOn w:val="TableNormal"/>
    <w:uiPriority w:val="46"/>
    <w:rsid w:val="009D2459"/>
    <w:pPr>
      <w:spacing w:after="0" w:line="240" w:lineRule="auto"/>
    </w:pPr>
    <w:rPr>
      <w:rFonts w:eastAsia="Times New Roman" w:cs="Times New Roman"/>
      <w:sz w:val="20"/>
      <w:szCs w:val="20"/>
      <w:lang w:eastAsia="en-AU"/>
    </w:rPr>
    <w:tblPr>
      <w:tblStyleRowBandSize w:val="1"/>
      <w:tblStyleColBandSize w:val="1"/>
    </w:tblPr>
    <w:tblStylePr w:type="firstRow">
      <w:rPr>
        <w:b/>
        <w:bCs/>
      </w:rPr>
      <w:tblPr/>
      <w:tcPr>
        <w:tcBorders>
          <w:bottom w:val="single" w:sz="4" w:space="0" w:color="63E18C" w:themeColor="accent5" w:themeTint="99"/>
        </w:tcBorders>
      </w:tcPr>
    </w:tblStylePr>
    <w:tblStylePr w:type="lastRow">
      <w:rPr>
        <w:b/>
        <w:bCs/>
      </w:rPr>
      <w:tblPr/>
      <w:tcPr>
        <w:tcBorders>
          <w:top w:val="single" w:sz="4" w:space="0" w:color="63E18C" w:themeColor="accent5" w:themeTint="99"/>
        </w:tcBorders>
      </w:tcPr>
    </w:tblStylePr>
    <w:tblStylePr w:type="firstCol">
      <w:rPr>
        <w:b/>
        <w:bCs/>
      </w:rPr>
    </w:tblStylePr>
    <w:tblStylePr w:type="lastCol">
      <w:rPr>
        <w:b/>
        <w:bCs/>
      </w:rPr>
    </w:tblStylePr>
    <w:tblStylePr w:type="band1Vert">
      <w:tblPr/>
      <w:tcPr>
        <w:shd w:val="clear" w:color="auto" w:fill="CBF5D8" w:themeFill="accent5" w:themeFillTint="33"/>
      </w:tcPr>
    </w:tblStylePr>
    <w:tblStylePr w:type="band1Horz">
      <w:tblPr/>
      <w:tcPr>
        <w:shd w:val="clear" w:color="auto" w:fill="CBF5D8" w:themeFill="accent5" w:themeFillTint="33"/>
      </w:tcPr>
    </w:tblStylePr>
  </w:style>
  <w:style w:type="table" w:styleId="ListTable1Light-Accent6">
    <w:name w:val="List Table 1 Light Accent 6"/>
    <w:basedOn w:val="TableNormal"/>
    <w:uiPriority w:val="46"/>
    <w:rsid w:val="009D2459"/>
    <w:pPr>
      <w:spacing w:after="0" w:line="240" w:lineRule="auto"/>
    </w:pPr>
    <w:rPr>
      <w:rFonts w:eastAsia="Times New Roman" w:cs="Times New Roman"/>
      <w:sz w:val="20"/>
      <w:szCs w:val="20"/>
      <w:lang w:eastAsia="en-AU"/>
    </w:rPr>
    <w:tblPr>
      <w:tblStyleRowBandSize w:val="1"/>
      <w:tblStyleColBandSize w:val="1"/>
    </w:tblPr>
    <w:tblStylePr w:type="firstRow">
      <w:rPr>
        <w:b/>
        <w:bCs/>
      </w:rPr>
      <w:tblPr/>
      <w:tcPr>
        <w:tcBorders>
          <w:bottom w:val="single" w:sz="4" w:space="0" w:color="3AC1FF" w:themeColor="accent6" w:themeTint="99"/>
        </w:tcBorders>
      </w:tcPr>
    </w:tblStylePr>
    <w:tblStylePr w:type="lastRow">
      <w:rPr>
        <w:b/>
        <w:bCs/>
      </w:rPr>
      <w:tblPr/>
      <w:tcPr>
        <w:tcBorders>
          <w:top w:val="single" w:sz="4" w:space="0" w:color="3AC1FF" w:themeColor="accent6" w:themeTint="99"/>
        </w:tcBorders>
      </w:tcPr>
    </w:tblStylePr>
    <w:tblStylePr w:type="firstCol">
      <w:rPr>
        <w:b/>
        <w:bCs/>
      </w:rPr>
    </w:tblStylePr>
    <w:tblStylePr w:type="lastCol">
      <w:rPr>
        <w:b/>
        <w:bCs/>
      </w:rPr>
    </w:tblStylePr>
    <w:tblStylePr w:type="band1Vert">
      <w:tblPr/>
      <w:tcPr>
        <w:shd w:val="clear" w:color="auto" w:fill="BDEAFF" w:themeFill="accent6" w:themeFillTint="33"/>
      </w:tcPr>
    </w:tblStylePr>
    <w:tblStylePr w:type="band1Horz">
      <w:tblPr/>
      <w:tcPr>
        <w:shd w:val="clear" w:color="auto" w:fill="BDEAFF" w:themeFill="accent6" w:themeFillTint="33"/>
      </w:tcPr>
    </w:tblStylePr>
  </w:style>
  <w:style w:type="table" w:styleId="ListTable2">
    <w:name w:val="List Table 2"/>
    <w:basedOn w:val="TableNormal"/>
    <w:uiPriority w:val="47"/>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E6E7E6" w:themeColor="accent1" w:themeTint="99"/>
        <w:bottom w:val="single" w:sz="4" w:space="0" w:color="E6E7E6" w:themeColor="accent1" w:themeTint="99"/>
        <w:insideH w:val="single" w:sz="4" w:space="0" w:color="E6E7E6"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6F7F6" w:themeFill="accent1" w:themeFillTint="33"/>
      </w:tcPr>
    </w:tblStylePr>
    <w:tblStylePr w:type="band1Horz">
      <w:tblPr/>
      <w:tcPr>
        <w:shd w:val="clear" w:color="auto" w:fill="F6F7F6" w:themeFill="accent1" w:themeFillTint="33"/>
      </w:tcPr>
    </w:tblStylePr>
  </w:style>
  <w:style w:type="table" w:styleId="ListTable2-Accent2">
    <w:name w:val="List Table 2 Accent 2"/>
    <w:basedOn w:val="TableNormal"/>
    <w:uiPriority w:val="47"/>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FFDC6B" w:themeColor="accent2" w:themeTint="99"/>
        <w:bottom w:val="single" w:sz="4" w:space="0" w:color="FFDC6B" w:themeColor="accent2" w:themeTint="99"/>
        <w:insideH w:val="single" w:sz="4" w:space="0" w:color="FFDC6B"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3CD" w:themeFill="accent2" w:themeFillTint="33"/>
      </w:tcPr>
    </w:tblStylePr>
    <w:tblStylePr w:type="band1Horz">
      <w:tblPr/>
      <w:tcPr>
        <w:shd w:val="clear" w:color="auto" w:fill="FFF3CD" w:themeFill="accent2" w:themeFillTint="33"/>
      </w:tcPr>
    </w:tblStylePr>
  </w:style>
  <w:style w:type="table" w:styleId="ListTable2-Accent3">
    <w:name w:val="List Table 2 Accent 3"/>
    <w:basedOn w:val="TableNormal"/>
    <w:uiPriority w:val="47"/>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EE6584" w:themeColor="accent3" w:themeTint="99"/>
        <w:bottom w:val="single" w:sz="4" w:space="0" w:color="EE6584" w:themeColor="accent3" w:themeTint="99"/>
        <w:insideH w:val="single" w:sz="4" w:space="0" w:color="EE6584"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9CBD6" w:themeFill="accent3" w:themeFillTint="33"/>
      </w:tcPr>
    </w:tblStylePr>
    <w:tblStylePr w:type="band1Horz">
      <w:tblPr/>
      <w:tcPr>
        <w:shd w:val="clear" w:color="auto" w:fill="F9CBD6" w:themeFill="accent3" w:themeFillTint="33"/>
      </w:tcPr>
    </w:tblStylePr>
  </w:style>
  <w:style w:type="table" w:styleId="ListTable2-Accent4">
    <w:name w:val="List Table 2 Accent 4"/>
    <w:basedOn w:val="TableNormal"/>
    <w:uiPriority w:val="47"/>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AF60D2" w:themeColor="accent4" w:themeTint="99"/>
        <w:bottom w:val="single" w:sz="4" w:space="0" w:color="AF60D2" w:themeColor="accent4" w:themeTint="99"/>
        <w:insideH w:val="single" w:sz="4" w:space="0" w:color="AF60D2"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4CAF0" w:themeFill="accent4" w:themeFillTint="33"/>
      </w:tcPr>
    </w:tblStylePr>
    <w:tblStylePr w:type="band1Horz">
      <w:tblPr/>
      <w:tcPr>
        <w:shd w:val="clear" w:color="auto" w:fill="E4CAF0" w:themeFill="accent4" w:themeFillTint="33"/>
      </w:tcPr>
    </w:tblStylePr>
  </w:style>
  <w:style w:type="table" w:styleId="ListTable2-Accent5">
    <w:name w:val="List Table 2 Accent 5"/>
    <w:basedOn w:val="TableNormal"/>
    <w:uiPriority w:val="47"/>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63E18C" w:themeColor="accent5" w:themeTint="99"/>
        <w:bottom w:val="single" w:sz="4" w:space="0" w:color="63E18C" w:themeColor="accent5" w:themeTint="99"/>
        <w:insideH w:val="single" w:sz="4" w:space="0" w:color="63E18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BF5D8" w:themeFill="accent5" w:themeFillTint="33"/>
      </w:tcPr>
    </w:tblStylePr>
    <w:tblStylePr w:type="band1Horz">
      <w:tblPr/>
      <w:tcPr>
        <w:shd w:val="clear" w:color="auto" w:fill="CBF5D8" w:themeFill="accent5" w:themeFillTint="33"/>
      </w:tcPr>
    </w:tblStylePr>
  </w:style>
  <w:style w:type="table" w:styleId="ListTable2-Accent6">
    <w:name w:val="List Table 2 Accent 6"/>
    <w:basedOn w:val="TableNormal"/>
    <w:uiPriority w:val="47"/>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3AC1FF" w:themeColor="accent6" w:themeTint="99"/>
        <w:bottom w:val="single" w:sz="4" w:space="0" w:color="3AC1FF" w:themeColor="accent6" w:themeTint="99"/>
        <w:insideH w:val="single" w:sz="4" w:space="0" w:color="3AC1FF"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DEAFF" w:themeFill="accent6" w:themeFillTint="33"/>
      </w:tcPr>
    </w:tblStylePr>
    <w:tblStylePr w:type="band1Horz">
      <w:tblPr/>
      <w:tcPr>
        <w:shd w:val="clear" w:color="auto" w:fill="BDEAFF" w:themeFill="accent6" w:themeFillTint="33"/>
      </w:tcPr>
    </w:tblStylePr>
  </w:style>
  <w:style w:type="table" w:styleId="ListTable3">
    <w:name w:val="List Table 3"/>
    <w:basedOn w:val="TableNormal"/>
    <w:uiPriority w:val="48"/>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D7D8D6" w:themeColor="accent1"/>
        <w:left w:val="single" w:sz="4" w:space="0" w:color="D7D8D6" w:themeColor="accent1"/>
        <w:bottom w:val="single" w:sz="4" w:space="0" w:color="D7D8D6" w:themeColor="accent1"/>
        <w:right w:val="single" w:sz="4" w:space="0" w:color="D7D8D6" w:themeColor="accent1"/>
      </w:tblBorders>
    </w:tblPr>
    <w:tblStylePr w:type="firstRow">
      <w:rPr>
        <w:b/>
        <w:bCs/>
        <w:color w:val="FFFFFF" w:themeColor="background1"/>
      </w:rPr>
      <w:tblPr/>
      <w:tcPr>
        <w:shd w:val="clear" w:color="auto" w:fill="D7D8D6" w:themeFill="accent1"/>
      </w:tcPr>
    </w:tblStylePr>
    <w:tblStylePr w:type="lastRow">
      <w:rPr>
        <w:b/>
        <w:bCs/>
      </w:rPr>
      <w:tblPr/>
      <w:tcPr>
        <w:tcBorders>
          <w:top w:val="double" w:sz="4" w:space="0" w:color="D7D8D6"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7D8D6" w:themeColor="accent1"/>
          <w:right w:val="single" w:sz="4" w:space="0" w:color="D7D8D6" w:themeColor="accent1"/>
        </w:tcBorders>
      </w:tcPr>
    </w:tblStylePr>
    <w:tblStylePr w:type="band1Horz">
      <w:tblPr/>
      <w:tcPr>
        <w:tcBorders>
          <w:top w:val="single" w:sz="4" w:space="0" w:color="D7D8D6" w:themeColor="accent1"/>
          <w:bottom w:val="single" w:sz="4" w:space="0" w:color="D7D8D6"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7D8D6" w:themeColor="accent1"/>
          <w:left w:val="nil"/>
        </w:tcBorders>
      </w:tcPr>
    </w:tblStylePr>
    <w:tblStylePr w:type="swCell">
      <w:tblPr/>
      <w:tcPr>
        <w:tcBorders>
          <w:top w:val="double" w:sz="4" w:space="0" w:color="D7D8D6" w:themeColor="accent1"/>
          <w:right w:val="nil"/>
        </w:tcBorders>
      </w:tcPr>
    </w:tblStylePr>
  </w:style>
  <w:style w:type="table" w:styleId="ListTable3-Accent2">
    <w:name w:val="List Table 3 Accent 2"/>
    <w:basedOn w:val="TableNormal"/>
    <w:uiPriority w:val="48"/>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FFC709" w:themeColor="accent2"/>
        <w:left w:val="single" w:sz="4" w:space="0" w:color="FFC709" w:themeColor="accent2"/>
        <w:bottom w:val="single" w:sz="4" w:space="0" w:color="FFC709" w:themeColor="accent2"/>
        <w:right w:val="single" w:sz="4" w:space="0" w:color="FFC709" w:themeColor="accent2"/>
      </w:tblBorders>
    </w:tblPr>
    <w:tblStylePr w:type="firstRow">
      <w:rPr>
        <w:b/>
        <w:bCs/>
        <w:color w:val="FFFFFF" w:themeColor="background1"/>
      </w:rPr>
      <w:tblPr/>
      <w:tcPr>
        <w:shd w:val="clear" w:color="auto" w:fill="FFC709" w:themeFill="accent2"/>
      </w:tcPr>
    </w:tblStylePr>
    <w:tblStylePr w:type="lastRow">
      <w:rPr>
        <w:b/>
        <w:bCs/>
      </w:rPr>
      <w:tblPr/>
      <w:tcPr>
        <w:tcBorders>
          <w:top w:val="double" w:sz="4" w:space="0" w:color="FFC709"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709" w:themeColor="accent2"/>
          <w:right w:val="single" w:sz="4" w:space="0" w:color="FFC709" w:themeColor="accent2"/>
        </w:tcBorders>
      </w:tcPr>
    </w:tblStylePr>
    <w:tblStylePr w:type="band1Horz">
      <w:tblPr/>
      <w:tcPr>
        <w:tcBorders>
          <w:top w:val="single" w:sz="4" w:space="0" w:color="FFC709" w:themeColor="accent2"/>
          <w:bottom w:val="single" w:sz="4" w:space="0" w:color="FFC709"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709" w:themeColor="accent2"/>
          <w:left w:val="nil"/>
        </w:tcBorders>
      </w:tcPr>
    </w:tblStylePr>
    <w:tblStylePr w:type="swCell">
      <w:tblPr/>
      <w:tcPr>
        <w:tcBorders>
          <w:top w:val="double" w:sz="4" w:space="0" w:color="FFC709" w:themeColor="accent2"/>
          <w:right w:val="nil"/>
        </w:tcBorders>
      </w:tcPr>
    </w:tblStylePr>
  </w:style>
  <w:style w:type="table" w:styleId="ListTable3-Accent3">
    <w:name w:val="List Table 3 Accent 3"/>
    <w:basedOn w:val="TableNormal"/>
    <w:uiPriority w:val="48"/>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CD163F" w:themeColor="accent3"/>
        <w:left w:val="single" w:sz="4" w:space="0" w:color="CD163F" w:themeColor="accent3"/>
        <w:bottom w:val="single" w:sz="4" w:space="0" w:color="CD163F" w:themeColor="accent3"/>
        <w:right w:val="single" w:sz="4" w:space="0" w:color="CD163F" w:themeColor="accent3"/>
      </w:tblBorders>
    </w:tblPr>
    <w:tblStylePr w:type="firstRow">
      <w:rPr>
        <w:b/>
        <w:bCs/>
        <w:color w:val="FFFFFF" w:themeColor="background1"/>
      </w:rPr>
      <w:tblPr/>
      <w:tcPr>
        <w:shd w:val="clear" w:color="auto" w:fill="CD163F" w:themeFill="accent3"/>
      </w:tcPr>
    </w:tblStylePr>
    <w:tblStylePr w:type="lastRow">
      <w:rPr>
        <w:b/>
        <w:bCs/>
      </w:rPr>
      <w:tblPr/>
      <w:tcPr>
        <w:tcBorders>
          <w:top w:val="double" w:sz="4" w:space="0" w:color="CD163F"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D163F" w:themeColor="accent3"/>
          <w:right w:val="single" w:sz="4" w:space="0" w:color="CD163F" w:themeColor="accent3"/>
        </w:tcBorders>
      </w:tcPr>
    </w:tblStylePr>
    <w:tblStylePr w:type="band1Horz">
      <w:tblPr/>
      <w:tcPr>
        <w:tcBorders>
          <w:top w:val="single" w:sz="4" w:space="0" w:color="CD163F" w:themeColor="accent3"/>
          <w:bottom w:val="single" w:sz="4" w:space="0" w:color="CD163F"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D163F" w:themeColor="accent3"/>
          <w:left w:val="nil"/>
        </w:tcBorders>
      </w:tcPr>
    </w:tblStylePr>
    <w:tblStylePr w:type="swCell">
      <w:tblPr/>
      <w:tcPr>
        <w:tcBorders>
          <w:top w:val="double" w:sz="4" w:space="0" w:color="CD163F" w:themeColor="accent3"/>
          <w:right w:val="nil"/>
        </w:tcBorders>
      </w:tcPr>
    </w:tblStylePr>
  </w:style>
  <w:style w:type="table" w:styleId="ListTable3-Accent4">
    <w:name w:val="List Table 3 Accent 4"/>
    <w:basedOn w:val="TableNormal"/>
    <w:uiPriority w:val="48"/>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692686" w:themeColor="accent4"/>
        <w:left w:val="single" w:sz="4" w:space="0" w:color="692686" w:themeColor="accent4"/>
        <w:bottom w:val="single" w:sz="4" w:space="0" w:color="692686" w:themeColor="accent4"/>
        <w:right w:val="single" w:sz="4" w:space="0" w:color="692686" w:themeColor="accent4"/>
      </w:tblBorders>
    </w:tblPr>
    <w:tblStylePr w:type="firstRow">
      <w:rPr>
        <w:b/>
        <w:bCs/>
        <w:color w:val="FFFFFF" w:themeColor="background1"/>
      </w:rPr>
      <w:tblPr/>
      <w:tcPr>
        <w:shd w:val="clear" w:color="auto" w:fill="692686" w:themeFill="accent4"/>
      </w:tcPr>
    </w:tblStylePr>
    <w:tblStylePr w:type="lastRow">
      <w:rPr>
        <w:b/>
        <w:bCs/>
      </w:rPr>
      <w:tblPr/>
      <w:tcPr>
        <w:tcBorders>
          <w:top w:val="double" w:sz="4" w:space="0" w:color="692686"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92686" w:themeColor="accent4"/>
          <w:right w:val="single" w:sz="4" w:space="0" w:color="692686" w:themeColor="accent4"/>
        </w:tcBorders>
      </w:tcPr>
    </w:tblStylePr>
    <w:tblStylePr w:type="band1Horz">
      <w:tblPr/>
      <w:tcPr>
        <w:tcBorders>
          <w:top w:val="single" w:sz="4" w:space="0" w:color="692686" w:themeColor="accent4"/>
          <w:bottom w:val="single" w:sz="4" w:space="0" w:color="692686"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92686" w:themeColor="accent4"/>
          <w:left w:val="nil"/>
        </w:tcBorders>
      </w:tcPr>
    </w:tblStylePr>
    <w:tblStylePr w:type="swCell">
      <w:tblPr/>
      <w:tcPr>
        <w:tcBorders>
          <w:top w:val="double" w:sz="4" w:space="0" w:color="692686" w:themeColor="accent4"/>
          <w:right w:val="nil"/>
        </w:tcBorders>
      </w:tcPr>
    </w:tblStylePr>
  </w:style>
  <w:style w:type="table" w:styleId="ListTable3-Accent5">
    <w:name w:val="List Table 3 Accent 5"/>
    <w:basedOn w:val="TableNormal"/>
    <w:uiPriority w:val="48"/>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20AA4D" w:themeColor="accent5"/>
        <w:left w:val="single" w:sz="4" w:space="0" w:color="20AA4D" w:themeColor="accent5"/>
        <w:bottom w:val="single" w:sz="4" w:space="0" w:color="20AA4D" w:themeColor="accent5"/>
        <w:right w:val="single" w:sz="4" w:space="0" w:color="20AA4D" w:themeColor="accent5"/>
      </w:tblBorders>
    </w:tblPr>
    <w:tblStylePr w:type="firstRow">
      <w:rPr>
        <w:b/>
        <w:bCs/>
        <w:color w:val="FFFFFF" w:themeColor="background1"/>
      </w:rPr>
      <w:tblPr/>
      <w:tcPr>
        <w:shd w:val="clear" w:color="auto" w:fill="20AA4D" w:themeFill="accent5"/>
      </w:tcPr>
    </w:tblStylePr>
    <w:tblStylePr w:type="lastRow">
      <w:rPr>
        <w:b/>
        <w:bCs/>
      </w:rPr>
      <w:tblPr/>
      <w:tcPr>
        <w:tcBorders>
          <w:top w:val="double" w:sz="4" w:space="0" w:color="20AA4D"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0AA4D" w:themeColor="accent5"/>
          <w:right w:val="single" w:sz="4" w:space="0" w:color="20AA4D" w:themeColor="accent5"/>
        </w:tcBorders>
      </w:tcPr>
    </w:tblStylePr>
    <w:tblStylePr w:type="band1Horz">
      <w:tblPr/>
      <w:tcPr>
        <w:tcBorders>
          <w:top w:val="single" w:sz="4" w:space="0" w:color="20AA4D" w:themeColor="accent5"/>
          <w:bottom w:val="single" w:sz="4" w:space="0" w:color="20AA4D"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0AA4D" w:themeColor="accent5"/>
          <w:left w:val="nil"/>
        </w:tcBorders>
      </w:tcPr>
    </w:tblStylePr>
    <w:tblStylePr w:type="swCell">
      <w:tblPr/>
      <w:tcPr>
        <w:tcBorders>
          <w:top w:val="double" w:sz="4" w:space="0" w:color="20AA4D" w:themeColor="accent5"/>
          <w:right w:val="nil"/>
        </w:tcBorders>
      </w:tcPr>
    </w:tblStylePr>
  </w:style>
  <w:style w:type="table" w:styleId="ListTable3-Accent6">
    <w:name w:val="List Table 3 Accent 6"/>
    <w:basedOn w:val="TableNormal"/>
    <w:uiPriority w:val="48"/>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007DB6" w:themeColor="accent6"/>
        <w:left w:val="single" w:sz="4" w:space="0" w:color="007DB6" w:themeColor="accent6"/>
        <w:bottom w:val="single" w:sz="4" w:space="0" w:color="007DB6" w:themeColor="accent6"/>
        <w:right w:val="single" w:sz="4" w:space="0" w:color="007DB6" w:themeColor="accent6"/>
      </w:tblBorders>
    </w:tblPr>
    <w:tblStylePr w:type="firstRow">
      <w:rPr>
        <w:b/>
        <w:bCs/>
        <w:color w:val="FFFFFF" w:themeColor="background1"/>
      </w:rPr>
      <w:tblPr/>
      <w:tcPr>
        <w:shd w:val="clear" w:color="auto" w:fill="007DB6" w:themeFill="accent6"/>
      </w:tcPr>
    </w:tblStylePr>
    <w:tblStylePr w:type="lastRow">
      <w:rPr>
        <w:b/>
        <w:bCs/>
      </w:rPr>
      <w:tblPr/>
      <w:tcPr>
        <w:tcBorders>
          <w:top w:val="double" w:sz="4" w:space="0" w:color="007DB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DB6" w:themeColor="accent6"/>
          <w:right w:val="single" w:sz="4" w:space="0" w:color="007DB6" w:themeColor="accent6"/>
        </w:tcBorders>
      </w:tcPr>
    </w:tblStylePr>
    <w:tblStylePr w:type="band1Horz">
      <w:tblPr/>
      <w:tcPr>
        <w:tcBorders>
          <w:top w:val="single" w:sz="4" w:space="0" w:color="007DB6" w:themeColor="accent6"/>
          <w:bottom w:val="single" w:sz="4" w:space="0" w:color="007DB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DB6" w:themeColor="accent6"/>
          <w:left w:val="nil"/>
        </w:tcBorders>
      </w:tcPr>
    </w:tblStylePr>
    <w:tblStylePr w:type="swCell">
      <w:tblPr/>
      <w:tcPr>
        <w:tcBorders>
          <w:top w:val="double" w:sz="4" w:space="0" w:color="007DB6" w:themeColor="accent6"/>
          <w:right w:val="nil"/>
        </w:tcBorders>
      </w:tcPr>
    </w:tblStylePr>
  </w:style>
  <w:style w:type="table" w:styleId="ListTable4">
    <w:name w:val="List Table 4"/>
    <w:basedOn w:val="TableNormal"/>
    <w:uiPriority w:val="49"/>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E6E7E6" w:themeColor="accent1" w:themeTint="99"/>
        <w:left w:val="single" w:sz="4" w:space="0" w:color="E6E7E6" w:themeColor="accent1" w:themeTint="99"/>
        <w:bottom w:val="single" w:sz="4" w:space="0" w:color="E6E7E6" w:themeColor="accent1" w:themeTint="99"/>
        <w:right w:val="single" w:sz="4" w:space="0" w:color="E6E7E6" w:themeColor="accent1" w:themeTint="99"/>
        <w:insideH w:val="single" w:sz="4" w:space="0" w:color="E6E7E6" w:themeColor="accent1" w:themeTint="99"/>
      </w:tblBorders>
    </w:tblPr>
    <w:tblStylePr w:type="firstRow">
      <w:rPr>
        <w:b/>
        <w:bCs/>
        <w:color w:val="FFFFFF" w:themeColor="background1"/>
      </w:rPr>
      <w:tblPr/>
      <w:tcPr>
        <w:tcBorders>
          <w:top w:val="single" w:sz="4" w:space="0" w:color="D7D8D6" w:themeColor="accent1"/>
          <w:left w:val="single" w:sz="4" w:space="0" w:color="D7D8D6" w:themeColor="accent1"/>
          <w:bottom w:val="single" w:sz="4" w:space="0" w:color="D7D8D6" w:themeColor="accent1"/>
          <w:right w:val="single" w:sz="4" w:space="0" w:color="D7D8D6" w:themeColor="accent1"/>
          <w:insideH w:val="nil"/>
        </w:tcBorders>
        <w:shd w:val="clear" w:color="auto" w:fill="D7D8D6" w:themeFill="accent1"/>
      </w:tcPr>
    </w:tblStylePr>
    <w:tblStylePr w:type="lastRow">
      <w:rPr>
        <w:b/>
        <w:bCs/>
      </w:rPr>
      <w:tblPr/>
      <w:tcPr>
        <w:tcBorders>
          <w:top w:val="double" w:sz="4" w:space="0" w:color="E6E7E6" w:themeColor="accent1" w:themeTint="99"/>
        </w:tcBorders>
      </w:tcPr>
    </w:tblStylePr>
    <w:tblStylePr w:type="firstCol">
      <w:rPr>
        <w:b/>
        <w:bCs/>
      </w:rPr>
    </w:tblStylePr>
    <w:tblStylePr w:type="lastCol">
      <w:rPr>
        <w:b/>
        <w:bCs/>
      </w:rPr>
    </w:tblStylePr>
    <w:tblStylePr w:type="band1Vert">
      <w:tblPr/>
      <w:tcPr>
        <w:shd w:val="clear" w:color="auto" w:fill="F6F7F6" w:themeFill="accent1" w:themeFillTint="33"/>
      </w:tcPr>
    </w:tblStylePr>
    <w:tblStylePr w:type="band1Horz">
      <w:tblPr/>
      <w:tcPr>
        <w:shd w:val="clear" w:color="auto" w:fill="F6F7F6" w:themeFill="accent1" w:themeFillTint="33"/>
      </w:tcPr>
    </w:tblStylePr>
  </w:style>
  <w:style w:type="table" w:styleId="ListTable4-Accent2">
    <w:name w:val="List Table 4 Accent 2"/>
    <w:basedOn w:val="TableNormal"/>
    <w:uiPriority w:val="49"/>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FFDC6B" w:themeColor="accent2" w:themeTint="99"/>
        <w:left w:val="single" w:sz="4" w:space="0" w:color="FFDC6B" w:themeColor="accent2" w:themeTint="99"/>
        <w:bottom w:val="single" w:sz="4" w:space="0" w:color="FFDC6B" w:themeColor="accent2" w:themeTint="99"/>
        <w:right w:val="single" w:sz="4" w:space="0" w:color="FFDC6B" w:themeColor="accent2" w:themeTint="99"/>
        <w:insideH w:val="single" w:sz="4" w:space="0" w:color="FFDC6B" w:themeColor="accent2" w:themeTint="99"/>
      </w:tblBorders>
    </w:tblPr>
    <w:tblStylePr w:type="firstRow">
      <w:rPr>
        <w:b/>
        <w:bCs/>
        <w:color w:val="FFFFFF" w:themeColor="background1"/>
      </w:rPr>
      <w:tblPr/>
      <w:tcPr>
        <w:tcBorders>
          <w:top w:val="single" w:sz="4" w:space="0" w:color="FFC709" w:themeColor="accent2"/>
          <w:left w:val="single" w:sz="4" w:space="0" w:color="FFC709" w:themeColor="accent2"/>
          <w:bottom w:val="single" w:sz="4" w:space="0" w:color="FFC709" w:themeColor="accent2"/>
          <w:right w:val="single" w:sz="4" w:space="0" w:color="FFC709" w:themeColor="accent2"/>
          <w:insideH w:val="nil"/>
        </w:tcBorders>
        <w:shd w:val="clear" w:color="auto" w:fill="FFC709" w:themeFill="accent2"/>
      </w:tcPr>
    </w:tblStylePr>
    <w:tblStylePr w:type="lastRow">
      <w:rPr>
        <w:b/>
        <w:bCs/>
      </w:rPr>
      <w:tblPr/>
      <w:tcPr>
        <w:tcBorders>
          <w:top w:val="double" w:sz="4" w:space="0" w:color="FFDC6B" w:themeColor="accent2" w:themeTint="99"/>
        </w:tcBorders>
      </w:tcPr>
    </w:tblStylePr>
    <w:tblStylePr w:type="firstCol">
      <w:rPr>
        <w:b/>
        <w:bCs/>
      </w:rPr>
    </w:tblStylePr>
    <w:tblStylePr w:type="lastCol">
      <w:rPr>
        <w:b/>
        <w:bCs/>
      </w:rPr>
    </w:tblStylePr>
    <w:tblStylePr w:type="band1Vert">
      <w:tblPr/>
      <w:tcPr>
        <w:shd w:val="clear" w:color="auto" w:fill="FFF3CD" w:themeFill="accent2" w:themeFillTint="33"/>
      </w:tcPr>
    </w:tblStylePr>
    <w:tblStylePr w:type="band1Horz">
      <w:tblPr/>
      <w:tcPr>
        <w:shd w:val="clear" w:color="auto" w:fill="FFF3CD" w:themeFill="accent2" w:themeFillTint="33"/>
      </w:tcPr>
    </w:tblStylePr>
  </w:style>
  <w:style w:type="table" w:styleId="ListTable4-Accent3">
    <w:name w:val="List Table 4 Accent 3"/>
    <w:basedOn w:val="TableNormal"/>
    <w:uiPriority w:val="49"/>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EE6584" w:themeColor="accent3" w:themeTint="99"/>
        <w:left w:val="single" w:sz="4" w:space="0" w:color="EE6584" w:themeColor="accent3" w:themeTint="99"/>
        <w:bottom w:val="single" w:sz="4" w:space="0" w:color="EE6584" w:themeColor="accent3" w:themeTint="99"/>
        <w:right w:val="single" w:sz="4" w:space="0" w:color="EE6584" w:themeColor="accent3" w:themeTint="99"/>
        <w:insideH w:val="single" w:sz="4" w:space="0" w:color="EE6584" w:themeColor="accent3" w:themeTint="99"/>
      </w:tblBorders>
    </w:tblPr>
    <w:tblStylePr w:type="firstRow">
      <w:rPr>
        <w:b/>
        <w:bCs/>
        <w:color w:val="FFFFFF" w:themeColor="background1"/>
      </w:rPr>
      <w:tblPr/>
      <w:tcPr>
        <w:tcBorders>
          <w:top w:val="single" w:sz="4" w:space="0" w:color="CD163F" w:themeColor="accent3"/>
          <w:left w:val="single" w:sz="4" w:space="0" w:color="CD163F" w:themeColor="accent3"/>
          <w:bottom w:val="single" w:sz="4" w:space="0" w:color="CD163F" w:themeColor="accent3"/>
          <w:right w:val="single" w:sz="4" w:space="0" w:color="CD163F" w:themeColor="accent3"/>
          <w:insideH w:val="nil"/>
        </w:tcBorders>
        <w:shd w:val="clear" w:color="auto" w:fill="CD163F" w:themeFill="accent3"/>
      </w:tcPr>
    </w:tblStylePr>
    <w:tblStylePr w:type="lastRow">
      <w:rPr>
        <w:b/>
        <w:bCs/>
      </w:rPr>
      <w:tblPr/>
      <w:tcPr>
        <w:tcBorders>
          <w:top w:val="double" w:sz="4" w:space="0" w:color="EE6584" w:themeColor="accent3" w:themeTint="99"/>
        </w:tcBorders>
      </w:tcPr>
    </w:tblStylePr>
    <w:tblStylePr w:type="firstCol">
      <w:rPr>
        <w:b/>
        <w:bCs/>
      </w:rPr>
    </w:tblStylePr>
    <w:tblStylePr w:type="lastCol">
      <w:rPr>
        <w:b/>
        <w:bCs/>
      </w:rPr>
    </w:tblStylePr>
    <w:tblStylePr w:type="band1Vert">
      <w:tblPr/>
      <w:tcPr>
        <w:shd w:val="clear" w:color="auto" w:fill="F9CBD6" w:themeFill="accent3" w:themeFillTint="33"/>
      </w:tcPr>
    </w:tblStylePr>
    <w:tblStylePr w:type="band1Horz">
      <w:tblPr/>
      <w:tcPr>
        <w:shd w:val="clear" w:color="auto" w:fill="F9CBD6" w:themeFill="accent3" w:themeFillTint="33"/>
      </w:tcPr>
    </w:tblStylePr>
  </w:style>
  <w:style w:type="table" w:styleId="ListTable4-Accent4">
    <w:name w:val="List Table 4 Accent 4"/>
    <w:basedOn w:val="TableNormal"/>
    <w:uiPriority w:val="49"/>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AF60D2" w:themeColor="accent4" w:themeTint="99"/>
        <w:left w:val="single" w:sz="4" w:space="0" w:color="AF60D2" w:themeColor="accent4" w:themeTint="99"/>
        <w:bottom w:val="single" w:sz="4" w:space="0" w:color="AF60D2" w:themeColor="accent4" w:themeTint="99"/>
        <w:right w:val="single" w:sz="4" w:space="0" w:color="AF60D2" w:themeColor="accent4" w:themeTint="99"/>
        <w:insideH w:val="single" w:sz="4" w:space="0" w:color="AF60D2" w:themeColor="accent4" w:themeTint="99"/>
      </w:tblBorders>
    </w:tblPr>
    <w:tblStylePr w:type="firstRow">
      <w:rPr>
        <w:b/>
        <w:bCs/>
        <w:color w:val="FFFFFF" w:themeColor="background1"/>
      </w:rPr>
      <w:tblPr/>
      <w:tcPr>
        <w:tcBorders>
          <w:top w:val="single" w:sz="4" w:space="0" w:color="692686" w:themeColor="accent4"/>
          <w:left w:val="single" w:sz="4" w:space="0" w:color="692686" w:themeColor="accent4"/>
          <w:bottom w:val="single" w:sz="4" w:space="0" w:color="692686" w:themeColor="accent4"/>
          <w:right w:val="single" w:sz="4" w:space="0" w:color="692686" w:themeColor="accent4"/>
          <w:insideH w:val="nil"/>
        </w:tcBorders>
        <w:shd w:val="clear" w:color="auto" w:fill="692686" w:themeFill="accent4"/>
      </w:tcPr>
    </w:tblStylePr>
    <w:tblStylePr w:type="lastRow">
      <w:rPr>
        <w:b/>
        <w:bCs/>
      </w:rPr>
      <w:tblPr/>
      <w:tcPr>
        <w:tcBorders>
          <w:top w:val="double" w:sz="4" w:space="0" w:color="AF60D2" w:themeColor="accent4" w:themeTint="99"/>
        </w:tcBorders>
      </w:tcPr>
    </w:tblStylePr>
    <w:tblStylePr w:type="firstCol">
      <w:rPr>
        <w:b/>
        <w:bCs/>
      </w:rPr>
    </w:tblStylePr>
    <w:tblStylePr w:type="lastCol">
      <w:rPr>
        <w:b/>
        <w:bCs/>
      </w:rPr>
    </w:tblStylePr>
    <w:tblStylePr w:type="band1Vert">
      <w:tblPr/>
      <w:tcPr>
        <w:shd w:val="clear" w:color="auto" w:fill="E4CAF0" w:themeFill="accent4" w:themeFillTint="33"/>
      </w:tcPr>
    </w:tblStylePr>
    <w:tblStylePr w:type="band1Horz">
      <w:tblPr/>
      <w:tcPr>
        <w:shd w:val="clear" w:color="auto" w:fill="E4CAF0" w:themeFill="accent4" w:themeFillTint="33"/>
      </w:tcPr>
    </w:tblStylePr>
  </w:style>
  <w:style w:type="table" w:styleId="ListTable4-Accent5">
    <w:name w:val="List Table 4 Accent 5"/>
    <w:basedOn w:val="TableNormal"/>
    <w:uiPriority w:val="49"/>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63E18C" w:themeColor="accent5" w:themeTint="99"/>
        <w:left w:val="single" w:sz="4" w:space="0" w:color="63E18C" w:themeColor="accent5" w:themeTint="99"/>
        <w:bottom w:val="single" w:sz="4" w:space="0" w:color="63E18C" w:themeColor="accent5" w:themeTint="99"/>
        <w:right w:val="single" w:sz="4" w:space="0" w:color="63E18C" w:themeColor="accent5" w:themeTint="99"/>
        <w:insideH w:val="single" w:sz="4" w:space="0" w:color="63E18C" w:themeColor="accent5" w:themeTint="99"/>
      </w:tblBorders>
    </w:tblPr>
    <w:tblStylePr w:type="firstRow">
      <w:rPr>
        <w:b/>
        <w:bCs/>
        <w:color w:val="FFFFFF" w:themeColor="background1"/>
      </w:rPr>
      <w:tblPr/>
      <w:tcPr>
        <w:tcBorders>
          <w:top w:val="single" w:sz="4" w:space="0" w:color="20AA4D" w:themeColor="accent5"/>
          <w:left w:val="single" w:sz="4" w:space="0" w:color="20AA4D" w:themeColor="accent5"/>
          <w:bottom w:val="single" w:sz="4" w:space="0" w:color="20AA4D" w:themeColor="accent5"/>
          <w:right w:val="single" w:sz="4" w:space="0" w:color="20AA4D" w:themeColor="accent5"/>
          <w:insideH w:val="nil"/>
        </w:tcBorders>
        <w:shd w:val="clear" w:color="auto" w:fill="20AA4D" w:themeFill="accent5"/>
      </w:tcPr>
    </w:tblStylePr>
    <w:tblStylePr w:type="lastRow">
      <w:rPr>
        <w:b/>
        <w:bCs/>
      </w:rPr>
      <w:tblPr/>
      <w:tcPr>
        <w:tcBorders>
          <w:top w:val="double" w:sz="4" w:space="0" w:color="63E18C" w:themeColor="accent5" w:themeTint="99"/>
        </w:tcBorders>
      </w:tcPr>
    </w:tblStylePr>
    <w:tblStylePr w:type="firstCol">
      <w:rPr>
        <w:b/>
        <w:bCs/>
      </w:rPr>
    </w:tblStylePr>
    <w:tblStylePr w:type="lastCol">
      <w:rPr>
        <w:b/>
        <w:bCs/>
      </w:rPr>
    </w:tblStylePr>
    <w:tblStylePr w:type="band1Vert">
      <w:tblPr/>
      <w:tcPr>
        <w:shd w:val="clear" w:color="auto" w:fill="CBF5D8" w:themeFill="accent5" w:themeFillTint="33"/>
      </w:tcPr>
    </w:tblStylePr>
    <w:tblStylePr w:type="band1Horz">
      <w:tblPr/>
      <w:tcPr>
        <w:shd w:val="clear" w:color="auto" w:fill="CBF5D8" w:themeFill="accent5" w:themeFillTint="33"/>
      </w:tcPr>
    </w:tblStylePr>
  </w:style>
  <w:style w:type="table" w:styleId="ListTable4-Accent6">
    <w:name w:val="List Table 4 Accent 6"/>
    <w:basedOn w:val="TableNormal"/>
    <w:uiPriority w:val="49"/>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3AC1FF" w:themeColor="accent6" w:themeTint="99"/>
        <w:left w:val="single" w:sz="4" w:space="0" w:color="3AC1FF" w:themeColor="accent6" w:themeTint="99"/>
        <w:bottom w:val="single" w:sz="4" w:space="0" w:color="3AC1FF" w:themeColor="accent6" w:themeTint="99"/>
        <w:right w:val="single" w:sz="4" w:space="0" w:color="3AC1FF" w:themeColor="accent6" w:themeTint="99"/>
        <w:insideH w:val="single" w:sz="4" w:space="0" w:color="3AC1FF" w:themeColor="accent6" w:themeTint="99"/>
      </w:tblBorders>
    </w:tblPr>
    <w:tblStylePr w:type="firstRow">
      <w:rPr>
        <w:b/>
        <w:bCs/>
        <w:color w:val="FFFFFF" w:themeColor="background1"/>
      </w:rPr>
      <w:tblPr/>
      <w:tcPr>
        <w:tcBorders>
          <w:top w:val="single" w:sz="4" w:space="0" w:color="007DB6" w:themeColor="accent6"/>
          <w:left w:val="single" w:sz="4" w:space="0" w:color="007DB6" w:themeColor="accent6"/>
          <w:bottom w:val="single" w:sz="4" w:space="0" w:color="007DB6" w:themeColor="accent6"/>
          <w:right w:val="single" w:sz="4" w:space="0" w:color="007DB6" w:themeColor="accent6"/>
          <w:insideH w:val="nil"/>
        </w:tcBorders>
        <w:shd w:val="clear" w:color="auto" w:fill="007DB6" w:themeFill="accent6"/>
      </w:tcPr>
    </w:tblStylePr>
    <w:tblStylePr w:type="lastRow">
      <w:rPr>
        <w:b/>
        <w:bCs/>
      </w:rPr>
      <w:tblPr/>
      <w:tcPr>
        <w:tcBorders>
          <w:top w:val="double" w:sz="4" w:space="0" w:color="3AC1FF" w:themeColor="accent6" w:themeTint="99"/>
        </w:tcBorders>
      </w:tcPr>
    </w:tblStylePr>
    <w:tblStylePr w:type="firstCol">
      <w:rPr>
        <w:b/>
        <w:bCs/>
      </w:rPr>
    </w:tblStylePr>
    <w:tblStylePr w:type="lastCol">
      <w:rPr>
        <w:b/>
        <w:bCs/>
      </w:rPr>
    </w:tblStylePr>
    <w:tblStylePr w:type="band1Vert">
      <w:tblPr/>
      <w:tcPr>
        <w:shd w:val="clear" w:color="auto" w:fill="BDEAFF" w:themeFill="accent6" w:themeFillTint="33"/>
      </w:tcPr>
    </w:tblStylePr>
    <w:tblStylePr w:type="band1Horz">
      <w:tblPr/>
      <w:tcPr>
        <w:shd w:val="clear" w:color="auto" w:fill="BDEAFF" w:themeFill="accent6" w:themeFillTint="33"/>
      </w:tcPr>
    </w:tblStylePr>
  </w:style>
  <w:style w:type="table" w:styleId="ListTable5Dark">
    <w:name w:val="List Table 5 Dark"/>
    <w:basedOn w:val="TableNormal"/>
    <w:uiPriority w:val="50"/>
    <w:rsid w:val="009D2459"/>
    <w:pPr>
      <w:spacing w:after="0" w:line="240" w:lineRule="auto"/>
    </w:pPr>
    <w:rPr>
      <w:rFonts w:eastAsia="Times New Roman" w:cs="Times New Roman"/>
      <w:color w:val="FFFFFF" w:themeColor="background1"/>
      <w:sz w:val="20"/>
      <w:szCs w:val="20"/>
      <w:lang w:eastAsia="en-AU"/>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9D2459"/>
    <w:pPr>
      <w:spacing w:after="0" w:line="240" w:lineRule="auto"/>
    </w:pPr>
    <w:rPr>
      <w:rFonts w:eastAsia="Times New Roman" w:cs="Times New Roman"/>
      <w:color w:val="FFFFFF" w:themeColor="background1"/>
      <w:sz w:val="20"/>
      <w:szCs w:val="20"/>
      <w:lang w:eastAsia="en-AU"/>
    </w:rPr>
    <w:tblPr>
      <w:tblStyleRowBandSize w:val="1"/>
      <w:tblStyleColBandSize w:val="1"/>
      <w:tblBorders>
        <w:top w:val="single" w:sz="24" w:space="0" w:color="D7D8D6" w:themeColor="accent1"/>
        <w:left w:val="single" w:sz="24" w:space="0" w:color="D7D8D6" w:themeColor="accent1"/>
        <w:bottom w:val="single" w:sz="24" w:space="0" w:color="D7D8D6" w:themeColor="accent1"/>
        <w:right w:val="single" w:sz="24" w:space="0" w:color="D7D8D6" w:themeColor="accent1"/>
      </w:tblBorders>
    </w:tblPr>
    <w:tcPr>
      <w:shd w:val="clear" w:color="auto" w:fill="D7D8D6"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9D2459"/>
    <w:pPr>
      <w:spacing w:after="0" w:line="240" w:lineRule="auto"/>
    </w:pPr>
    <w:rPr>
      <w:rFonts w:eastAsia="Times New Roman" w:cs="Times New Roman"/>
      <w:color w:val="FFFFFF" w:themeColor="background1"/>
      <w:sz w:val="20"/>
      <w:szCs w:val="20"/>
      <w:lang w:eastAsia="en-AU"/>
    </w:rPr>
    <w:tblPr>
      <w:tblStyleRowBandSize w:val="1"/>
      <w:tblStyleColBandSize w:val="1"/>
      <w:tblBorders>
        <w:top w:val="single" w:sz="24" w:space="0" w:color="FFC709" w:themeColor="accent2"/>
        <w:left w:val="single" w:sz="24" w:space="0" w:color="FFC709" w:themeColor="accent2"/>
        <w:bottom w:val="single" w:sz="24" w:space="0" w:color="FFC709" w:themeColor="accent2"/>
        <w:right w:val="single" w:sz="24" w:space="0" w:color="FFC709" w:themeColor="accent2"/>
      </w:tblBorders>
    </w:tblPr>
    <w:tcPr>
      <w:shd w:val="clear" w:color="auto" w:fill="FFC709"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9D2459"/>
    <w:pPr>
      <w:spacing w:after="0" w:line="240" w:lineRule="auto"/>
    </w:pPr>
    <w:rPr>
      <w:rFonts w:eastAsia="Times New Roman" w:cs="Times New Roman"/>
      <w:color w:val="FFFFFF" w:themeColor="background1"/>
      <w:sz w:val="20"/>
      <w:szCs w:val="20"/>
      <w:lang w:eastAsia="en-AU"/>
    </w:rPr>
    <w:tblPr>
      <w:tblStyleRowBandSize w:val="1"/>
      <w:tblStyleColBandSize w:val="1"/>
      <w:tblBorders>
        <w:top w:val="single" w:sz="24" w:space="0" w:color="CD163F" w:themeColor="accent3"/>
        <w:left w:val="single" w:sz="24" w:space="0" w:color="CD163F" w:themeColor="accent3"/>
        <w:bottom w:val="single" w:sz="24" w:space="0" w:color="CD163F" w:themeColor="accent3"/>
        <w:right w:val="single" w:sz="24" w:space="0" w:color="CD163F" w:themeColor="accent3"/>
      </w:tblBorders>
    </w:tblPr>
    <w:tcPr>
      <w:shd w:val="clear" w:color="auto" w:fill="CD163F"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9D2459"/>
    <w:pPr>
      <w:spacing w:after="0" w:line="240" w:lineRule="auto"/>
    </w:pPr>
    <w:rPr>
      <w:rFonts w:eastAsia="Times New Roman" w:cs="Times New Roman"/>
      <w:color w:val="FFFFFF" w:themeColor="background1"/>
      <w:sz w:val="20"/>
      <w:szCs w:val="20"/>
      <w:lang w:eastAsia="en-AU"/>
    </w:rPr>
    <w:tblPr>
      <w:tblStyleRowBandSize w:val="1"/>
      <w:tblStyleColBandSize w:val="1"/>
      <w:tblBorders>
        <w:top w:val="single" w:sz="24" w:space="0" w:color="692686" w:themeColor="accent4"/>
        <w:left w:val="single" w:sz="24" w:space="0" w:color="692686" w:themeColor="accent4"/>
        <w:bottom w:val="single" w:sz="24" w:space="0" w:color="692686" w:themeColor="accent4"/>
        <w:right w:val="single" w:sz="24" w:space="0" w:color="692686" w:themeColor="accent4"/>
      </w:tblBorders>
    </w:tblPr>
    <w:tcPr>
      <w:shd w:val="clear" w:color="auto" w:fill="692686"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9D2459"/>
    <w:pPr>
      <w:spacing w:after="0" w:line="240" w:lineRule="auto"/>
    </w:pPr>
    <w:rPr>
      <w:rFonts w:eastAsia="Times New Roman" w:cs="Times New Roman"/>
      <w:color w:val="FFFFFF" w:themeColor="background1"/>
      <w:sz w:val="20"/>
      <w:szCs w:val="20"/>
      <w:lang w:eastAsia="en-AU"/>
    </w:rPr>
    <w:tblPr>
      <w:tblStyleRowBandSize w:val="1"/>
      <w:tblStyleColBandSize w:val="1"/>
      <w:tblBorders>
        <w:top w:val="single" w:sz="24" w:space="0" w:color="20AA4D" w:themeColor="accent5"/>
        <w:left w:val="single" w:sz="24" w:space="0" w:color="20AA4D" w:themeColor="accent5"/>
        <w:bottom w:val="single" w:sz="24" w:space="0" w:color="20AA4D" w:themeColor="accent5"/>
        <w:right w:val="single" w:sz="24" w:space="0" w:color="20AA4D" w:themeColor="accent5"/>
      </w:tblBorders>
    </w:tblPr>
    <w:tcPr>
      <w:shd w:val="clear" w:color="auto" w:fill="20AA4D"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9D2459"/>
    <w:pPr>
      <w:spacing w:after="0" w:line="240" w:lineRule="auto"/>
    </w:pPr>
    <w:rPr>
      <w:rFonts w:eastAsia="Times New Roman" w:cs="Times New Roman"/>
      <w:color w:val="FFFFFF" w:themeColor="background1"/>
      <w:sz w:val="20"/>
      <w:szCs w:val="20"/>
      <w:lang w:eastAsia="en-AU"/>
    </w:rPr>
    <w:tblPr>
      <w:tblStyleRowBandSize w:val="1"/>
      <w:tblStyleColBandSize w:val="1"/>
      <w:tblBorders>
        <w:top w:val="single" w:sz="24" w:space="0" w:color="007DB6" w:themeColor="accent6"/>
        <w:left w:val="single" w:sz="24" w:space="0" w:color="007DB6" w:themeColor="accent6"/>
        <w:bottom w:val="single" w:sz="24" w:space="0" w:color="007DB6" w:themeColor="accent6"/>
        <w:right w:val="single" w:sz="24" w:space="0" w:color="007DB6" w:themeColor="accent6"/>
      </w:tblBorders>
    </w:tblPr>
    <w:tcPr>
      <w:shd w:val="clear" w:color="auto" w:fill="007DB6"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9D2459"/>
    <w:pPr>
      <w:spacing w:after="0" w:line="240" w:lineRule="auto"/>
    </w:pPr>
    <w:rPr>
      <w:rFonts w:eastAsia="Times New Roman" w:cs="Times New Roman"/>
      <w:color w:val="000000" w:themeColor="text1"/>
      <w:sz w:val="20"/>
      <w:szCs w:val="20"/>
      <w:lang w:eastAsia="en-AU"/>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9D2459"/>
    <w:pPr>
      <w:spacing w:after="0" w:line="240" w:lineRule="auto"/>
    </w:pPr>
    <w:rPr>
      <w:rFonts w:eastAsia="Times New Roman" w:cs="Times New Roman"/>
      <w:color w:val="A0A39E" w:themeColor="accent1" w:themeShade="BF"/>
      <w:sz w:val="20"/>
      <w:szCs w:val="20"/>
      <w:lang w:eastAsia="en-AU"/>
    </w:rPr>
    <w:tblPr>
      <w:tblStyleRowBandSize w:val="1"/>
      <w:tblStyleColBandSize w:val="1"/>
      <w:tblBorders>
        <w:top w:val="single" w:sz="4" w:space="0" w:color="D7D8D6" w:themeColor="accent1"/>
        <w:bottom w:val="single" w:sz="4" w:space="0" w:color="D7D8D6" w:themeColor="accent1"/>
      </w:tblBorders>
    </w:tblPr>
    <w:tblStylePr w:type="firstRow">
      <w:rPr>
        <w:b/>
        <w:bCs/>
      </w:rPr>
      <w:tblPr/>
      <w:tcPr>
        <w:tcBorders>
          <w:bottom w:val="single" w:sz="4" w:space="0" w:color="D7D8D6" w:themeColor="accent1"/>
        </w:tcBorders>
      </w:tcPr>
    </w:tblStylePr>
    <w:tblStylePr w:type="lastRow">
      <w:rPr>
        <w:b/>
        <w:bCs/>
      </w:rPr>
      <w:tblPr/>
      <w:tcPr>
        <w:tcBorders>
          <w:top w:val="double" w:sz="4" w:space="0" w:color="D7D8D6" w:themeColor="accent1"/>
        </w:tcBorders>
      </w:tcPr>
    </w:tblStylePr>
    <w:tblStylePr w:type="firstCol">
      <w:rPr>
        <w:b/>
        <w:bCs/>
      </w:rPr>
    </w:tblStylePr>
    <w:tblStylePr w:type="lastCol">
      <w:rPr>
        <w:b/>
        <w:bCs/>
      </w:rPr>
    </w:tblStylePr>
    <w:tblStylePr w:type="band1Vert">
      <w:tblPr/>
      <w:tcPr>
        <w:shd w:val="clear" w:color="auto" w:fill="F6F7F6" w:themeFill="accent1" w:themeFillTint="33"/>
      </w:tcPr>
    </w:tblStylePr>
    <w:tblStylePr w:type="band1Horz">
      <w:tblPr/>
      <w:tcPr>
        <w:shd w:val="clear" w:color="auto" w:fill="F6F7F6" w:themeFill="accent1" w:themeFillTint="33"/>
      </w:tcPr>
    </w:tblStylePr>
  </w:style>
  <w:style w:type="table" w:styleId="ListTable6Colorful-Accent2">
    <w:name w:val="List Table 6 Colorful Accent 2"/>
    <w:basedOn w:val="TableNormal"/>
    <w:uiPriority w:val="51"/>
    <w:rsid w:val="009D2459"/>
    <w:pPr>
      <w:spacing w:after="0" w:line="240" w:lineRule="auto"/>
    </w:pPr>
    <w:rPr>
      <w:rFonts w:eastAsia="Times New Roman" w:cs="Times New Roman"/>
      <w:color w:val="C59700" w:themeColor="accent2" w:themeShade="BF"/>
      <w:sz w:val="20"/>
      <w:szCs w:val="20"/>
      <w:lang w:eastAsia="en-AU"/>
    </w:rPr>
    <w:tblPr>
      <w:tblStyleRowBandSize w:val="1"/>
      <w:tblStyleColBandSize w:val="1"/>
      <w:tblBorders>
        <w:top w:val="single" w:sz="4" w:space="0" w:color="FFC709" w:themeColor="accent2"/>
        <w:bottom w:val="single" w:sz="4" w:space="0" w:color="FFC709" w:themeColor="accent2"/>
      </w:tblBorders>
    </w:tblPr>
    <w:tblStylePr w:type="firstRow">
      <w:rPr>
        <w:b/>
        <w:bCs/>
      </w:rPr>
      <w:tblPr/>
      <w:tcPr>
        <w:tcBorders>
          <w:bottom w:val="single" w:sz="4" w:space="0" w:color="FFC709" w:themeColor="accent2"/>
        </w:tcBorders>
      </w:tcPr>
    </w:tblStylePr>
    <w:tblStylePr w:type="lastRow">
      <w:rPr>
        <w:b/>
        <w:bCs/>
      </w:rPr>
      <w:tblPr/>
      <w:tcPr>
        <w:tcBorders>
          <w:top w:val="double" w:sz="4" w:space="0" w:color="FFC709" w:themeColor="accent2"/>
        </w:tcBorders>
      </w:tcPr>
    </w:tblStylePr>
    <w:tblStylePr w:type="firstCol">
      <w:rPr>
        <w:b/>
        <w:bCs/>
      </w:rPr>
    </w:tblStylePr>
    <w:tblStylePr w:type="lastCol">
      <w:rPr>
        <w:b/>
        <w:bCs/>
      </w:rPr>
    </w:tblStylePr>
    <w:tblStylePr w:type="band1Vert">
      <w:tblPr/>
      <w:tcPr>
        <w:shd w:val="clear" w:color="auto" w:fill="FFF3CD" w:themeFill="accent2" w:themeFillTint="33"/>
      </w:tcPr>
    </w:tblStylePr>
    <w:tblStylePr w:type="band1Horz">
      <w:tblPr/>
      <w:tcPr>
        <w:shd w:val="clear" w:color="auto" w:fill="FFF3CD" w:themeFill="accent2" w:themeFillTint="33"/>
      </w:tcPr>
    </w:tblStylePr>
  </w:style>
  <w:style w:type="table" w:styleId="ListTable6Colorful-Accent3">
    <w:name w:val="List Table 6 Colorful Accent 3"/>
    <w:basedOn w:val="TableNormal"/>
    <w:uiPriority w:val="51"/>
    <w:rsid w:val="009D2459"/>
    <w:pPr>
      <w:spacing w:after="0" w:line="240" w:lineRule="auto"/>
    </w:pPr>
    <w:rPr>
      <w:rFonts w:eastAsia="Times New Roman" w:cs="Times New Roman"/>
      <w:color w:val="99102F" w:themeColor="accent3" w:themeShade="BF"/>
      <w:sz w:val="20"/>
      <w:szCs w:val="20"/>
      <w:lang w:eastAsia="en-AU"/>
    </w:rPr>
    <w:tblPr>
      <w:tblStyleRowBandSize w:val="1"/>
      <w:tblStyleColBandSize w:val="1"/>
      <w:tblBorders>
        <w:top w:val="single" w:sz="4" w:space="0" w:color="CD163F" w:themeColor="accent3"/>
        <w:bottom w:val="single" w:sz="4" w:space="0" w:color="CD163F" w:themeColor="accent3"/>
      </w:tblBorders>
    </w:tblPr>
    <w:tblStylePr w:type="firstRow">
      <w:rPr>
        <w:b/>
        <w:bCs/>
      </w:rPr>
      <w:tblPr/>
      <w:tcPr>
        <w:tcBorders>
          <w:bottom w:val="single" w:sz="4" w:space="0" w:color="CD163F" w:themeColor="accent3"/>
        </w:tcBorders>
      </w:tcPr>
    </w:tblStylePr>
    <w:tblStylePr w:type="lastRow">
      <w:rPr>
        <w:b/>
        <w:bCs/>
      </w:rPr>
      <w:tblPr/>
      <w:tcPr>
        <w:tcBorders>
          <w:top w:val="double" w:sz="4" w:space="0" w:color="CD163F" w:themeColor="accent3"/>
        </w:tcBorders>
      </w:tcPr>
    </w:tblStylePr>
    <w:tblStylePr w:type="firstCol">
      <w:rPr>
        <w:b/>
        <w:bCs/>
      </w:rPr>
    </w:tblStylePr>
    <w:tblStylePr w:type="lastCol">
      <w:rPr>
        <w:b/>
        <w:bCs/>
      </w:rPr>
    </w:tblStylePr>
    <w:tblStylePr w:type="band1Vert">
      <w:tblPr/>
      <w:tcPr>
        <w:shd w:val="clear" w:color="auto" w:fill="F9CBD6" w:themeFill="accent3" w:themeFillTint="33"/>
      </w:tcPr>
    </w:tblStylePr>
    <w:tblStylePr w:type="band1Horz">
      <w:tblPr/>
      <w:tcPr>
        <w:shd w:val="clear" w:color="auto" w:fill="F9CBD6" w:themeFill="accent3" w:themeFillTint="33"/>
      </w:tcPr>
    </w:tblStylePr>
  </w:style>
  <w:style w:type="table" w:styleId="ListTable6Colorful-Accent4">
    <w:name w:val="List Table 6 Colorful Accent 4"/>
    <w:basedOn w:val="TableNormal"/>
    <w:uiPriority w:val="51"/>
    <w:rsid w:val="009D2459"/>
    <w:pPr>
      <w:spacing w:after="0" w:line="240" w:lineRule="auto"/>
    </w:pPr>
    <w:rPr>
      <w:rFonts w:eastAsia="Times New Roman" w:cs="Times New Roman"/>
      <w:color w:val="4E1C64" w:themeColor="accent4" w:themeShade="BF"/>
      <w:sz w:val="20"/>
      <w:szCs w:val="20"/>
      <w:lang w:eastAsia="en-AU"/>
    </w:rPr>
    <w:tblPr>
      <w:tblStyleRowBandSize w:val="1"/>
      <w:tblStyleColBandSize w:val="1"/>
      <w:tblBorders>
        <w:top w:val="single" w:sz="4" w:space="0" w:color="692686" w:themeColor="accent4"/>
        <w:bottom w:val="single" w:sz="4" w:space="0" w:color="692686" w:themeColor="accent4"/>
      </w:tblBorders>
    </w:tblPr>
    <w:tblStylePr w:type="firstRow">
      <w:rPr>
        <w:b/>
        <w:bCs/>
      </w:rPr>
      <w:tblPr/>
      <w:tcPr>
        <w:tcBorders>
          <w:bottom w:val="single" w:sz="4" w:space="0" w:color="692686" w:themeColor="accent4"/>
        </w:tcBorders>
      </w:tcPr>
    </w:tblStylePr>
    <w:tblStylePr w:type="lastRow">
      <w:rPr>
        <w:b/>
        <w:bCs/>
      </w:rPr>
      <w:tblPr/>
      <w:tcPr>
        <w:tcBorders>
          <w:top w:val="double" w:sz="4" w:space="0" w:color="692686" w:themeColor="accent4"/>
        </w:tcBorders>
      </w:tcPr>
    </w:tblStylePr>
    <w:tblStylePr w:type="firstCol">
      <w:rPr>
        <w:b/>
        <w:bCs/>
      </w:rPr>
    </w:tblStylePr>
    <w:tblStylePr w:type="lastCol">
      <w:rPr>
        <w:b/>
        <w:bCs/>
      </w:rPr>
    </w:tblStylePr>
    <w:tblStylePr w:type="band1Vert">
      <w:tblPr/>
      <w:tcPr>
        <w:shd w:val="clear" w:color="auto" w:fill="E4CAF0" w:themeFill="accent4" w:themeFillTint="33"/>
      </w:tcPr>
    </w:tblStylePr>
    <w:tblStylePr w:type="band1Horz">
      <w:tblPr/>
      <w:tcPr>
        <w:shd w:val="clear" w:color="auto" w:fill="E4CAF0" w:themeFill="accent4" w:themeFillTint="33"/>
      </w:tcPr>
    </w:tblStylePr>
  </w:style>
  <w:style w:type="table" w:styleId="ListTable6Colorful-Accent5">
    <w:name w:val="List Table 6 Colorful Accent 5"/>
    <w:basedOn w:val="TableNormal"/>
    <w:uiPriority w:val="51"/>
    <w:rsid w:val="009D2459"/>
    <w:pPr>
      <w:spacing w:after="0" w:line="240" w:lineRule="auto"/>
    </w:pPr>
    <w:rPr>
      <w:rFonts w:eastAsia="Times New Roman" w:cs="Times New Roman"/>
      <w:color w:val="187F39" w:themeColor="accent5" w:themeShade="BF"/>
      <w:sz w:val="20"/>
      <w:szCs w:val="20"/>
      <w:lang w:eastAsia="en-AU"/>
    </w:rPr>
    <w:tblPr>
      <w:tblStyleRowBandSize w:val="1"/>
      <w:tblStyleColBandSize w:val="1"/>
      <w:tblBorders>
        <w:top w:val="single" w:sz="4" w:space="0" w:color="20AA4D" w:themeColor="accent5"/>
        <w:bottom w:val="single" w:sz="4" w:space="0" w:color="20AA4D" w:themeColor="accent5"/>
      </w:tblBorders>
    </w:tblPr>
    <w:tblStylePr w:type="firstRow">
      <w:rPr>
        <w:b/>
        <w:bCs/>
      </w:rPr>
      <w:tblPr/>
      <w:tcPr>
        <w:tcBorders>
          <w:bottom w:val="single" w:sz="4" w:space="0" w:color="20AA4D" w:themeColor="accent5"/>
        </w:tcBorders>
      </w:tcPr>
    </w:tblStylePr>
    <w:tblStylePr w:type="lastRow">
      <w:rPr>
        <w:b/>
        <w:bCs/>
      </w:rPr>
      <w:tblPr/>
      <w:tcPr>
        <w:tcBorders>
          <w:top w:val="double" w:sz="4" w:space="0" w:color="20AA4D" w:themeColor="accent5"/>
        </w:tcBorders>
      </w:tcPr>
    </w:tblStylePr>
    <w:tblStylePr w:type="firstCol">
      <w:rPr>
        <w:b/>
        <w:bCs/>
      </w:rPr>
    </w:tblStylePr>
    <w:tblStylePr w:type="lastCol">
      <w:rPr>
        <w:b/>
        <w:bCs/>
      </w:rPr>
    </w:tblStylePr>
    <w:tblStylePr w:type="band1Vert">
      <w:tblPr/>
      <w:tcPr>
        <w:shd w:val="clear" w:color="auto" w:fill="CBF5D8" w:themeFill="accent5" w:themeFillTint="33"/>
      </w:tcPr>
    </w:tblStylePr>
    <w:tblStylePr w:type="band1Horz">
      <w:tblPr/>
      <w:tcPr>
        <w:shd w:val="clear" w:color="auto" w:fill="CBF5D8" w:themeFill="accent5" w:themeFillTint="33"/>
      </w:tcPr>
    </w:tblStylePr>
  </w:style>
  <w:style w:type="table" w:styleId="ListTable6Colorful-Accent6">
    <w:name w:val="List Table 6 Colorful Accent 6"/>
    <w:basedOn w:val="TableNormal"/>
    <w:uiPriority w:val="51"/>
    <w:rsid w:val="009D2459"/>
    <w:pPr>
      <w:spacing w:after="0" w:line="240" w:lineRule="auto"/>
    </w:pPr>
    <w:rPr>
      <w:rFonts w:eastAsia="Times New Roman" w:cs="Times New Roman"/>
      <w:color w:val="005D88" w:themeColor="accent6" w:themeShade="BF"/>
      <w:sz w:val="20"/>
      <w:szCs w:val="20"/>
      <w:lang w:eastAsia="en-AU"/>
    </w:rPr>
    <w:tblPr>
      <w:tblStyleRowBandSize w:val="1"/>
      <w:tblStyleColBandSize w:val="1"/>
      <w:tblBorders>
        <w:top w:val="single" w:sz="4" w:space="0" w:color="007DB6" w:themeColor="accent6"/>
        <w:bottom w:val="single" w:sz="4" w:space="0" w:color="007DB6" w:themeColor="accent6"/>
      </w:tblBorders>
    </w:tblPr>
    <w:tblStylePr w:type="firstRow">
      <w:rPr>
        <w:b/>
        <w:bCs/>
      </w:rPr>
      <w:tblPr/>
      <w:tcPr>
        <w:tcBorders>
          <w:bottom w:val="single" w:sz="4" w:space="0" w:color="007DB6" w:themeColor="accent6"/>
        </w:tcBorders>
      </w:tcPr>
    </w:tblStylePr>
    <w:tblStylePr w:type="lastRow">
      <w:rPr>
        <w:b/>
        <w:bCs/>
      </w:rPr>
      <w:tblPr/>
      <w:tcPr>
        <w:tcBorders>
          <w:top w:val="double" w:sz="4" w:space="0" w:color="007DB6" w:themeColor="accent6"/>
        </w:tcBorders>
      </w:tcPr>
    </w:tblStylePr>
    <w:tblStylePr w:type="firstCol">
      <w:rPr>
        <w:b/>
        <w:bCs/>
      </w:rPr>
    </w:tblStylePr>
    <w:tblStylePr w:type="lastCol">
      <w:rPr>
        <w:b/>
        <w:bCs/>
      </w:rPr>
    </w:tblStylePr>
    <w:tblStylePr w:type="band1Vert">
      <w:tblPr/>
      <w:tcPr>
        <w:shd w:val="clear" w:color="auto" w:fill="BDEAFF" w:themeFill="accent6" w:themeFillTint="33"/>
      </w:tcPr>
    </w:tblStylePr>
    <w:tblStylePr w:type="band1Horz">
      <w:tblPr/>
      <w:tcPr>
        <w:shd w:val="clear" w:color="auto" w:fill="BDEAFF" w:themeFill="accent6" w:themeFillTint="33"/>
      </w:tcPr>
    </w:tblStylePr>
  </w:style>
  <w:style w:type="table" w:styleId="ListTable7Colorful">
    <w:name w:val="List Table 7 Colorful"/>
    <w:basedOn w:val="TableNormal"/>
    <w:uiPriority w:val="52"/>
    <w:rsid w:val="009D2459"/>
    <w:pPr>
      <w:spacing w:after="0" w:line="240" w:lineRule="auto"/>
    </w:pPr>
    <w:rPr>
      <w:rFonts w:eastAsia="Times New Roman" w:cs="Times New Roman"/>
      <w:color w:val="000000" w:themeColor="text1"/>
      <w:sz w:val="20"/>
      <w:szCs w:val="20"/>
      <w:lang w:eastAsia="en-A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9D2459"/>
    <w:pPr>
      <w:spacing w:after="0" w:line="240" w:lineRule="auto"/>
    </w:pPr>
    <w:rPr>
      <w:rFonts w:eastAsia="Times New Roman" w:cs="Times New Roman"/>
      <w:color w:val="A0A39E" w:themeColor="accent1" w:themeShade="BF"/>
      <w:sz w:val="20"/>
      <w:szCs w:val="20"/>
      <w:lang w:eastAsia="en-A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D7D8D6"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D7D8D6"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D7D8D6"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D7D8D6" w:themeColor="accent1"/>
        </w:tcBorders>
        <w:shd w:val="clear" w:color="auto" w:fill="FFFFFF" w:themeFill="background1"/>
      </w:tcPr>
    </w:tblStylePr>
    <w:tblStylePr w:type="band1Vert">
      <w:tblPr/>
      <w:tcPr>
        <w:shd w:val="clear" w:color="auto" w:fill="F6F7F6" w:themeFill="accent1" w:themeFillTint="33"/>
      </w:tcPr>
    </w:tblStylePr>
    <w:tblStylePr w:type="band1Horz">
      <w:tblPr/>
      <w:tcPr>
        <w:shd w:val="clear" w:color="auto" w:fill="F6F7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9D2459"/>
    <w:pPr>
      <w:spacing w:after="0" w:line="240" w:lineRule="auto"/>
    </w:pPr>
    <w:rPr>
      <w:rFonts w:eastAsia="Times New Roman" w:cs="Times New Roman"/>
      <w:color w:val="C59700" w:themeColor="accent2" w:themeShade="BF"/>
      <w:sz w:val="20"/>
      <w:szCs w:val="20"/>
      <w:lang w:eastAsia="en-A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709"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709"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709"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709" w:themeColor="accent2"/>
        </w:tcBorders>
        <w:shd w:val="clear" w:color="auto" w:fill="FFFFFF" w:themeFill="background1"/>
      </w:tcPr>
    </w:tblStylePr>
    <w:tblStylePr w:type="band1Vert">
      <w:tblPr/>
      <w:tcPr>
        <w:shd w:val="clear" w:color="auto" w:fill="FFF3CD" w:themeFill="accent2" w:themeFillTint="33"/>
      </w:tcPr>
    </w:tblStylePr>
    <w:tblStylePr w:type="band1Horz">
      <w:tblPr/>
      <w:tcPr>
        <w:shd w:val="clear" w:color="auto" w:fill="FFF3CD"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9D2459"/>
    <w:pPr>
      <w:spacing w:after="0" w:line="240" w:lineRule="auto"/>
    </w:pPr>
    <w:rPr>
      <w:rFonts w:eastAsia="Times New Roman" w:cs="Times New Roman"/>
      <w:color w:val="99102F" w:themeColor="accent3" w:themeShade="BF"/>
      <w:sz w:val="20"/>
      <w:szCs w:val="20"/>
      <w:lang w:eastAsia="en-A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D163F"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D163F"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D163F"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D163F" w:themeColor="accent3"/>
        </w:tcBorders>
        <w:shd w:val="clear" w:color="auto" w:fill="FFFFFF" w:themeFill="background1"/>
      </w:tcPr>
    </w:tblStylePr>
    <w:tblStylePr w:type="band1Vert">
      <w:tblPr/>
      <w:tcPr>
        <w:shd w:val="clear" w:color="auto" w:fill="F9CBD6" w:themeFill="accent3" w:themeFillTint="33"/>
      </w:tcPr>
    </w:tblStylePr>
    <w:tblStylePr w:type="band1Horz">
      <w:tblPr/>
      <w:tcPr>
        <w:shd w:val="clear" w:color="auto" w:fill="F9CBD6"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9D2459"/>
    <w:pPr>
      <w:spacing w:after="0" w:line="240" w:lineRule="auto"/>
    </w:pPr>
    <w:rPr>
      <w:rFonts w:eastAsia="Times New Roman" w:cs="Times New Roman"/>
      <w:color w:val="4E1C64" w:themeColor="accent4" w:themeShade="BF"/>
      <w:sz w:val="20"/>
      <w:szCs w:val="20"/>
      <w:lang w:eastAsia="en-A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92686"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92686"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92686"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92686" w:themeColor="accent4"/>
        </w:tcBorders>
        <w:shd w:val="clear" w:color="auto" w:fill="FFFFFF" w:themeFill="background1"/>
      </w:tcPr>
    </w:tblStylePr>
    <w:tblStylePr w:type="band1Vert">
      <w:tblPr/>
      <w:tcPr>
        <w:shd w:val="clear" w:color="auto" w:fill="E4CAF0" w:themeFill="accent4" w:themeFillTint="33"/>
      </w:tcPr>
    </w:tblStylePr>
    <w:tblStylePr w:type="band1Horz">
      <w:tblPr/>
      <w:tcPr>
        <w:shd w:val="clear" w:color="auto" w:fill="E4CAF0"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9D2459"/>
    <w:pPr>
      <w:spacing w:after="0" w:line="240" w:lineRule="auto"/>
    </w:pPr>
    <w:rPr>
      <w:rFonts w:eastAsia="Times New Roman" w:cs="Times New Roman"/>
      <w:color w:val="187F39" w:themeColor="accent5" w:themeShade="BF"/>
      <w:sz w:val="20"/>
      <w:szCs w:val="20"/>
      <w:lang w:eastAsia="en-A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0AA4D"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0AA4D"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0AA4D"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0AA4D" w:themeColor="accent5"/>
        </w:tcBorders>
        <w:shd w:val="clear" w:color="auto" w:fill="FFFFFF" w:themeFill="background1"/>
      </w:tcPr>
    </w:tblStylePr>
    <w:tblStylePr w:type="band1Vert">
      <w:tblPr/>
      <w:tcPr>
        <w:shd w:val="clear" w:color="auto" w:fill="CBF5D8" w:themeFill="accent5" w:themeFillTint="33"/>
      </w:tcPr>
    </w:tblStylePr>
    <w:tblStylePr w:type="band1Horz">
      <w:tblPr/>
      <w:tcPr>
        <w:shd w:val="clear" w:color="auto" w:fill="CBF5D8"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9D2459"/>
    <w:pPr>
      <w:spacing w:after="0" w:line="240" w:lineRule="auto"/>
    </w:pPr>
    <w:rPr>
      <w:rFonts w:eastAsia="Times New Roman" w:cs="Times New Roman"/>
      <w:color w:val="005D88" w:themeColor="accent6" w:themeShade="BF"/>
      <w:sz w:val="20"/>
      <w:szCs w:val="20"/>
      <w:lang w:eastAsia="en-A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7DB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7DB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7DB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7DB6" w:themeColor="accent6"/>
        </w:tcBorders>
        <w:shd w:val="clear" w:color="auto" w:fill="FFFFFF" w:themeFill="background1"/>
      </w:tcPr>
    </w:tblStylePr>
    <w:tblStylePr w:type="band1Vert">
      <w:tblPr/>
      <w:tcPr>
        <w:shd w:val="clear" w:color="auto" w:fill="BDEAFF" w:themeFill="accent6" w:themeFillTint="33"/>
      </w:tcPr>
    </w:tblStylePr>
    <w:tblStylePr w:type="band1Horz">
      <w:tblPr/>
      <w:tcPr>
        <w:shd w:val="clear" w:color="auto" w:fill="BDEAFF"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E0E1E0" w:themeColor="accent1" w:themeTint="BF"/>
        <w:left w:val="single" w:sz="8" w:space="0" w:color="E0E1E0" w:themeColor="accent1" w:themeTint="BF"/>
        <w:bottom w:val="single" w:sz="8" w:space="0" w:color="E0E1E0" w:themeColor="accent1" w:themeTint="BF"/>
        <w:right w:val="single" w:sz="8" w:space="0" w:color="E0E1E0" w:themeColor="accent1" w:themeTint="BF"/>
        <w:insideH w:val="single" w:sz="8" w:space="0" w:color="E0E1E0" w:themeColor="accent1" w:themeTint="BF"/>
        <w:insideV w:val="single" w:sz="8" w:space="0" w:color="E0E1E0" w:themeColor="accent1" w:themeTint="BF"/>
      </w:tblBorders>
    </w:tblPr>
    <w:tcPr>
      <w:shd w:val="clear" w:color="auto" w:fill="F4F5F4" w:themeFill="accent1" w:themeFillTint="3F"/>
    </w:tcPr>
    <w:tblStylePr w:type="firstRow">
      <w:rPr>
        <w:b/>
        <w:bCs/>
      </w:rPr>
    </w:tblStylePr>
    <w:tblStylePr w:type="lastRow">
      <w:rPr>
        <w:b/>
        <w:bCs/>
      </w:rPr>
      <w:tblPr/>
      <w:tcPr>
        <w:tcBorders>
          <w:top w:val="single" w:sz="18" w:space="0" w:color="E0E1E0" w:themeColor="accent1" w:themeTint="BF"/>
        </w:tcBorders>
      </w:tcPr>
    </w:tblStylePr>
    <w:tblStylePr w:type="firstCol">
      <w:rPr>
        <w:b/>
        <w:bCs/>
      </w:rPr>
    </w:tblStylePr>
    <w:tblStylePr w:type="lastCol">
      <w:rPr>
        <w:b/>
        <w:bCs/>
      </w:rPr>
    </w:tblStylePr>
    <w:tblStylePr w:type="band1Vert">
      <w:tblPr/>
      <w:tcPr>
        <w:shd w:val="clear" w:color="auto" w:fill="EAEBEA" w:themeFill="accent1" w:themeFillTint="7F"/>
      </w:tcPr>
    </w:tblStylePr>
    <w:tblStylePr w:type="band1Horz">
      <w:tblPr/>
      <w:tcPr>
        <w:shd w:val="clear" w:color="auto" w:fill="EAEBEA" w:themeFill="accent1" w:themeFillTint="7F"/>
      </w:tcPr>
    </w:tblStylePr>
  </w:style>
  <w:style w:type="table" w:styleId="MediumGrid1-Accent2">
    <w:name w:val="Medium Grid 1 Accent 2"/>
    <w:basedOn w:val="TableNormal"/>
    <w:uiPriority w:val="67"/>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FFD446" w:themeColor="accent2" w:themeTint="BF"/>
        <w:left w:val="single" w:sz="8" w:space="0" w:color="FFD446" w:themeColor="accent2" w:themeTint="BF"/>
        <w:bottom w:val="single" w:sz="8" w:space="0" w:color="FFD446" w:themeColor="accent2" w:themeTint="BF"/>
        <w:right w:val="single" w:sz="8" w:space="0" w:color="FFD446" w:themeColor="accent2" w:themeTint="BF"/>
        <w:insideH w:val="single" w:sz="8" w:space="0" w:color="FFD446" w:themeColor="accent2" w:themeTint="BF"/>
        <w:insideV w:val="single" w:sz="8" w:space="0" w:color="FFD446" w:themeColor="accent2" w:themeTint="BF"/>
      </w:tblBorders>
    </w:tblPr>
    <w:tcPr>
      <w:shd w:val="clear" w:color="auto" w:fill="FFF0C2" w:themeFill="accent2" w:themeFillTint="3F"/>
    </w:tcPr>
    <w:tblStylePr w:type="firstRow">
      <w:rPr>
        <w:b/>
        <w:bCs/>
      </w:rPr>
    </w:tblStylePr>
    <w:tblStylePr w:type="lastRow">
      <w:rPr>
        <w:b/>
        <w:bCs/>
      </w:rPr>
      <w:tblPr/>
      <w:tcPr>
        <w:tcBorders>
          <w:top w:val="single" w:sz="18" w:space="0" w:color="FFD446" w:themeColor="accent2" w:themeTint="BF"/>
        </w:tcBorders>
      </w:tcPr>
    </w:tblStylePr>
    <w:tblStylePr w:type="firstCol">
      <w:rPr>
        <w:b/>
        <w:bCs/>
      </w:rPr>
    </w:tblStylePr>
    <w:tblStylePr w:type="lastCol">
      <w:rPr>
        <w:b/>
        <w:bCs/>
      </w:rPr>
    </w:tblStylePr>
    <w:tblStylePr w:type="band1Vert">
      <w:tblPr/>
      <w:tcPr>
        <w:shd w:val="clear" w:color="auto" w:fill="FFE284" w:themeFill="accent2" w:themeFillTint="7F"/>
      </w:tcPr>
    </w:tblStylePr>
    <w:tblStylePr w:type="band1Horz">
      <w:tblPr/>
      <w:tcPr>
        <w:shd w:val="clear" w:color="auto" w:fill="FFE284" w:themeFill="accent2" w:themeFillTint="7F"/>
      </w:tcPr>
    </w:tblStylePr>
  </w:style>
  <w:style w:type="table" w:styleId="MediumGrid1-Accent3">
    <w:name w:val="Medium Grid 1 Accent 3"/>
    <w:basedOn w:val="TableNormal"/>
    <w:uiPriority w:val="67"/>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EA3F65" w:themeColor="accent3" w:themeTint="BF"/>
        <w:left w:val="single" w:sz="8" w:space="0" w:color="EA3F65" w:themeColor="accent3" w:themeTint="BF"/>
        <w:bottom w:val="single" w:sz="8" w:space="0" w:color="EA3F65" w:themeColor="accent3" w:themeTint="BF"/>
        <w:right w:val="single" w:sz="8" w:space="0" w:color="EA3F65" w:themeColor="accent3" w:themeTint="BF"/>
        <w:insideH w:val="single" w:sz="8" w:space="0" w:color="EA3F65" w:themeColor="accent3" w:themeTint="BF"/>
        <w:insideV w:val="single" w:sz="8" w:space="0" w:color="EA3F65" w:themeColor="accent3" w:themeTint="BF"/>
      </w:tblBorders>
    </w:tblPr>
    <w:tcPr>
      <w:shd w:val="clear" w:color="auto" w:fill="F8BFCC" w:themeFill="accent3" w:themeFillTint="3F"/>
    </w:tcPr>
    <w:tblStylePr w:type="firstRow">
      <w:rPr>
        <w:b/>
        <w:bCs/>
      </w:rPr>
    </w:tblStylePr>
    <w:tblStylePr w:type="lastRow">
      <w:rPr>
        <w:b/>
        <w:bCs/>
      </w:rPr>
      <w:tblPr/>
      <w:tcPr>
        <w:tcBorders>
          <w:top w:val="single" w:sz="18" w:space="0" w:color="EA3F65" w:themeColor="accent3" w:themeTint="BF"/>
        </w:tcBorders>
      </w:tcPr>
    </w:tblStylePr>
    <w:tblStylePr w:type="firstCol">
      <w:rPr>
        <w:b/>
        <w:bCs/>
      </w:rPr>
    </w:tblStylePr>
    <w:tblStylePr w:type="lastCol">
      <w:rPr>
        <w:b/>
        <w:bCs/>
      </w:rPr>
    </w:tblStylePr>
    <w:tblStylePr w:type="band1Vert">
      <w:tblPr/>
      <w:tcPr>
        <w:shd w:val="clear" w:color="auto" w:fill="F17F99" w:themeFill="accent3" w:themeFillTint="7F"/>
      </w:tcPr>
    </w:tblStylePr>
    <w:tblStylePr w:type="band1Horz">
      <w:tblPr/>
      <w:tcPr>
        <w:shd w:val="clear" w:color="auto" w:fill="F17F99" w:themeFill="accent3" w:themeFillTint="7F"/>
      </w:tcPr>
    </w:tblStylePr>
  </w:style>
  <w:style w:type="table" w:styleId="MediumGrid1-Accent4">
    <w:name w:val="Medium Grid 1 Accent 4"/>
    <w:basedOn w:val="TableNormal"/>
    <w:uiPriority w:val="67"/>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9B39C7" w:themeColor="accent4" w:themeTint="BF"/>
        <w:left w:val="single" w:sz="8" w:space="0" w:color="9B39C7" w:themeColor="accent4" w:themeTint="BF"/>
        <w:bottom w:val="single" w:sz="8" w:space="0" w:color="9B39C7" w:themeColor="accent4" w:themeTint="BF"/>
        <w:right w:val="single" w:sz="8" w:space="0" w:color="9B39C7" w:themeColor="accent4" w:themeTint="BF"/>
        <w:insideH w:val="single" w:sz="8" w:space="0" w:color="9B39C7" w:themeColor="accent4" w:themeTint="BF"/>
        <w:insideV w:val="single" w:sz="8" w:space="0" w:color="9B39C7" w:themeColor="accent4" w:themeTint="BF"/>
      </w:tblBorders>
    </w:tblPr>
    <w:tcPr>
      <w:shd w:val="clear" w:color="auto" w:fill="DEBDEC" w:themeFill="accent4" w:themeFillTint="3F"/>
    </w:tcPr>
    <w:tblStylePr w:type="firstRow">
      <w:rPr>
        <w:b/>
        <w:bCs/>
      </w:rPr>
    </w:tblStylePr>
    <w:tblStylePr w:type="lastRow">
      <w:rPr>
        <w:b/>
        <w:bCs/>
      </w:rPr>
      <w:tblPr/>
      <w:tcPr>
        <w:tcBorders>
          <w:top w:val="single" w:sz="18" w:space="0" w:color="9B39C7" w:themeColor="accent4" w:themeTint="BF"/>
        </w:tcBorders>
      </w:tcPr>
    </w:tblStylePr>
    <w:tblStylePr w:type="firstCol">
      <w:rPr>
        <w:b/>
        <w:bCs/>
      </w:rPr>
    </w:tblStylePr>
    <w:tblStylePr w:type="lastCol">
      <w:rPr>
        <w:b/>
        <w:bCs/>
      </w:rPr>
    </w:tblStylePr>
    <w:tblStylePr w:type="band1Vert">
      <w:tblPr/>
      <w:tcPr>
        <w:shd w:val="clear" w:color="auto" w:fill="BC7BD9" w:themeFill="accent4" w:themeFillTint="7F"/>
      </w:tcPr>
    </w:tblStylePr>
    <w:tblStylePr w:type="band1Horz">
      <w:tblPr/>
      <w:tcPr>
        <w:shd w:val="clear" w:color="auto" w:fill="BC7BD9" w:themeFill="accent4" w:themeFillTint="7F"/>
      </w:tcPr>
    </w:tblStylePr>
  </w:style>
  <w:style w:type="table" w:styleId="MediumGrid1-Accent5">
    <w:name w:val="Medium Grid 1 Accent 5"/>
    <w:basedOn w:val="TableNormal"/>
    <w:uiPriority w:val="67"/>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3CDA6F" w:themeColor="accent5" w:themeTint="BF"/>
        <w:left w:val="single" w:sz="8" w:space="0" w:color="3CDA6F" w:themeColor="accent5" w:themeTint="BF"/>
        <w:bottom w:val="single" w:sz="8" w:space="0" w:color="3CDA6F" w:themeColor="accent5" w:themeTint="BF"/>
        <w:right w:val="single" w:sz="8" w:space="0" w:color="3CDA6F" w:themeColor="accent5" w:themeTint="BF"/>
        <w:insideH w:val="single" w:sz="8" w:space="0" w:color="3CDA6F" w:themeColor="accent5" w:themeTint="BF"/>
        <w:insideV w:val="single" w:sz="8" w:space="0" w:color="3CDA6F" w:themeColor="accent5" w:themeTint="BF"/>
      </w:tblBorders>
    </w:tblPr>
    <w:tcPr>
      <w:shd w:val="clear" w:color="auto" w:fill="BEF3CF" w:themeFill="accent5" w:themeFillTint="3F"/>
    </w:tcPr>
    <w:tblStylePr w:type="firstRow">
      <w:rPr>
        <w:b/>
        <w:bCs/>
      </w:rPr>
    </w:tblStylePr>
    <w:tblStylePr w:type="lastRow">
      <w:rPr>
        <w:b/>
        <w:bCs/>
      </w:rPr>
      <w:tblPr/>
      <w:tcPr>
        <w:tcBorders>
          <w:top w:val="single" w:sz="18" w:space="0" w:color="3CDA6F" w:themeColor="accent5" w:themeTint="BF"/>
        </w:tcBorders>
      </w:tcPr>
    </w:tblStylePr>
    <w:tblStylePr w:type="firstCol">
      <w:rPr>
        <w:b/>
        <w:bCs/>
      </w:rPr>
    </w:tblStylePr>
    <w:tblStylePr w:type="lastCol">
      <w:rPr>
        <w:b/>
        <w:bCs/>
      </w:rPr>
    </w:tblStylePr>
    <w:tblStylePr w:type="band1Vert">
      <w:tblPr/>
      <w:tcPr>
        <w:shd w:val="clear" w:color="auto" w:fill="7DE69F" w:themeFill="accent5" w:themeFillTint="7F"/>
      </w:tcPr>
    </w:tblStylePr>
    <w:tblStylePr w:type="band1Horz">
      <w:tblPr/>
      <w:tcPr>
        <w:shd w:val="clear" w:color="auto" w:fill="7DE69F" w:themeFill="accent5" w:themeFillTint="7F"/>
      </w:tcPr>
    </w:tblStylePr>
  </w:style>
  <w:style w:type="table" w:styleId="MediumGrid1-Accent6">
    <w:name w:val="Medium Grid 1 Accent 6"/>
    <w:basedOn w:val="TableNormal"/>
    <w:uiPriority w:val="67"/>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09B1FF" w:themeColor="accent6" w:themeTint="BF"/>
        <w:left w:val="single" w:sz="8" w:space="0" w:color="09B1FF" w:themeColor="accent6" w:themeTint="BF"/>
        <w:bottom w:val="single" w:sz="8" w:space="0" w:color="09B1FF" w:themeColor="accent6" w:themeTint="BF"/>
        <w:right w:val="single" w:sz="8" w:space="0" w:color="09B1FF" w:themeColor="accent6" w:themeTint="BF"/>
        <w:insideH w:val="single" w:sz="8" w:space="0" w:color="09B1FF" w:themeColor="accent6" w:themeTint="BF"/>
        <w:insideV w:val="single" w:sz="8" w:space="0" w:color="09B1FF" w:themeColor="accent6" w:themeTint="BF"/>
      </w:tblBorders>
    </w:tblPr>
    <w:tcPr>
      <w:shd w:val="clear" w:color="auto" w:fill="ADE5FF" w:themeFill="accent6" w:themeFillTint="3F"/>
    </w:tcPr>
    <w:tblStylePr w:type="firstRow">
      <w:rPr>
        <w:b/>
        <w:bCs/>
      </w:rPr>
    </w:tblStylePr>
    <w:tblStylePr w:type="lastRow">
      <w:rPr>
        <w:b/>
        <w:bCs/>
      </w:rPr>
      <w:tblPr/>
      <w:tcPr>
        <w:tcBorders>
          <w:top w:val="single" w:sz="18" w:space="0" w:color="09B1FF" w:themeColor="accent6" w:themeTint="BF"/>
        </w:tcBorders>
      </w:tcPr>
    </w:tblStylePr>
    <w:tblStylePr w:type="firstCol">
      <w:rPr>
        <w:b/>
        <w:bCs/>
      </w:rPr>
    </w:tblStylePr>
    <w:tblStylePr w:type="lastCol">
      <w:rPr>
        <w:b/>
        <w:bCs/>
      </w:rPr>
    </w:tblStylePr>
    <w:tblStylePr w:type="band1Vert">
      <w:tblPr/>
      <w:tcPr>
        <w:shd w:val="clear" w:color="auto" w:fill="5BCBFF" w:themeFill="accent6" w:themeFillTint="7F"/>
      </w:tcPr>
    </w:tblStylePr>
    <w:tblStylePr w:type="band1Horz">
      <w:tblPr/>
      <w:tcPr>
        <w:shd w:val="clear" w:color="auto" w:fill="5BCBFF" w:themeFill="accent6" w:themeFillTint="7F"/>
      </w:tcPr>
    </w:tblStylePr>
  </w:style>
  <w:style w:type="table" w:styleId="MediumGrid2">
    <w:name w:val="Medium Grid 2"/>
    <w:basedOn w:val="TableNormal"/>
    <w:uiPriority w:val="68"/>
    <w:semiHidden/>
    <w:unhideWhenUsed/>
    <w:rsid w:val="009D2459"/>
    <w:pPr>
      <w:spacing w:after="0" w:line="240" w:lineRule="auto"/>
    </w:pPr>
    <w:rPr>
      <w:rFonts w:asciiTheme="majorHAnsi" w:eastAsiaTheme="majorEastAsia" w:hAnsiTheme="majorHAnsi" w:cstheme="majorBidi"/>
      <w:color w:val="000000" w:themeColor="text1"/>
      <w:sz w:val="20"/>
      <w:szCs w:val="20"/>
      <w:lang w:eastAsia="en-AU"/>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9D2459"/>
    <w:pPr>
      <w:spacing w:after="0" w:line="240" w:lineRule="auto"/>
    </w:pPr>
    <w:rPr>
      <w:rFonts w:asciiTheme="majorHAnsi" w:eastAsiaTheme="majorEastAsia" w:hAnsiTheme="majorHAnsi" w:cstheme="majorBidi"/>
      <w:color w:val="000000" w:themeColor="text1"/>
      <w:sz w:val="20"/>
      <w:szCs w:val="20"/>
      <w:lang w:eastAsia="en-AU"/>
    </w:rPr>
    <w:tblPr>
      <w:tblStyleRowBandSize w:val="1"/>
      <w:tblStyleColBandSize w:val="1"/>
      <w:tblBorders>
        <w:top w:val="single" w:sz="8" w:space="0" w:color="D7D8D6" w:themeColor="accent1"/>
        <w:left w:val="single" w:sz="8" w:space="0" w:color="D7D8D6" w:themeColor="accent1"/>
        <w:bottom w:val="single" w:sz="8" w:space="0" w:color="D7D8D6" w:themeColor="accent1"/>
        <w:right w:val="single" w:sz="8" w:space="0" w:color="D7D8D6" w:themeColor="accent1"/>
        <w:insideH w:val="single" w:sz="8" w:space="0" w:color="D7D8D6" w:themeColor="accent1"/>
        <w:insideV w:val="single" w:sz="8" w:space="0" w:color="D7D8D6" w:themeColor="accent1"/>
      </w:tblBorders>
    </w:tblPr>
    <w:tcPr>
      <w:shd w:val="clear" w:color="auto" w:fill="F4F5F4" w:themeFill="accent1" w:themeFillTint="3F"/>
    </w:tcPr>
    <w:tblStylePr w:type="firstRow">
      <w:rPr>
        <w:b/>
        <w:bCs/>
        <w:color w:val="000000" w:themeColor="text1"/>
      </w:rPr>
      <w:tblPr/>
      <w:tcPr>
        <w:shd w:val="clear" w:color="auto" w:fill="FAFBFA"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6F7F6" w:themeFill="accent1" w:themeFillTint="33"/>
      </w:tcPr>
    </w:tblStylePr>
    <w:tblStylePr w:type="band1Vert">
      <w:tblPr/>
      <w:tcPr>
        <w:shd w:val="clear" w:color="auto" w:fill="EAEBEA" w:themeFill="accent1" w:themeFillTint="7F"/>
      </w:tcPr>
    </w:tblStylePr>
    <w:tblStylePr w:type="band1Horz">
      <w:tblPr/>
      <w:tcPr>
        <w:tcBorders>
          <w:insideH w:val="single" w:sz="6" w:space="0" w:color="D7D8D6" w:themeColor="accent1"/>
          <w:insideV w:val="single" w:sz="6" w:space="0" w:color="D7D8D6" w:themeColor="accent1"/>
        </w:tcBorders>
        <w:shd w:val="clear" w:color="auto" w:fill="EAEBEA"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9D2459"/>
    <w:pPr>
      <w:spacing w:after="0" w:line="240" w:lineRule="auto"/>
    </w:pPr>
    <w:rPr>
      <w:rFonts w:asciiTheme="majorHAnsi" w:eastAsiaTheme="majorEastAsia" w:hAnsiTheme="majorHAnsi" w:cstheme="majorBidi"/>
      <w:color w:val="000000" w:themeColor="text1"/>
      <w:sz w:val="20"/>
      <w:szCs w:val="20"/>
      <w:lang w:eastAsia="en-AU"/>
    </w:rPr>
    <w:tblPr>
      <w:tblStyleRowBandSize w:val="1"/>
      <w:tblStyleColBandSize w:val="1"/>
      <w:tblBorders>
        <w:top w:val="single" w:sz="8" w:space="0" w:color="FFC709" w:themeColor="accent2"/>
        <w:left w:val="single" w:sz="8" w:space="0" w:color="FFC709" w:themeColor="accent2"/>
        <w:bottom w:val="single" w:sz="8" w:space="0" w:color="FFC709" w:themeColor="accent2"/>
        <w:right w:val="single" w:sz="8" w:space="0" w:color="FFC709" w:themeColor="accent2"/>
        <w:insideH w:val="single" w:sz="8" w:space="0" w:color="FFC709" w:themeColor="accent2"/>
        <w:insideV w:val="single" w:sz="8" w:space="0" w:color="FFC709" w:themeColor="accent2"/>
      </w:tblBorders>
    </w:tblPr>
    <w:tcPr>
      <w:shd w:val="clear" w:color="auto" w:fill="FFF0C2" w:themeFill="accent2" w:themeFillTint="3F"/>
    </w:tcPr>
    <w:tblStylePr w:type="firstRow">
      <w:rPr>
        <w:b/>
        <w:bCs/>
        <w:color w:val="000000" w:themeColor="text1"/>
      </w:rPr>
      <w:tblPr/>
      <w:tcPr>
        <w:shd w:val="clear" w:color="auto" w:fill="FFF9E6"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3CD" w:themeFill="accent2" w:themeFillTint="33"/>
      </w:tcPr>
    </w:tblStylePr>
    <w:tblStylePr w:type="band1Vert">
      <w:tblPr/>
      <w:tcPr>
        <w:shd w:val="clear" w:color="auto" w:fill="FFE284" w:themeFill="accent2" w:themeFillTint="7F"/>
      </w:tcPr>
    </w:tblStylePr>
    <w:tblStylePr w:type="band1Horz">
      <w:tblPr/>
      <w:tcPr>
        <w:tcBorders>
          <w:insideH w:val="single" w:sz="6" w:space="0" w:color="FFC709" w:themeColor="accent2"/>
          <w:insideV w:val="single" w:sz="6" w:space="0" w:color="FFC709" w:themeColor="accent2"/>
        </w:tcBorders>
        <w:shd w:val="clear" w:color="auto" w:fill="FFE284"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9D2459"/>
    <w:pPr>
      <w:spacing w:after="0" w:line="240" w:lineRule="auto"/>
    </w:pPr>
    <w:rPr>
      <w:rFonts w:asciiTheme="majorHAnsi" w:eastAsiaTheme="majorEastAsia" w:hAnsiTheme="majorHAnsi" w:cstheme="majorBidi"/>
      <w:color w:val="000000" w:themeColor="text1"/>
      <w:sz w:val="20"/>
      <w:szCs w:val="20"/>
      <w:lang w:eastAsia="en-AU"/>
    </w:rPr>
    <w:tblPr>
      <w:tblStyleRowBandSize w:val="1"/>
      <w:tblStyleColBandSize w:val="1"/>
      <w:tblBorders>
        <w:top w:val="single" w:sz="8" w:space="0" w:color="CD163F" w:themeColor="accent3"/>
        <w:left w:val="single" w:sz="8" w:space="0" w:color="CD163F" w:themeColor="accent3"/>
        <w:bottom w:val="single" w:sz="8" w:space="0" w:color="CD163F" w:themeColor="accent3"/>
        <w:right w:val="single" w:sz="8" w:space="0" w:color="CD163F" w:themeColor="accent3"/>
        <w:insideH w:val="single" w:sz="8" w:space="0" w:color="CD163F" w:themeColor="accent3"/>
        <w:insideV w:val="single" w:sz="8" w:space="0" w:color="CD163F" w:themeColor="accent3"/>
      </w:tblBorders>
    </w:tblPr>
    <w:tcPr>
      <w:shd w:val="clear" w:color="auto" w:fill="F8BFCC" w:themeFill="accent3" w:themeFillTint="3F"/>
    </w:tcPr>
    <w:tblStylePr w:type="firstRow">
      <w:rPr>
        <w:b/>
        <w:bCs/>
        <w:color w:val="000000" w:themeColor="text1"/>
      </w:rPr>
      <w:tblPr/>
      <w:tcPr>
        <w:shd w:val="clear" w:color="auto" w:fill="FCE5EA"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9CBD6" w:themeFill="accent3" w:themeFillTint="33"/>
      </w:tcPr>
    </w:tblStylePr>
    <w:tblStylePr w:type="band1Vert">
      <w:tblPr/>
      <w:tcPr>
        <w:shd w:val="clear" w:color="auto" w:fill="F17F99" w:themeFill="accent3" w:themeFillTint="7F"/>
      </w:tcPr>
    </w:tblStylePr>
    <w:tblStylePr w:type="band1Horz">
      <w:tblPr/>
      <w:tcPr>
        <w:tcBorders>
          <w:insideH w:val="single" w:sz="6" w:space="0" w:color="CD163F" w:themeColor="accent3"/>
          <w:insideV w:val="single" w:sz="6" w:space="0" w:color="CD163F" w:themeColor="accent3"/>
        </w:tcBorders>
        <w:shd w:val="clear" w:color="auto" w:fill="F17F99"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9D2459"/>
    <w:pPr>
      <w:spacing w:after="0" w:line="240" w:lineRule="auto"/>
    </w:pPr>
    <w:rPr>
      <w:rFonts w:asciiTheme="majorHAnsi" w:eastAsiaTheme="majorEastAsia" w:hAnsiTheme="majorHAnsi" w:cstheme="majorBidi"/>
      <w:color w:val="000000" w:themeColor="text1"/>
      <w:sz w:val="20"/>
      <w:szCs w:val="20"/>
      <w:lang w:eastAsia="en-AU"/>
    </w:rPr>
    <w:tblPr>
      <w:tblStyleRowBandSize w:val="1"/>
      <w:tblStyleColBandSize w:val="1"/>
      <w:tblBorders>
        <w:top w:val="single" w:sz="8" w:space="0" w:color="692686" w:themeColor="accent4"/>
        <w:left w:val="single" w:sz="8" w:space="0" w:color="692686" w:themeColor="accent4"/>
        <w:bottom w:val="single" w:sz="8" w:space="0" w:color="692686" w:themeColor="accent4"/>
        <w:right w:val="single" w:sz="8" w:space="0" w:color="692686" w:themeColor="accent4"/>
        <w:insideH w:val="single" w:sz="8" w:space="0" w:color="692686" w:themeColor="accent4"/>
        <w:insideV w:val="single" w:sz="8" w:space="0" w:color="692686" w:themeColor="accent4"/>
      </w:tblBorders>
    </w:tblPr>
    <w:tcPr>
      <w:shd w:val="clear" w:color="auto" w:fill="DEBDEC" w:themeFill="accent4" w:themeFillTint="3F"/>
    </w:tcPr>
    <w:tblStylePr w:type="firstRow">
      <w:rPr>
        <w:b/>
        <w:bCs/>
        <w:color w:val="000000" w:themeColor="text1"/>
      </w:rPr>
      <w:tblPr/>
      <w:tcPr>
        <w:shd w:val="clear" w:color="auto" w:fill="F1E5F7"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4CAF0" w:themeFill="accent4" w:themeFillTint="33"/>
      </w:tcPr>
    </w:tblStylePr>
    <w:tblStylePr w:type="band1Vert">
      <w:tblPr/>
      <w:tcPr>
        <w:shd w:val="clear" w:color="auto" w:fill="BC7BD9" w:themeFill="accent4" w:themeFillTint="7F"/>
      </w:tcPr>
    </w:tblStylePr>
    <w:tblStylePr w:type="band1Horz">
      <w:tblPr/>
      <w:tcPr>
        <w:tcBorders>
          <w:insideH w:val="single" w:sz="6" w:space="0" w:color="692686" w:themeColor="accent4"/>
          <w:insideV w:val="single" w:sz="6" w:space="0" w:color="692686" w:themeColor="accent4"/>
        </w:tcBorders>
        <w:shd w:val="clear" w:color="auto" w:fill="BC7BD9"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9D2459"/>
    <w:pPr>
      <w:spacing w:after="0" w:line="240" w:lineRule="auto"/>
    </w:pPr>
    <w:rPr>
      <w:rFonts w:asciiTheme="majorHAnsi" w:eastAsiaTheme="majorEastAsia" w:hAnsiTheme="majorHAnsi" w:cstheme="majorBidi"/>
      <w:color w:val="000000" w:themeColor="text1"/>
      <w:sz w:val="20"/>
      <w:szCs w:val="20"/>
      <w:lang w:eastAsia="en-AU"/>
    </w:rPr>
    <w:tblPr>
      <w:tblStyleRowBandSize w:val="1"/>
      <w:tblStyleColBandSize w:val="1"/>
      <w:tblBorders>
        <w:top w:val="single" w:sz="8" w:space="0" w:color="20AA4D" w:themeColor="accent5"/>
        <w:left w:val="single" w:sz="8" w:space="0" w:color="20AA4D" w:themeColor="accent5"/>
        <w:bottom w:val="single" w:sz="8" w:space="0" w:color="20AA4D" w:themeColor="accent5"/>
        <w:right w:val="single" w:sz="8" w:space="0" w:color="20AA4D" w:themeColor="accent5"/>
        <w:insideH w:val="single" w:sz="8" w:space="0" w:color="20AA4D" w:themeColor="accent5"/>
        <w:insideV w:val="single" w:sz="8" w:space="0" w:color="20AA4D" w:themeColor="accent5"/>
      </w:tblBorders>
    </w:tblPr>
    <w:tcPr>
      <w:shd w:val="clear" w:color="auto" w:fill="BEF3CF" w:themeFill="accent5" w:themeFillTint="3F"/>
    </w:tcPr>
    <w:tblStylePr w:type="firstRow">
      <w:rPr>
        <w:b/>
        <w:bCs/>
        <w:color w:val="000000" w:themeColor="text1"/>
      </w:rPr>
      <w:tblPr/>
      <w:tcPr>
        <w:shd w:val="clear" w:color="auto" w:fill="E5FAEC"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BF5D8" w:themeFill="accent5" w:themeFillTint="33"/>
      </w:tcPr>
    </w:tblStylePr>
    <w:tblStylePr w:type="band1Vert">
      <w:tblPr/>
      <w:tcPr>
        <w:shd w:val="clear" w:color="auto" w:fill="7DE69F" w:themeFill="accent5" w:themeFillTint="7F"/>
      </w:tcPr>
    </w:tblStylePr>
    <w:tblStylePr w:type="band1Horz">
      <w:tblPr/>
      <w:tcPr>
        <w:tcBorders>
          <w:insideH w:val="single" w:sz="6" w:space="0" w:color="20AA4D" w:themeColor="accent5"/>
          <w:insideV w:val="single" w:sz="6" w:space="0" w:color="20AA4D" w:themeColor="accent5"/>
        </w:tcBorders>
        <w:shd w:val="clear" w:color="auto" w:fill="7DE69F"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9D2459"/>
    <w:pPr>
      <w:spacing w:after="0" w:line="240" w:lineRule="auto"/>
    </w:pPr>
    <w:rPr>
      <w:rFonts w:asciiTheme="majorHAnsi" w:eastAsiaTheme="majorEastAsia" w:hAnsiTheme="majorHAnsi" w:cstheme="majorBidi"/>
      <w:color w:val="000000" w:themeColor="text1"/>
      <w:sz w:val="20"/>
      <w:szCs w:val="20"/>
      <w:lang w:eastAsia="en-AU"/>
    </w:rPr>
    <w:tblPr>
      <w:tblStyleRowBandSize w:val="1"/>
      <w:tblStyleColBandSize w:val="1"/>
      <w:tblBorders>
        <w:top w:val="single" w:sz="8" w:space="0" w:color="007DB6" w:themeColor="accent6"/>
        <w:left w:val="single" w:sz="8" w:space="0" w:color="007DB6" w:themeColor="accent6"/>
        <w:bottom w:val="single" w:sz="8" w:space="0" w:color="007DB6" w:themeColor="accent6"/>
        <w:right w:val="single" w:sz="8" w:space="0" w:color="007DB6" w:themeColor="accent6"/>
        <w:insideH w:val="single" w:sz="8" w:space="0" w:color="007DB6" w:themeColor="accent6"/>
        <w:insideV w:val="single" w:sz="8" w:space="0" w:color="007DB6" w:themeColor="accent6"/>
      </w:tblBorders>
    </w:tblPr>
    <w:tcPr>
      <w:shd w:val="clear" w:color="auto" w:fill="ADE5FF" w:themeFill="accent6" w:themeFillTint="3F"/>
    </w:tcPr>
    <w:tblStylePr w:type="firstRow">
      <w:rPr>
        <w:b/>
        <w:bCs/>
        <w:color w:val="000000" w:themeColor="text1"/>
      </w:rPr>
      <w:tblPr/>
      <w:tcPr>
        <w:shd w:val="clear" w:color="auto" w:fill="DEF4FF"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DEAFF" w:themeFill="accent6" w:themeFillTint="33"/>
      </w:tcPr>
    </w:tblStylePr>
    <w:tblStylePr w:type="band1Vert">
      <w:tblPr/>
      <w:tcPr>
        <w:shd w:val="clear" w:color="auto" w:fill="5BCBFF" w:themeFill="accent6" w:themeFillTint="7F"/>
      </w:tcPr>
    </w:tblStylePr>
    <w:tblStylePr w:type="band1Horz">
      <w:tblPr/>
      <w:tcPr>
        <w:tcBorders>
          <w:insideH w:val="single" w:sz="6" w:space="0" w:color="007DB6" w:themeColor="accent6"/>
          <w:insideV w:val="single" w:sz="6" w:space="0" w:color="007DB6" w:themeColor="accent6"/>
        </w:tcBorders>
        <w:shd w:val="clear" w:color="auto" w:fill="5BCBFF"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4F5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7D8D6"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7D8D6"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7D8D6"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7D8D6"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AEB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AEBEA" w:themeFill="accent1" w:themeFillTint="7F"/>
      </w:tcPr>
    </w:tblStylePr>
  </w:style>
  <w:style w:type="table" w:styleId="MediumGrid3-Accent2">
    <w:name w:val="Medium Grid 3 Accent 2"/>
    <w:basedOn w:val="TableNormal"/>
    <w:uiPriority w:val="69"/>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F0C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709"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709"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709"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709"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E284"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E284" w:themeFill="accent2" w:themeFillTint="7F"/>
      </w:tcPr>
    </w:tblStylePr>
  </w:style>
  <w:style w:type="table" w:styleId="MediumGrid3-Accent3">
    <w:name w:val="Medium Grid 3 Accent 3"/>
    <w:basedOn w:val="TableNormal"/>
    <w:uiPriority w:val="69"/>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8BFCC"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D163F"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D163F"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D163F"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D163F"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17F99"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17F99" w:themeFill="accent3" w:themeFillTint="7F"/>
      </w:tcPr>
    </w:tblStylePr>
  </w:style>
  <w:style w:type="table" w:styleId="MediumGrid3-Accent4">
    <w:name w:val="Medium Grid 3 Accent 4"/>
    <w:basedOn w:val="TableNormal"/>
    <w:uiPriority w:val="69"/>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EBDEC"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92686"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92686"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92686"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92686"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C7BD9"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C7BD9" w:themeFill="accent4" w:themeFillTint="7F"/>
      </w:tcPr>
    </w:tblStylePr>
  </w:style>
  <w:style w:type="table" w:styleId="MediumGrid3-Accent5">
    <w:name w:val="Medium Grid 3 Accent 5"/>
    <w:basedOn w:val="TableNormal"/>
    <w:uiPriority w:val="69"/>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EF3C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0AA4D"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0AA4D"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0AA4D"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0AA4D"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DE69F"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DE69F" w:themeFill="accent5" w:themeFillTint="7F"/>
      </w:tcPr>
    </w:tblStylePr>
  </w:style>
  <w:style w:type="table" w:styleId="MediumGrid3-Accent6">
    <w:name w:val="Medium Grid 3 Accent 6"/>
    <w:basedOn w:val="TableNormal"/>
    <w:uiPriority w:val="69"/>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DE5FF"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7DB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7DB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7DB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7DB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BCBFF"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BCBFF" w:themeFill="accent6" w:themeFillTint="7F"/>
      </w:tcPr>
    </w:tblStylePr>
  </w:style>
  <w:style w:type="table" w:styleId="MediumList1">
    <w:name w:val="Medium List 1"/>
    <w:basedOn w:val="TableNormal"/>
    <w:uiPriority w:val="65"/>
    <w:semiHidden/>
    <w:unhideWhenUsed/>
    <w:rsid w:val="009D2459"/>
    <w:pPr>
      <w:spacing w:after="0" w:line="240" w:lineRule="auto"/>
    </w:pPr>
    <w:rPr>
      <w:rFonts w:eastAsia="Times New Roman" w:cs="Times New Roman"/>
      <w:color w:val="000000" w:themeColor="text1"/>
      <w:sz w:val="20"/>
      <w:szCs w:val="20"/>
      <w:lang w:eastAsia="en-AU"/>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C2B39"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9D2459"/>
    <w:pPr>
      <w:spacing w:after="0" w:line="240" w:lineRule="auto"/>
    </w:pPr>
    <w:rPr>
      <w:rFonts w:eastAsia="Times New Roman" w:cs="Times New Roman"/>
      <w:color w:val="000000" w:themeColor="text1"/>
      <w:sz w:val="20"/>
      <w:szCs w:val="20"/>
      <w:lang w:eastAsia="en-AU"/>
    </w:rPr>
    <w:tblPr>
      <w:tblStyleRowBandSize w:val="1"/>
      <w:tblStyleColBandSize w:val="1"/>
      <w:tblBorders>
        <w:top w:val="single" w:sz="8" w:space="0" w:color="D7D8D6" w:themeColor="accent1"/>
        <w:bottom w:val="single" w:sz="8" w:space="0" w:color="D7D8D6" w:themeColor="accent1"/>
      </w:tblBorders>
    </w:tblPr>
    <w:tblStylePr w:type="firstRow">
      <w:rPr>
        <w:rFonts w:asciiTheme="majorHAnsi" w:eastAsiaTheme="majorEastAsia" w:hAnsiTheme="majorHAnsi" w:cstheme="majorBidi"/>
      </w:rPr>
      <w:tblPr/>
      <w:tcPr>
        <w:tcBorders>
          <w:top w:val="nil"/>
          <w:bottom w:val="single" w:sz="8" w:space="0" w:color="D7D8D6" w:themeColor="accent1"/>
        </w:tcBorders>
      </w:tcPr>
    </w:tblStylePr>
    <w:tblStylePr w:type="lastRow">
      <w:rPr>
        <w:b/>
        <w:bCs/>
        <w:color w:val="1C2B39" w:themeColor="text2"/>
      </w:rPr>
      <w:tblPr/>
      <w:tcPr>
        <w:tcBorders>
          <w:top w:val="single" w:sz="8" w:space="0" w:color="D7D8D6" w:themeColor="accent1"/>
          <w:bottom w:val="single" w:sz="8" w:space="0" w:color="D7D8D6" w:themeColor="accent1"/>
        </w:tcBorders>
      </w:tcPr>
    </w:tblStylePr>
    <w:tblStylePr w:type="firstCol">
      <w:rPr>
        <w:b/>
        <w:bCs/>
      </w:rPr>
    </w:tblStylePr>
    <w:tblStylePr w:type="lastCol">
      <w:rPr>
        <w:b/>
        <w:bCs/>
      </w:rPr>
      <w:tblPr/>
      <w:tcPr>
        <w:tcBorders>
          <w:top w:val="single" w:sz="8" w:space="0" w:color="D7D8D6" w:themeColor="accent1"/>
          <w:bottom w:val="single" w:sz="8" w:space="0" w:color="D7D8D6" w:themeColor="accent1"/>
        </w:tcBorders>
      </w:tcPr>
    </w:tblStylePr>
    <w:tblStylePr w:type="band1Vert">
      <w:tblPr/>
      <w:tcPr>
        <w:shd w:val="clear" w:color="auto" w:fill="F4F5F4" w:themeFill="accent1" w:themeFillTint="3F"/>
      </w:tcPr>
    </w:tblStylePr>
    <w:tblStylePr w:type="band1Horz">
      <w:tblPr/>
      <w:tcPr>
        <w:shd w:val="clear" w:color="auto" w:fill="F4F5F4" w:themeFill="accent1" w:themeFillTint="3F"/>
      </w:tcPr>
    </w:tblStylePr>
  </w:style>
  <w:style w:type="table" w:styleId="MediumList1-Accent2">
    <w:name w:val="Medium List 1 Accent 2"/>
    <w:basedOn w:val="TableNormal"/>
    <w:uiPriority w:val="65"/>
    <w:semiHidden/>
    <w:unhideWhenUsed/>
    <w:rsid w:val="009D2459"/>
    <w:pPr>
      <w:spacing w:after="0" w:line="240" w:lineRule="auto"/>
    </w:pPr>
    <w:rPr>
      <w:rFonts w:eastAsia="Times New Roman" w:cs="Times New Roman"/>
      <w:color w:val="000000" w:themeColor="text1"/>
      <w:sz w:val="20"/>
      <w:szCs w:val="20"/>
      <w:lang w:eastAsia="en-AU"/>
    </w:rPr>
    <w:tblPr>
      <w:tblStyleRowBandSize w:val="1"/>
      <w:tblStyleColBandSize w:val="1"/>
      <w:tblBorders>
        <w:top w:val="single" w:sz="8" w:space="0" w:color="FFC709" w:themeColor="accent2"/>
        <w:bottom w:val="single" w:sz="8" w:space="0" w:color="FFC709" w:themeColor="accent2"/>
      </w:tblBorders>
    </w:tblPr>
    <w:tblStylePr w:type="firstRow">
      <w:rPr>
        <w:rFonts w:asciiTheme="majorHAnsi" w:eastAsiaTheme="majorEastAsia" w:hAnsiTheme="majorHAnsi" w:cstheme="majorBidi"/>
      </w:rPr>
      <w:tblPr/>
      <w:tcPr>
        <w:tcBorders>
          <w:top w:val="nil"/>
          <w:bottom w:val="single" w:sz="8" w:space="0" w:color="FFC709" w:themeColor="accent2"/>
        </w:tcBorders>
      </w:tcPr>
    </w:tblStylePr>
    <w:tblStylePr w:type="lastRow">
      <w:rPr>
        <w:b/>
        <w:bCs/>
        <w:color w:val="1C2B39" w:themeColor="text2"/>
      </w:rPr>
      <w:tblPr/>
      <w:tcPr>
        <w:tcBorders>
          <w:top w:val="single" w:sz="8" w:space="0" w:color="FFC709" w:themeColor="accent2"/>
          <w:bottom w:val="single" w:sz="8" w:space="0" w:color="FFC709" w:themeColor="accent2"/>
        </w:tcBorders>
      </w:tcPr>
    </w:tblStylePr>
    <w:tblStylePr w:type="firstCol">
      <w:rPr>
        <w:b/>
        <w:bCs/>
      </w:rPr>
    </w:tblStylePr>
    <w:tblStylePr w:type="lastCol">
      <w:rPr>
        <w:b/>
        <w:bCs/>
      </w:rPr>
      <w:tblPr/>
      <w:tcPr>
        <w:tcBorders>
          <w:top w:val="single" w:sz="8" w:space="0" w:color="FFC709" w:themeColor="accent2"/>
          <w:bottom w:val="single" w:sz="8" w:space="0" w:color="FFC709" w:themeColor="accent2"/>
        </w:tcBorders>
      </w:tcPr>
    </w:tblStylePr>
    <w:tblStylePr w:type="band1Vert">
      <w:tblPr/>
      <w:tcPr>
        <w:shd w:val="clear" w:color="auto" w:fill="FFF0C2" w:themeFill="accent2" w:themeFillTint="3F"/>
      </w:tcPr>
    </w:tblStylePr>
    <w:tblStylePr w:type="band1Horz">
      <w:tblPr/>
      <w:tcPr>
        <w:shd w:val="clear" w:color="auto" w:fill="FFF0C2" w:themeFill="accent2" w:themeFillTint="3F"/>
      </w:tcPr>
    </w:tblStylePr>
  </w:style>
  <w:style w:type="table" w:styleId="MediumList1-Accent3">
    <w:name w:val="Medium List 1 Accent 3"/>
    <w:basedOn w:val="TableNormal"/>
    <w:uiPriority w:val="65"/>
    <w:semiHidden/>
    <w:unhideWhenUsed/>
    <w:rsid w:val="009D2459"/>
    <w:pPr>
      <w:spacing w:after="0" w:line="240" w:lineRule="auto"/>
    </w:pPr>
    <w:rPr>
      <w:rFonts w:eastAsia="Times New Roman" w:cs="Times New Roman"/>
      <w:color w:val="000000" w:themeColor="text1"/>
      <w:sz w:val="20"/>
      <w:szCs w:val="20"/>
      <w:lang w:eastAsia="en-AU"/>
    </w:rPr>
    <w:tblPr>
      <w:tblStyleRowBandSize w:val="1"/>
      <w:tblStyleColBandSize w:val="1"/>
      <w:tblBorders>
        <w:top w:val="single" w:sz="8" w:space="0" w:color="CD163F" w:themeColor="accent3"/>
        <w:bottom w:val="single" w:sz="8" w:space="0" w:color="CD163F" w:themeColor="accent3"/>
      </w:tblBorders>
    </w:tblPr>
    <w:tblStylePr w:type="firstRow">
      <w:rPr>
        <w:rFonts w:asciiTheme="majorHAnsi" w:eastAsiaTheme="majorEastAsia" w:hAnsiTheme="majorHAnsi" w:cstheme="majorBidi"/>
      </w:rPr>
      <w:tblPr/>
      <w:tcPr>
        <w:tcBorders>
          <w:top w:val="nil"/>
          <w:bottom w:val="single" w:sz="8" w:space="0" w:color="CD163F" w:themeColor="accent3"/>
        </w:tcBorders>
      </w:tcPr>
    </w:tblStylePr>
    <w:tblStylePr w:type="lastRow">
      <w:rPr>
        <w:b/>
        <w:bCs/>
        <w:color w:val="1C2B39" w:themeColor="text2"/>
      </w:rPr>
      <w:tblPr/>
      <w:tcPr>
        <w:tcBorders>
          <w:top w:val="single" w:sz="8" w:space="0" w:color="CD163F" w:themeColor="accent3"/>
          <w:bottom w:val="single" w:sz="8" w:space="0" w:color="CD163F" w:themeColor="accent3"/>
        </w:tcBorders>
      </w:tcPr>
    </w:tblStylePr>
    <w:tblStylePr w:type="firstCol">
      <w:rPr>
        <w:b/>
        <w:bCs/>
      </w:rPr>
    </w:tblStylePr>
    <w:tblStylePr w:type="lastCol">
      <w:rPr>
        <w:b/>
        <w:bCs/>
      </w:rPr>
      <w:tblPr/>
      <w:tcPr>
        <w:tcBorders>
          <w:top w:val="single" w:sz="8" w:space="0" w:color="CD163F" w:themeColor="accent3"/>
          <w:bottom w:val="single" w:sz="8" w:space="0" w:color="CD163F" w:themeColor="accent3"/>
        </w:tcBorders>
      </w:tcPr>
    </w:tblStylePr>
    <w:tblStylePr w:type="band1Vert">
      <w:tblPr/>
      <w:tcPr>
        <w:shd w:val="clear" w:color="auto" w:fill="F8BFCC" w:themeFill="accent3" w:themeFillTint="3F"/>
      </w:tcPr>
    </w:tblStylePr>
    <w:tblStylePr w:type="band1Horz">
      <w:tblPr/>
      <w:tcPr>
        <w:shd w:val="clear" w:color="auto" w:fill="F8BFCC" w:themeFill="accent3" w:themeFillTint="3F"/>
      </w:tcPr>
    </w:tblStylePr>
  </w:style>
  <w:style w:type="table" w:styleId="MediumList1-Accent4">
    <w:name w:val="Medium List 1 Accent 4"/>
    <w:basedOn w:val="TableNormal"/>
    <w:uiPriority w:val="65"/>
    <w:semiHidden/>
    <w:unhideWhenUsed/>
    <w:rsid w:val="009D2459"/>
    <w:pPr>
      <w:spacing w:after="0" w:line="240" w:lineRule="auto"/>
    </w:pPr>
    <w:rPr>
      <w:rFonts w:eastAsia="Times New Roman" w:cs="Times New Roman"/>
      <w:color w:val="000000" w:themeColor="text1"/>
      <w:sz w:val="20"/>
      <w:szCs w:val="20"/>
      <w:lang w:eastAsia="en-AU"/>
    </w:rPr>
    <w:tblPr>
      <w:tblStyleRowBandSize w:val="1"/>
      <w:tblStyleColBandSize w:val="1"/>
      <w:tblBorders>
        <w:top w:val="single" w:sz="8" w:space="0" w:color="692686" w:themeColor="accent4"/>
        <w:bottom w:val="single" w:sz="8" w:space="0" w:color="692686" w:themeColor="accent4"/>
      </w:tblBorders>
    </w:tblPr>
    <w:tblStylePr w:type="firstRow">
      <w:rPr>
        <w:rFonts w:asciiTheme="majorHAnsi" w:eastAsiaTheme="majorEastAsia" w:hAnsiTheme="majorHAnsi" w:cstheme="majorBidi"/>
      </w:rPr>
      <w:tblPr/>
      <w:tcPr>
        <w:tcBorders>
          <w:top w:val="nil"/>
          <w:bottom w:val="single" w:sz="8" w:space="0" w:color="692686" w:themeColor="accent4"/>
        </w:tcBorders>
      </w:tcPr>
    </w:tblStylePr>
    <w:tblStylePr w:type="lastRow">
      <w:rPr>
        <w:b/>
        <w:bCs/>
        <w:color w:val="1C2B39" w:themeColor="text2"/>
      </w:rPr>
      <w:tblPr/>
      <w:tcPr>
        <w:tcBorders>
          <w:top w:val="single" w:sz="8" w:space="0" w:color="692686" w:themeColor="accent4"/>
          <w:bottom w:val="single" w:sz="8" w:space="0" w:color="692686" w:themeColor="accent4"/>
        </w:tcBorders>
      </w:tcPr>
    </w:tblStylePr>
    <w:tblStylePr w:type="firstCol">
      <w:rPr>
        <w:b/>
        <w:bCs/>
      </w:rPr>
    </w:tblStylePr>
    <w:tblStylePr w:type="lastCol">
      <w:rPr>
        <w:b/>
        <w:bCs/>
      </w:rPr>
      <w:tblPr/>
      <w:tcPr>
        <w:tcBorders>
          <w:top w:val="single" w:sz="8" w:space="0" w:color="692686" w:themeColor="accent4"/>
          <w:bottom w:val="single" w:sz="8" w:space="0" w:color="692686" w:themeColor="accent4"/>
        </w:tcBorders>
      </w:tcPr>
    </w:tblStylePr>
    <w:tblStylePr w:type="band1Vert">
      <w:tblPr/>
      <w:tcPr>
        <w:shd w:val="clear" w:color="auto" w:fill="DEBDEC" w:themeFill="accent4" w:themeFillTint="3F"/>
      </w:tcPr>
    </w:tblStylePr>
    <w:tblStylePr w:type="band1Horz">
      <w:tblPr/>
      <w:tcPr>
        <w:shd w:val="clear" w:color="auto" w:fill="DEBDEC" w:themeFill="accent4" w:themeFillTint="3F"/>
      </w:tcPr>
    </w:tblStylePr>
  </w:style>
  <w:style w:type="table" w:styleId="MediumList1-Accent5">
    <w:name w:val="Medium List 1 Accent 5"/>
    <w:basedOn w:val="TableNormal"/>
    <w:uiPriority w:val="65"/>
    <w:semiHidden/>
    <w:unhideWhenUsed/>
    <w:rsid w:val="009D2459"/>
    <w:pPr>
      <w:spacing w:after="0" w:line="240" w:lineRule="auto"/>
    </w:pPr>
    <w:rPr>
      <w:rFonts w:eastAsia="Times New Roman" w:cs="Times New Roman"/>
      <w:color w:val="000000" w:themeColor="text1"/>
      <w:sz w:val="20"/>
      <w:szCs w:val="20"/>
      <w:lang w:eastAsia="en-AU"/>
    </w:rPr>
    <w:tblPr>
      <w:tblStyleRowBandSize w:val="1"/>
      <w:tblStyleColBandSize w:val="1"/>
      <w:tblBorders>
        <w:top w:val="single" w:sz="8" w:space="0" w:color="20AA4D" w:themeColor="accent5"/>
        <w:bottom w:val="single" w:sz="8" w:space="0" w:color="20AA4D" w:themeColor="accent5"/>
      </w:tblBorders>
    </w:tblPr>
    <w:tblStylePr w:type="firstRow">
      <w:rPr>
        <w:rFonts w:asciiTheme="majorHAnsi" w:eastAsiaTheme="majorEastAsia" w:hAnsiTheme="majorHAnsi" w:cstheme="majorBidi"/>
      </w:rPr>
      <w:tblPr/>
      <w:tcPr>
        <w:tcBorders>
          <w:top w:val="nil"/>
          <w:bottom w:val="single" w:sz="8" w:space="0" w:color="20AA4D" w:themeColor="accent5"/>
        </w:tcBorders>
      </w:tcPr>
    </w:tblStylePr>
    <w:tblStylePr w:type="lastRow">
      <w:rPr>
        <w:b/>
        <w:bCs/>
        <w:color w:val="1C2B39" w:themeColor="text2"/>
      </w:rPr>
      <w:tblPr/>
      <w:tcPr>
        <w:tcBorders>
          <w:top w:val="single" w:sz="8" w:space="0" w:color="20AA4D" w:themeColor="accent5"/>
          <w:bottom w:val="single" w:sz="8" w:space="0" w:color="20AA4D" w:themeColor="accent5"/>
        </w:tcBorders>
      </w:tcPr>
    </w:tblStylePr>
    <w:tblStylePr w:type="firstCol">
      <w:rPr>
        <w:b/>
        <w:bCs/>
      </w:rPr>
    </w:tblStylePr>
    <w:tblStylePr w:type="lastCol">
      <w:rPr>
        <w:b/>
        <w:bCs/>
      </w:rPr>
      <w:tblPr/>
      <w:tcPr>
        <w:tcBorders>
          <w:top w:val="single" w:sz="8" w:space="0" w:color="20AA4D" w:themeColor="accent5"/>
          <w:bottom w:val="single" w:sz="8" w:space="0" w:color="20AA4D" w:themeColor="accent5"/>
        </w:tcBorders>
      </w:tcPr>
    </w:tblStylePr>
    <w:tblStylePr w:type="band1Vert">
      <w:tblPr/>
      <w:tcPr>
        <w:shd w:val="clear" w:color="auto" w:fill="BEF3CF" w:themeFill="accent5" w:themeFillTint="3F"/>
      </w:tcPr>
    </w:tblStylePr>
    <w:tblStylePr w:type="band1Horz">
      <w:tblPr/>
      <w:tcPr>
        <w:shd w:val="clear" w:color="auto" w:fill="BEF3CF" w:themeFill="accent5" w:themeFillTint="3F"/>
      </w:tcPr>
    </w:tblStylePr>
  </w:style>
  <w:style w:type="table" w:styleId="MediumList1-Accent6">
    <w:name w:val="Medium List 1 Accent 6"/>
    <w:basedOn w:val="TableNormal"/>
    <w:uiPriority w:val="65"/>
    <w:semiHidden/>
    <w:unhideWhenUsed/>
    <w:rsid w:val="009D2459"/>
    <w:pPr>
      <w:spacing w:after="0" w:line="240" w:lineRule="auto"/>
    </w:pPr>
    <w:rPr>
      <w:rFonts w:eastAsia="Times New Roman" w:cs="Times New Roman"/>
      <w:color w:val="000000" w:themeColor="text1"/>
      <w:sz w:val="20"/>
      <w:szCs w:val="20"/>
      <w:lang w:eastAsia="en-AU"/>
    </w:rPr>
    <w:tblPr>
      <w:tblStyleRowBandSize w:val="1"/>
      <w:tblStyleColBandSize w:val="1"/>
      <w:tblBorders>
        <w:top w:val="single" w:sz="8" w:space="0" w:color="007DB6" w:themeColor="accent6"/>
        <w:bottom w:val="single" w:sz="8" w:space="0" w:color="007DB6" w:themeColor="accent6"/>
      </w:tblBorders>
    </w:tblPr>
    <w:tblStylePr w:type="firstRow">
      <w:rPr>
        <w:rFonts w:asciiTheme="majorHAnsi" w:eastAsiaTheme="majorEastAsia" w:hAnsiTheme="majorHAnsi" w:cstheme="majorBidi"/>
      </w:rPr>
      <w:tblPr/>
      <w:tcPr>
        <w:tcBorders>
          <w:top w:val="nil"/>
          <w:bottom w:val="single" w:sz="8" w:space="0" w:color="007DB6" w:themeColor="accent6"/>
        </w:tcBorders>
      </w:tcPr>
    </w:tblStylePr>
    <w:tblStylePr w:type="lastRow">
      <w:rPr>
        <w:b/>
        <w:bCs/>
        <w:color w:val="1C2B39" w:themeColor="text2"/>
      </w:rPr>
      <w:tblPr/>
      <w:tcPr>
        <w:tcBorders>
          <w:top w:val="single" w:sz="8" w:space="0" w:color="007DB6" w:themeColor="accent6"/>
          <w:bottom w:val="single" w:sz="8" w:space="0" w:color="007DB6" w:themeColor="accent6"/>
        </w:tcBorders>
      </w:tcPr>
    </w:tblStylePr>
    <w:tblStylePr w:type="firstCol">
      <w:rPr>
        <w:b/>
        <w:bCs/>
      </w:rPr>
    </w:tblStylePr>
    <w:tblStylePr w:type="lastCol">
      <w:rPr>
        <w:b/>
        <w:bCs/>
      </w:rPr>
      <w:tblPr/>
      <w:tcPr>
        <w:tcBorders>
          <w:top w:val="single" w:sz="8" w:space="0" w:color="007DB6" w:themeColor="accent6"/>
          <w:bottom w:val="single" w:sz="8" w:space="0" w:color="007DB6" w:themeColor="accent6"/>
        </w:tcBorders>
      </w:tcPr>
    </w:tblStylePr>
    <w:tblStylePr w:type="band1Vert">
      <w:tblPr/>
      <w:tcPr>
        <w:shd w:val="clear" w:color="auto" w:fill="ADE5FF" w:themeFill="accent6" w:themeFillTint="3F"/>
      </w:tcPr>
    </w:tblStylePr>
    <w:tblStylePr w:type="band1Horz">
      <w:tblPr/>
      <w:tcPr>
        <w:shd w:val="clear" w:color="auto" w:fill="ADE5FF" w:themeFill="accent6" w:themeFillTint="3F"/>
      </w:tcPr>
    </w:tblStylePr>
  </w:style>
  <w:style w:type="table" w:styleId="MediumList2">
    <w:name w:val="Medium List 2"/>
    <w:basedOn w:val="TableNormal"/>
    <w:uiPriority w:val="66"/>
    <w:semiHidden/>
    <w:unhideWhenUsed/>
    <w:rsid w:val="009D2459"/>
    <w:pPr>
      <w:spacing w:after="0" w:line="240" w:lineRule="auto"/>
    </w:pPr>
    <w:rPr>
      <w:rFonts w:asciiTheme="majorHAnsi" w:eastAsiaTheme="majorEastAsia" w:hAnsiTheme="majorHAnsi" w:cstheme="majorBidi"/>
      <w:color w:val="000000" w:themeColor="text1"/>
      <w:sz w:val="20"/>
      <w:szCs w:val="20"/>
      <w:lang w:eastAsia="en-AU"/>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9D2459"/>
    <w:pPr>
      <w:spacing w:after="0" w:line="240" w:lineRule="auto"/>
    </w:pPr>
    <w:rPr>
      <w:rFonts w:asciiTheme="majorHAnsi" w:eastAsiaTheme="majorEastAsia" w:hAnsiTheme="majorHAnsi" w:cstheme="majorBidi"/>
      <w:color w:val="000000" w:themeColor="text1"/>
      <w:sz w:val="20"/>
      <w:szCs w:val="20"/>
      <w:lang w:eastAsia="en-AU"/>
    </w:rPr>
    <w:tblPr>
      <w:tblStyleRowBandSize w:val="1"/>
      <w:tblStyleColBandSize w:val="1"/>
      <w:tblBorders>
        <w:top w:val="single" w:sz="8" w:space="0" w:color="D7D8D6" w:themeColor="accent1"/>
        <w:left w:val="single" w:sz="8" w:space="0" w:color="D7D8D6" w:themeColor="accent1"/>
        <w:bottom w:val="single" w:sz="8" w:space="0" w:color="D7D8D6" w:themeColor="accent1"/>
        <w:right w:val="single" w:sz="8" w:space="0" w:color="D7D8D6" w:themeColor="accent1"/>
      </w:tblBorders>
    </w:tblPr>
    <w:tblStylePr w:type="firstRow">
      <w:rPr>
        <w:sz w:val="24"/>
        <w:szCs w:val="24"/>
      </w:rPr>
      <w:tblPr/>
      <w:tcPr>
        <w:tcBorders>
          <w:top w:val="nil"/>
          <w:left w:val="nil"/>
          <w:bottom w:val="single" w:sz="24" w:space="0" w:color="D7D8D6" w:themeColor="accent1"/>
          <w:right w:val="nil"/>
          <w:insideH w:val="nil"/>
          <w:insideV w:val="nil"/>
        </w:tcBorders>
        <w:shd w:val="clear" w:color="auto" w:fill="FFFFFF" w:themeFill="background1"/>
      </w:tcPr>
    </w:tblStylePr>
    <w:tblStylePr w:type="lastRow">
      <w:tblPr/>
      <w:tcPr>
        <w:tcBorders>
          <w:top w:val="single" w:sz="8" w:space="0" w:color="D7D8D6"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7D8D6" w:themeColor="accent1"/>
          <w:insideH w:val="nil"/>
          <w:insideV w:val="nil"/>
        </w:tcBorders>
        <w:shd w:val="clear" w:color="auto" w:fill="FFFFFF" w:themeFill="background1"/>
      </w:tcPr>
    </w:tblStylePr>
    <w:tblStylePr w:type="lastCol">
      <w:tblPr/>
      <w:tcPr>
        <w:tcBorders>
          <w:top w:val="nil"/>
          <w:left w:val="single" w:sz="8" w:space="0" w:color="D7D8D6"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4F5F4" w:themeFill="accent1" w:themeFillTint="3F"/>
      </w:tcPr>
    </w:tblStylePr>
    <w:tblStylePr w:type="band1Horz">
      <w:tblPr/>
      <w:tcPr>
        <w:tcBorders>
          <w:top w:val="nil"/>
          <w:bottom w:val="nil"/>
          <w:insideH w:val="nil"/>
          <w:insideV w:val="nil"/>
        </w:tcBorders>
        <w:shd w:val="clear" w:color="auto" w:fill="F4F5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9D2459"/>
    <w:pPr>
      <w:spacing w:after="0" w:line="240" w:lineRule="auto"/>
    </w:pPr>
    <w:rPr>
      <w:rFonts w:asciiTheme="majorHAnsi" w:eastAsiaTheme="majorEastAsia" w:hAnsiTheme="majorHAnsi" w:cstheme="majorBidi"/>
      <w:color w:val="000000" w:themeColor="text1"/>
      <w:sz w:val="20"/>
      <w:szCs w:val="20"/>
      <w:lang w:eastAsia="en-AU"/>
    </w:rPr>
    <w:tblPr>
      <w:tblStyleRowBandSize w:val="1"/>
      <w:tblStyleColBandSize w:val="1"/>
      <w:tblBorders>
        <w:top w:val="single" w:sz="8" w:space="0" w:color="FFC709" w:themeColor="accent2"/>
        <w:left w:val="single" w:sz="8" w:space="0" w:color="FFC709" w:themeColor="accent2"/>
        <w:bottom w:val="single" w:sz="8" w:space="0" w:color="FFC709" w:themeColor="accent2"/>
        <w:right w:val="single" w:sz="8" w:space="0" w:color="FFC709" w:themeColor="accent2"/>
      </w:tblBorders>
    </w:tblPr>
    <w:tblStylePr w:type="firstRow">
      <w:rPr>
        <w:sz w:val="24"/>
        <w:szCs w:val="24"/>
      </w:rPr>
      <w:tblPr/>
      <w:tcPr>
        <w:tcBorders>
          <w:top w:val="nil"/>
          <w:left w:val="nil"/>
          <w:bottom w:val="single" w:sz="24" w:space="0" w:color="FFC709" w:themeColor="accent2"/>
          <w:right w:val="nil"/>
          <w:insideH w:val="nil"/>
          <w:insideV w:val="nil"/>
        </w:tcBorders>
        <w:shd w:val="clear" w:color="auto" w:fill="FFFFFF" w:themeFill="background1"/>
      </w:tcPr>
    </w:tblStylePr>
    <w:tblStylePr w:type="lastRow">
      <w:tblPr/>
      <w:tcPr>
        <w:tcBorders>
          <w:top w:val="single" w:sz="8" w:space="0" w:color="FFC709"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709" w:themeColor="accent2"/>
          <w:insideH w:val="nil"/>
          <w:insideV w:val="nil"/>
        </w:tcBorders>
        <w:shd w:val="clear" w:color="auto" w:fill="FFFFFF" w:themeFill="background1"/>
      </w:tcPr>
    </w:tblStylePr>
    <w:tblStylePr w:type="lastCol">
      <w:tblPr/>
      <w:tcPr>
        <w:tcBorders>
          <w:top w:val="nil"/>
          <w:left w:val="single" w:sz="8" w:space="0" w:color="FFC709"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F0C2" w:themeFill="accent2" w:themeFillTint="3F"/>
      </w:tcPr>
    </w:tblStylePr>
    <w:tblStylePr w:type="band1Horz">
      <w:tblPr/>
      <w:tcPr>
        <w:tcBorders>
          <w:top w:val="nil"/>
          <w:bottom w:val="nil"/>
          <w:insideH w:val="nil"/>
          <w:insideV w:val="nil"/>
        </w:tcBorders>
        <w:shd w:val="clear" w:color="auto" w:fill="FFF0C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9D2459"/>
    <w:pPr>
      <w:spacing w:after="0" w:line="240" w:lineRule="auto"/>
    </w:pPr>
    <w:rPr>
      <w:rFonts w:asciiTheme="majorHAnsi" w:eastAsiaTheme="majorEastAsia" w:hAnsiTheme="majorHAnsi" w:cstheme="majorBidi"/>
      <w:color w:val="000000" w:themeColor="text1"/>
      <w:sz w:val="20"/>
      <w:szCs w:val="20"/>
      <w:lang w:eastAsia="en-AU"/>
    </w:rPr>
    <w:tblPr>
      <w:tblStyleRowBandSize w:val="1"/>
      <w:tblStyleColBandSize w:val="1"/>
      <w:tblBorders>
        <w:top w:val="single" w:sz="8" w:space="0" w:color="CD163F" w:themeColor="accent3"/>
        <w:left w:val="single" w:sz="8" w:space="0" w:color="CD163F" w:themeColor="accent3"/>
        <w:bottom w:val="single" w:sz="8" w:space="0" w:color="CD163F" w:themeColor="accent3"/>
        <w:right w:val="single" w:sz="8" w:space="0" w:color="CD163F" w:themeColor="accent3"/>
      </w:tblBorders>
    </w:tblPr>
    <w:tblStylePr w:type="firstRow">
      <w:rPr>
        <w:sz w:val="24"/>
        <w:szCs w:val="24"/>
      </w:rPr>
      <w:tblPr/>
      <w:tcPr>
        <w:tcBorders>
          <w:top w:val="nil"/>
          <w:left w:val="nil"/>
          <w:bottom w:val="single" w:sz="24" w:space="0" w:color="CD163F" w:themeColor="accent3"/>
          <w:right w:val="nil"/>
          <w:insideH w:val="nil"/>
          <w:insideV w:val="nil"/>
        </w:tcBorders>
        <w:shd w:val="clear" w:color="auto" w:fill="FFFFFF" w:themeFill="background1"/>
      </w:tcPr>
    </w:tblStylePr>
    <w:tblStylePr w:type="lastRow">
      <w:tblPr/>
      <w:tcPr>
        <w:tcBorders>
          <w:top w:val="single" w:sz="8" w:space="0" w:color="CD163F"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D163F" w:themeColor="accent3"/>
          <w:insideH w:val="nil"/>
          <w:insideV w:val="nil"/>
        </w:tcBorders>
        <w:shd w:val="clear" w:color="auto" w:fill="FFFFFF" w:themeFill="background1"/>
      </w:tcPr>
    </w:tblStylePr>
    <w:tblStylePr w:type="lastCol">
      <w:tblPr/>
      <w:tcPr>
        <w:tcBorders>
          <w:top w:val="nil"/>
          <w:left w:val="single" w:sz="8" w:space="0" w:color="CD163F"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8BFCC" w:themeFill="accent3" w:themeFillTint="3F"/>
      </w:tcPr>
    </w:tblStylePr>
    <w:tblStylePr w:type="band1Horz">
      <w:tblPr/>
      <w:tcPr>
        <w:tcBorders>
          <w:top w:val="nil"/>
          <w:bottom w:val="nil"/>
          <w:insideH w:val="nil"/>
          <w:insideV w:val="nil"/>
        </w:tcBorders>
        <w:shd w:val="clear" w:color="auto" w:fill="F8BFCC"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9D2459"/>
    <w:pPr>
      <w:spacing w:after="0" w:line="240" w:lineRule="auto"/>
    </w:pPr>
    <w:rPr>
      <w:rFonts w:asciiTheme="majorHAnsi" w:eastAsiaTheme="majorEastAsia" w:hAnsiTheme="majorHAnsi" w:cstheme="majorBidi"/>
      <w:color w:val="000000" w:themeColor="text1"/>
      <w:sz w:val="20"/>
      <w:szCs w:val="20"/>
      <w:lang w:eastAsia="en-AU"/>
    </w:rPr>
    <w:tblPr>
      <w:tblStyleRowBandSize w:val="1"/>
      <w:tblStyleColBandSize w:val="1"/>
      <w:tblBorders>
        <w:top w:val="single" w:sz="8" w:space="0" w:color="692686" w:themeColor="accent4"/>
        <w:left w:val="single" w:sz="8" w:space="0" w:color="692686" w:themeColor="accent4"/>
        <w:bottom w:val="single" w:sz="8" w:space="0" w:color="692686" w:themeColor="accent4"/>
        <w:right w:val="single" w:sz="8" w:space="0" w:color="692686" w:themeColor="accent4"/>
      </w:tblBorders>
    </w:tblPr>
    <w:tblStylePr w:type="firstRow">
      <w:rPr>
        <w:sz w:val="24"/>
        <w:szCs w:val="24"/>
      </w:rPr>
      <w:tblPr/>
      <w:tcPr>
        <w:tcBorders>
          <w:top w:val="nil"/>
          <w:left w:val="nil"/>
          <w:bottom w:val="single" w:sz="24" w:space="0" w:color="692686" w:themeColor="accent4"/>
          <w:right w:val="nil"/>
          <w:insideH w:val="nil"/>
          <w:insideV w:val="nil"/>
        </w:tcBorders>
        <w:shd w:val="clear" w:color="auto" w:fill="FFFFFF" w:themeFill="background1"/>
      </w:tcPr>
    </w:tblStylePr>
    <w:tblStylePr w:type="lastRow">
      <w:tblPr/>
      <w:tcPr>
        <w:tcBorders>
          <w:top w:val="single" w:sz="8" w:space="0" w:color="692686"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92686" w:themeColor="accent4"/>
          <w:insideH w:val="nil"/>
          <w:insideV w:val="nil"/>
        </w:tcBorders>
        <w:shd w:val="clear" w:color="auto" w:fill="FFFFFF" w:themeFill="background1"/>
      </w:tcPr>
    </w:tblStylePr>
    <w:tblStylePr w:type="lastCol">
      <w:tblPr/>
      <w:tcPr>
        <w:tcBorders>
          <w:top w:val="nil"/>
          <w:left w:val="single" w:sz="8" w:space="0" w:color="692686"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EBDEC" w:themeFill="accent4" w:themeFillTint="3F"/>
      </w:tcPr>
    </w:tblStylePr>
    <w:tblStylePr w:type="band1Horz">
      <w:tblPr/>
      <w:tcPr>
        <w:tcBorders>
          <w:top w:val="nil"/>
          <w:bottom w:val="nil"/>
          <w:insideH w:val="nil"/>
          <w:insideV w:val="nil"/>
        </w:tcBorders>
        <w:shd w:val="clear" w:color="auto" w:fill="DEBDEC"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9D2459"/>
    <w:pPr>
      <w:spacing w:after="0" w:line="240" w:lineRule="auto"/>
    </w:pPr>
    <w:rPr>
      <w:rFonts w:asciiTheme="majorHAnsi" w:eastAsiaTheme="majorEastAsia" w:hAnsiTheme="majorHAnsi" w:cstheme="majorBidi"/>
      <w:color w:val="000000" w:themeColor="text1"/>
      <w:sz w:val="20"/>
      <w:szCs w:val="20"/>
      <w:lang w:eastAsia="en-AU"/>
    </w:rPr>
    <w:tblPr>
      <w:tblStyleRowBandSize w:val="1"/>
      <w:tblStyleColBandSize w:val="1"/>
      <w:tblBorders>
        <w:top w:val="single" w:sz="8" w:space="0" w:color="20AA4D" w:themeColor="accent5"/>
        <w:left w:val="single" w:sz="8" w:space="0" w:color="20AA4D" w:themeColor="accent5"/>
        <w:bottom w:val="single" w:sz="8" w:space="0" w:color="20AA4D" w:themeColor="accent5"/>
        <w:right w:val="single" w:sz="8" w:space="0" w:color="20AA4D" w:themeColor="accent5"/>
      </w:tblBorders>
    </w:tblPr>
    <w:tblStylePr w:type="firstRow">
      <w:rPr>
        <w:sz w:val="24"/>
        <w:szCs w:val="24"/>
      </w:rPr>
      <w:tblPr/>
      <w:tcPr>
        <w:tcBorders>
          <w:top w:val="nil"/>
          <w:left w:val="nil"/>
          <w:bottom w:val="single" w:sz="24" w:space="0" w:color="20AA4D" w:themeColor="accent5"/>
          <w:right w:val="nil"/>
          <w:insideH w:val="nil"/>
          <w:insideV w:val="nil"/>
        </w:tcBorders>
        <w:shd w:val="clear" w:color="auto" w:fill="FFFFFF" w:themeFill="background1"/>
      </w:tcPr>
    </w:tblStylePr>
    <w:tblStylePr w:type="lastRow">
      <w:tblPr/>
      <w:tcPr>
        <w:tcBorders>
          <w:top w:val="single" w:sz="8" w:space="0" w:color="20AA4D"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0AA4D" w:themeColor="accent5"/>
          <w:insideH w:val="nil"/>
          <w:insideV w:val="nil"/>
        </w:tcBorders>
        <w:shd w:val="clear" w:color="auto" w:fill="FFFFFF" w:themeFill="background1"/>
      </w:tcPr>
    </w:tblStylePr>
    <w:tblStylePr w:type="lastCol">
      <w:tblPr/>
      <w:tcPr>
        <w:tcBorders>
          <w:top w:val="nil"/>
          <w:left w:val="single" w:sz="8" w:space="0" w:color="20AA4D"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EF3CF" w:themeFill="accent5" w:themeFillTint="3F"/>
      </w:tcPr>
    </w:tblStylePr>
    <w:tblStylePr w:type="band1Horz">
      <w:tblPr/>
      <w:tcPr>
        <w:tcBorders>
          <w:top w:val="nil"/>
          <w:bottom w:val="nil"/>
          <w:insideH w:val="nil"/>
          <w:insideV w:val="nil"/>
        </w:tcBorders>
        <w:shd w:val="clear" w:color="auto" w:fill="BEF3C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9D2459"/>
    <w:pPr>
      <w:spacing w:after="0" w:line="240" w:lineRule="auto"/>
    </w:pPr>
    <w:rPr>
      <w:rFonts w:asciiTheme="majorHAnsi" w:eastAsiaTheme="majorEastAsia" w:hAnsiTheme="majorHAnsi" w:cstheme="majorBidi"/>
      <w:color w:val="000000" w:themeColor="text1"/>
      <w:sz w:val="20"/>
      <w:szCs w:val="20"/>
      <w:lang w:eastAsia="en-AU"/>
    </w:rPr>
    <w:tblPr>
      <w:tblStyleRowBandSize w:val="1"/>
      <w:tblStyleColBandSize w:val="1"/>
      <w:tblBorders>
        <w:top w:val="single" w:sz="8" w:space="0" w:color="007DB6" w:themeColor="accent6"/>
        <w:left w:val="single" w:sz="8" w:space="0" w:color="007DB6" w:themeColor="accent6"/>
        <w:bottom w:val="single" w:sz="8" w:space="0" w:color="007DB6" w:themeColor="accent6"/>
        <w:right w:val="single" w:sz="8" w:space="0" w:color="007DB6" w:themeColor="accent6"/>
      </w:tblBorders>
    </w:tblPr>
    <w:tblStylePr w:type="firstRow">
      <w:rPr>
        <w:sz w:val="24"/>
        <w:szCs w:val="24"/>
      </w:rPr>
      <w:tblPr/>
      <w:tcPr>
        <w:tcBorders>
          <w:top w:val="nil"/>
          <w:left w:val="nil"/>
          <w:bottom w:val="single" w:sz="24" w:space="0" w:color="007DB6" w:themeColor="accent6"/>
          <w:right w:val="nil"/>
          <w:insideH w:val="nil"/>
          <w:insideV w:val="nil"/>
        </w:tcBorders>
        <w:shd w:val="clear" w:color="auto" w:fill="FFFFFF" w:themeFill="background1"/>
      </w:tcPr>
    </w:tblStylePr>
    <w:tblStylePr w:type="lastRow">
      <w:tblPr/>
      <w:tcPr>
        <w:tcBorders>
          <w:top w:val="single" w:sz="8" w:space="0" w:color="007DB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7DB6" w:themeColor="accent6"/>
          <w:insideH w:val="nil"/>
          <w:insideV w:val="nil"/>
        </w:tcBorders>
        <w:shd w:val="clear" w:color="auto" w:fill="FFFFFF" w:themeFill="background1"/>
      </w:tcPr>
    </w:tblStylePr>
    <w:tblStylePr w:type="lastCol">
      <w:tblPr/>
      <w:tcPr>
        <w:tcBorders>
          <w:top w:val="nil"/>
          <w:left w:val="single" w:sz="8" w:space="0" w:color="007DB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DE5FF" w:themeFill="accent6" w:themeFillTint="3F"/>
      </w:tcPr>
    </w:tblStylePr>
    <w:tblStylePr w:type="band1Horz">
      <w:tblPr/>
      <w:tcPr>
        <w:tcBorders>
          <w:top w:val="nil"/>
          <w:bottom w:val="nil"/>
          <w:insideH w:val="nil"/>
          <w:insideV w:val="nil"/>
        </w:tcBorders>
        <w:shd w:val="clear" w:color="auto" w:fill="ADE5FF"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E0E1E0" w:themeColor="accent1" w:themeTint="BF"/>
        <w:left w:val="single" w:sz="8" w:space="0" w:color="E0E1E0" w:themeColor="accent1" w:themeTint="BF"/>
        <w:bottom w:val="single" w:sz="8" w:space="0" w:color="E0E1E0" w:themeColor="accent1" w:themeTint="BF"/>
        <w:right w:val="single" w:sz="8" w:space="0" w:color="E0E1E0" w:themeColor="accent1" w:themeTint="BF"/>
        <w:insideH w:val="single" w:sz="8" w:space="0" w:color="E0E1E0" w:themeColor="accent1" w:themeTint="BF"/>
      </w:tblBorders>
    </w:tblPr>
    <w:tblStylePr w:type="firstRow">
      <w:pPr>
        <w:spacing w:before="0" w:after="0" w:line="240" w:lineRule="auto"/>
      </w:pPr>
      <w:rPr>
        <w:b/>
        <w:bCs/>
        <w:color w:val="FFFFFF" w:themeColor="background1"/>
      </w:rPr>
      <w:tblPr/>
      <w:tcPr>
        <w:tcBorders>
          <w:top w:val="single" w:sz="8" w:space="0" w:color="E0E1E0" w:themeColor="accent1" w:themeTint="BF"/>
          <w:left w:val="single" w:sz="8" w:space="0" w:color="E0E1E0" w:themeColor="accent1" w:themeTint="BF"/>
          <w:bottom w:val="single" w:sz="8" w:space="0" w:color="E0E1E0" w:themeColor="accent1" w:themeTint="BF"/>
          <w:right w:val="single" w:sz="8" w:space="0" w:color="E0E1E0" w:themeColor="accent1" w:themeTint="BF"/>
          <w:insideH w:val="nil"/>
          <w:insideV w:val="nil"/>
        </w:tcBorders>
        <w:shd w:val="clear" w:color="auto" w:fill="D7D8D6" w:themeFill="accent1"/>
      </w:tcPr>
    </w:tblStylePr>
    <w:tblStylePr w:type="lastRow">
      <w:pPr>
        <w:spacing w:before="0" w:after="0" w:line="240" w:lineRule="auto"/>
      </w:pPr>
      <w:rPr>
        <w:b/>
        <w:bCs/>
      </w:rPr>
      <w:tblPr/>
      <w:tcPr>
        <w:tcBorders>
          <w:top w:val="double" w:sz="6" w:space="0" w:color="E0E1E0" w:themeColor="accent1" w:themeTint="BF"/>
          <w:left w:val="single" w:sz="8" w:space="0" w:color="E0E1E0" w:themeColor="accent1" w:themeTint="BF"/>
          <w:bottom w:val="single" w:sz="8" w:space="0" w:color="E0E1E0" w:themeColor="accent1" w:themeTint="BF"/>
          <w:right w:val="single" w:sz="8" w:space="0" w:color="E0E1E0" w:themeColor="accent1" w:themeTint="BF"/>
          <w:insideH w:val="nil"/>
          <w:insideV w:val="nil"/>
        </w:tcBorders>
      </w:tcPr>
    </w:tblStylePr>
    <w:tblStylePr w:type="firstCol">
      <w:rPr>
        <w:b/>
        <w:bCs/>
      </w:rPr>
    </w:tblStylePr>
    <w:tblStylePr w:type="lastCol">
      <w:rPr>
        <w:b/>
        <w:bCs/>
      </w:rPr>
    </w:tblStylePr>
    <w:tblStylePr w:type="band1Vert">
      <w:tblPr/>
      <w:tcPr>
        <w:shd w:val="clear" w:color="auto" w:fill="F4F5F4" w:themeFill="accent1" w:themeFillTint="3F"/>
      </w:tcPr>
    </w:tblStylePr>
    <w:tblStylePr w:type="band1Horz">
      <w:tblPr/>
      <w:tcPr>
        <w:tcBorders>
          <w:insideH w:val="nil"/>
          <w:insideV w:val="nil"/>
        </w:tcBorders>
        <w:shd w:val="clear" w:color="auto" w:fill="F4F5F4"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FFD446" w:themeColor="accent2" w:themeTint="BF"/>
        <w:left w:val="single" w:sz="8" w:space="0" w:color="FFD446" w:themeColor="accent2" w:themeTint="BF"/>
        <w:bottom w:val="single" w:sz="8" w:space="0" w:color="FFD446" w:themeColor="accent2" w:themeTint="BF"/>
        <w:right w:val="single" w:sz="8" w:space="0" w:color="FFD446" w:themeColor="accent2" w:themeTint="BF"/>
        <w:insideH w:val="single" w:sz="8" w:space="0" w:color="FFD446" w:themeColor="accent2" w:themeTint="BF"/>
      </w:tblBorders>
    </w:tblPr>
    <w:tblStylePr w:type="firstRow">
      <w:pPr>
        <w:spacing w:before="0" w:after="0" w:line="240" w:lineRule="auto"/>
      </w:pPr>
      <w:rPr>
        <w:b/>
        <w:bCs/>
        <w:color w:val="FFFFFF" w:themeColor="background1"/>
      </w:rPr>
      <w:tblPr/>
      <w:tcPr>
        <w:tcBorders>
          <w:top w:val="single" w:sz="8" w:space="0" w:color="FFD446" w:themeColor="accent2" w:themeTint="BF"/>
          <w:left w:val="single" w:sz="8" w:space="0" w:color="FFD446" w:themeColor="accent2" w:themeTint="BF"/>
          <w:bottom w:val="single" w:sz="8" w:space="0" w:color="FFD446" w:themeColor="accent2" w:themeTint="BF"/>
          <w:right w:val="single" w:sz="8" w:space="0" w:color="FFD446" w:themeColor="accent2" w:themeTint="BF"/>
          <w:insideH w:val="nil"/>
          <w:insideV w:val="nil"/>
        </w:tcBorders>
        <w:shd w:val="clear" w:color="auto" w:fill="FFC709" w:themeFill="accent2"/>
      </w:tcPr>
    </w:tblStylePr>
    <w:tblStylePr w:type="lastRow">
      <w:pPr>
        <w:spacing w:before="0" w:after="0" w:line="240" w:lineRule="auto"/>
      </w:pPr>
      <w:rPr>
        <w:b/>
        <w:bCs/>
      </w:rPr>
      <w:tblPr/>
      <w:tcPr>
        <w:tcBorders>
          <w:top w:val="double" w:sz="6" w:space="0" w:color="FFD446" w:themeColor="accent2" w:themeTint="BF"/>
          <w:left w:val="single" w:sz="8" w:space="0" w:color="FFD446" w:themeColor="accent2" w:themeTint="BF"/>
          <w:bottom w:val="single" w:sz="8" w:space="0" w:color="FFD446" w:themeColor="accent2" w:themeTint="BF"/>
          <w:right w:val="single" w:sz="8" w:space="0" w:color="FFD446"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F0C2" w:themeFill="accent2" w:themeFillTint="3F"/>
      </w:tcPr>
    </w:tblStylePr>
    <w:tblStylePr w:type="band1Horz">
      <w:tblPr/>
      <w:tcPr>
        <w:tcBorders>
          <w:insideH w:val="nil"/>
          <w:insideV w:val="nil"/>
        </w:tcBorders>
        <w:shd w:val="clear" w:color="auto" w:fill="FFF0C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EA3F65" w:themeColor="accent3" w:themeTint="BF"/>
        <w:left w:val="single" w:sz="8" w:space="0" w:color="EA3F65" w:themeColor="accent3" w:themeTint="BF"/>
        <w:bottom w:val="single" w:sz="8" w:space="0" w:color="EA3F65" w:themeColor="accent3" w:themeTint="BF"/>
        <w:right w:val="single" w:sz="8" w:space="0" w:color="EA3F65" w:themeColor="accent3" w:themeTint="BF"/>
        <w:insideH w:val="single" w:sz="8" w:space="0" w:color="EA3F65" w:themeColor="accent3" w:themeTint="BF"/>
      </w:tblBorders>
    </w:tblPr>
    <w:tblStylePr w:type="firstRow">
      <w:pPr>
        <w:spacing w:before="0" w:after="0" w:line="240" w:lineRule="auto"/>
      </w:pPr>
      <w:rPr>
        <w:b/>
        <w:bCs/>
        <w:color w:val="FFFFFF" w:themeColor="background1"/>
      </w:rPr>
      <w:tblPr/>
      <w:tcPr>
        <w:tcBorders>
          <w:top w:val="single" w:sz="8" w:space="0" w:color="EA3F65" w:themeColor="accent3" w:themeTint="BF"/>
          <w:left w:val="single" w:sz="8" w:space="0" w:color="EA3F65" w:themeColor="accent3" w:themeTint="BF"/>
          <w:bottom w:val="single" w:sz="8" w:space="0" w:color="EA3F65" w:themeColor="accent3" w:themeTint="BF"/>
          <w:right w:val="single" w:sz="8" w:space="0" w:color="EA3F65" w:themeColor="accent3" w:themeTint="BF"/>
          <w:insideH w:val="nil"/>
          <w:insideV w:val="nil"/>
        </w:tcBorders>
        <w:shd w:val="clear" w:color="auto" w:fill="CD163F" w:themeFill="accent3"/>
      </w:tcPr>
    </w:tblStylePr>
    <w:tblStylePr w:type="lastRow">
      <w:pPr>
        <w:spacing w:before="0" w:after="0" w:line="240" w:lineRule="auto"/>
      </w:pPr>
      <w:rPr>
        <w:b/>
        <w:bCs/>
      </w:rPr>
      <w:tblPr/>
      <w:tcPr>
        <w:tcBorders>
          <w:top w:val="double" w:sz="6" w:space="0" w:color="EA3F65" w:themeColor="accent3" w:themeTint="BF"/>
          <w:left w:val="single" w:sz="8" w:space="0" w:color="EA3F65" w:themeColor="accent3" w:themeTint="BF"/>
          <w:bottom w:val="single" w:sz="8" w:space="0" w:color="EA3F65" w:themeColor="accent3" w:themeTint="BF"/>
          <w:right w:val="single" w:sz="8" w:space="0" w:color="EA3F65" w:themeColor="accent3" w:themeTint="BF"/>
          <w:insideH w:val="nil"/>
          <w:insideV w:val="nil"/>
        </w:tcBorders>
      </w:tcPr>
    </w:tblStylePr>
    <w:tblStylePr w:type="firstCol">
      <w:rPr>
        <w:b/>
        <w:bCs/>
      </w:rPr>
    </w:tblStylePr>
    <w:tblStylePr w:type="lastCol">
      <w:rPr>
        <w:b/>
        <w:bCs/>
      </w:rPr>
    </w:tblStylePr>
    <w:tblStylePr w:type="band1Vert">
      <w:tblPr/>
      <w:tcPr>
        <w:shd w:val="clear" w:color="auto" w:fill="F8BFCC" w:themeFill="accent3" w:themeFillTint="3F"/>
      </w:tcPr>
    </w:tblStylePr>
    <w:tblStylePr w:type="band1Horz">
      <w:tblPr/>
      <w:tcPr>
        <w:tcBorders>
          <w:insideH w:val="nil"/>
          <w:insideV w:val="nil"/>
        </w:tcBorders>
        <w:shd w:val="clear" w:color="auto" w:fill="F8BFCC"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9B39C7" w:themeColor="accent4" w:themeTint="BF"/>
        <w:left w:val="single" w:sz="8" w:space="0" w:color="9B39C7" w:themeColor="accent4" w:themeTint="BF"/>
        <w:bottom w:val="single" w:sz="8" w:space="0" w:color="9B39C7" w:themeColor="accent4" w:themeTint="BF"/>
        <w:right w:val="single" w:sz="8" w:space="0" w:color="9B39C7" w:themeColor="accent4" w:themeTint="BF"/>
        <w:insideH w:val="single" w:sz="8" w:space="0" w:color="9B39C7" w:themeColor="accent4" w:themeTint="BF"/>
      </w:tblBorders>
    </w:tblPr>
    <w:tblStylePr w:type="firstRow">
      <w:pPr>
        <w:spacing w:before="0" w:after="0" w:line="240" w:lineRule="auto"/>
      </w:pPr>
      <w:rPr>
        <w:b/>
        <w:bCs/>
        <w:color w:val="FFFFFF" w:themeColor="background1"/>
      </w:rPr>
      <w:tblPr/>
      <w:tcPr>
        <w:tcBorders>
          <w:top w:val="single" w:sz="8" w:space="0" w:color="9B39C7" w:themeColor="accent4" w:themeTint="BF"/>
          <w:left w:val="single" w:sz="8" w:space="0" w:color="9B39C7" w:themeColor="accent4" w:themeTint="BF"/>
          <w:bottom w:val="single" w:sz="8" w:space="0" w:color="9B39C7" w:themeColor="accent4" w:themeTint="BF"/>
          <w:right w:val="single" w:sz="8" w:space="0" w:color="9B39C7" w:themeColor="accent4" w:themeTint="BF"/>
          <w:insideH w:val="nil"/>
          <w:insideV w:val="nil"/>
        </w:tcBorders>
        <w:shd w:val="clear" w:color="auto" w:fill="692686" w:themeFill="accent4"/>
      </w:tcPr>
    </w:tblStylePr>
    <w:tblStylePr w:type="lastRow">
      <w:pPr>
        <w:spacing w:before="0" w:after="0" w:line="240" w:lineRule="auto"/>
      </w:pPr>
      <w:rPr>
        <w:b/>
        <w:bCs/>
      </w:rPr>
      <w:tblPr/>
      <w:tcPr>
        <w:tcBorders>
          <w:top w:val="double" w:sz="6" w:space="0" w:color="9B39C7" w:themeColor="accent4" w:themeTint="BF"/>
          <w:left w:val="single" w:sz="8" w:space="0" w:color="9B39C7" w:themeColor="accent4" w:themeTint="BF"/>
          <w:bottom w:val="single" w:sz="8" w:space="0" w:color="9B39C7" w:themeColor="accent4" w:themeTint="BF"/>
          <w:right w:val="single" w:sz="8" w:space="0" w:color="9B39C7" w:themeColor="accent4" w:themeTint="BF"/>
          <w:insideH w:val="nil"/>
          <w:insideV w:val="nil"/>
        </w:tcBorders>
      </w:tcPr>
    </w:tblStylePr>
    <w:tblStylePr w:type="firstCol">
      <w:rPr>
        <w:b/>
        <w:bCs/>
      </w:rPr>
    </w:tblStylePr>
    <w:tblStylePr w:type="lastCol">
      <w:rPr>
        <w:b/>
        <w:bCs/>
      </w:rPr>
    </w:tblStylePr>
    <w:tblStylePr w:type="band1Vert">
      <w:tblPr/>
      <w:tcPr>
        <w:shd w:val="clear" w:color="auto" w:fill="DEBDEC" w:themeFill="accent4" w:themeFillTint="3F"/>
      </w:tcPr>
    </w:tblStylePr>
    <w:tblStylePr w:type="band1Horz">
      <w:tblPr/>
      <w:tcPr>
        <w:tcBorders>
          <w:insideH w:val="nil"/>
          <w:insideV w:val="nil"/>
        </w:tcBorders>
        <w:shd w:val="clear" w:color="auto" w:fill="DEBDEC"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3CDA6F" w:themeColor="accent5" w:themeTint="BF"/>
        <w:left w:val="single" w:sz="8" w:space="0" w:color="3CDA6F" w:themeColor="accent5" w:themeTint="BF"/>
        <w:bottom w:val="single" w:sz="8" w:space="0" w:color="3CDA6F" w:themeColor="accent5" w:themeTint="BF"/>
        <w:right w:val="single" w:sz="8" w:space="0" w:color="3CDA6F" w:themeColor="accent5" w:themeTint="BF"/>
        <w:insideH w:val="single" w:sz="8" w:space="0" w:color="3CDA6F" w:themeColor="accent5" w:themeTint="BF"/>
      </w:tblBorders>
    </w:tblPr>
    <w:tblStylePr w:type="firstRow">
      <w:pPr>
        <w:spacing w:before="0" w:after="0" w:line="240" w:lineRule="auto"/>
      </w:pPr>
      <w:rPr>
        <w:b/>
        <w:bCs/>
        <w:color w:val="FFFFFF" w:themeColor="background1"/>
      </w:rPr>
      <w:tblPr/>
      <w:tcPr>
        <w:tcBorders>
          <w:top w:val="single" w:sz="8" w:space="0" w:color="3CDA6F" w:themeColor="accent5" w:themeTint="BF"/>
          <w:left w:val="single" w:sz="8" w:space="0" w:color="3CDA6F" w:themeColor="accent5" w:themeTint="BF"/>
          <w:bottom w:val="single" w:sz="8" w:space="0" w:color="3CDA6F" w:themeColor="accent5" w:themeTint="BF"/>
          <w:right w:val="single" w:sz="8" w:space="0" w:color="3CDA6F" w:themeColor="accent5" w:themeTint="BF"/>
          <w:insideH w:val="nil"/>
          <w:insideV w:val="nil"/>
        </w:tcBorders>
        <w:shd w:val="clear" w:color="auto" w:fill="20AA4D" w:themeFill="accent5"/>
      </w:tcPr>
    </w:tblStylePr>
    <w:tblStylePr w:type="lastRow">
      <w:pPr>
        <w:spacing w:before="0" w:after="0" w:line="240" w:lineRule="auto"/>
      </w:pPr>
      <w:rPr>
        <w:b/>
        <w:bCs/>
      </w:rPr>
      <w:tblPr/>
      <w:tcPr>
        <w:tcBorders>
          <w:top w:val="double" w:sz="6" w:space="0" w:color="3CDA6F" w:themeColor="accent5" w:themeTint="BF"/>
          <w:left w:val="single" w:sz="8" w:space="0" w:color="3CDA6F" w:themeColor="accent5" w:themeTint="BF"/>
          <w:bottom w:val="single" w:sz="8" w:space="0" w:color="3CDA6F" w:themeColor="accent5" w:themeTint="BF"/>
          <w:right w:val="single" w:sz="8" w:space="0" w:color="3CDA6F" w:themeColor="accent5" w:themeTint="BF"/>
          <w:insideH w:val="nil"/>
          <w:insideV w:val="nil"/>
        </w:tcBorders>
      </w:tcPr>
    </w:tblStylePr>
    <w:tblStylePr w:type="firstCol">
      <w:rPr>
        <w:b/>
        <w:bCs/>
      </w:rPr>
    </w:tblStylePr>
    <w:tblStylePr w:type="lastCol">
      <w:rPr>
        <w:b/>
        <w:bCs/>
      </w:rPr>
    </w:tblStylePr>
    <w:tblStylePr w:type="band1Vert">
      <w:tblPr/>
      <w:tcPr>
        <w:shd w:val="clear" w:color="auto" w:fill="BEF3CF" w:themeFill="accent5" w:themeFillTint="3F"/>
      </w:tcPr>
    </w:tblStylePr>
    <w:tblStylePr w:type="band1Horz">
      <w:tblPr/>
      <w:tcPr>
        <w:tcBorders>
          <w:insideH w:val="nil"/>
          <w:insideV w:val="nil"/>
        </w:tcBorders>
        <w:shd w:val="clear" w:color="auto" w:fill="BEF3C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8" w:space="0" w:color="09B1FF" w:themeColor="accent6" w:themeTint="BF"/>
        <w:left w:val="single" w:sz="8" w:space="0" w:color="09B1FF" w:themeColor="accent6" w:themeTint="BF"/>
        <w:bottom w:val="single" w:sz="8" w:space="0" w:color="09B1FF" w:themeColor="accent6" w:themeTint="BF"/>
        <w:right w:val="single" w:sz="8" w:space="0" w:color="09B1FF" w:themeColor="accent6" w:themeTint="BF"/>
        <w:insideH w:val="single" w:sz="8" w:space="0" w:color="09B1FF" w:themeColor="accent6" w:themeTint="BF"/>
      </w:tblBorders>
    </w:tblPr>
    <w:tblStylePr w:type="firstRow">
      <w:pPr>
        <w:spacing w:before="0" w:after="0" w:line="240" w:lineRule="auto"/>
      </w:pPr>
      <w:rPr>
        <w:b/>
        <w:bCs/>
        <w:color w:val="FFFFFF" w:themeColor="background1"/>
      </w:rPr>
      <w:tblPr/>
      <w:tcPr>
        <w:tcBorders>
          <w:top w:val="single" w:sz="8" w:space="0" w:color="09B1FF" w:themeColor="accent6" w:themeTint="BF"/>
          <w:left w:val="single" w:sz="8" w:space="0" w:color="09B1FF" w:themeColor="accent6" w:themeTint="BF"/>
          <w:bottom w:val="single" w:sz="8" w:space="0" w:color="09B1FF" w:themeColor="accent6" w:themeTint="BF"/>
          <w:right w:val="single" w:sz="8" w:space="0" w:color="09B1FF" w:themeColor="accent6" w:themeTint="BF"/>
          <w:insideH w:val="nil"/>
          <w:insideV w:val="nil"/>
        </w:tcBorders>
        <w:shd w:val="clear" w:color="auto" w:fill="007DB6" w:themeFill="accent6"/>
      </w:tcPr>
    </w:tblStylePr>
    <w:tblStylePr w:type="lastRow">
      <w:pPr>
        <w:spacing w:before="0" w:after="0" w:line="240" w:lineRule="auto"/>
      </w:pPr>
      <w:rPr>
        <w:b/>
        <w:bCs/>
      </w:rPr>
      <w:tblPr/>
      <w:tcPr>
        <w:tcBorders>
          <w:top w:val="double" w:sz="6" w:space="0" w:color="09B1FF" w:themeColor="accent6" w:themeTint="BF"/>
          <w:left w:val="single" w:sz="8" w:space="0" w:color="09B1FF" w:themeColor="accent6" w:themeTint="BF"/>
          <w:bottom w:val="single" w:sz="8" w:space="0" w:color="09B1FF" w:themeColor="accent6" w:themeTint="BF"/>
          <w:right w:val="single" w:sz="8" w:space="0" w:color="09B1FF" w:themeColor="accent6" w:themeTint="BF"/>
          <w:insideH w:val="nil"/>
          <w:insideV w:val="nil"/>
        </w:tcBorders>
      </w:tcPr>
    </w:tblStylePr>
    <w:tblStylePr w:type="firstCol">
      <w:rPr>
        <w:b/>
        <w:bCs/>
      </w:rPr>
    </w:tblStylePr>
    <w:tblStylePr w:type="lastCol">
      <w:rPr>
        <w:b/>
        <w:bCs/>
      </w:rPr>
    </w:tblStylePr>
    <w:tblStylePr w:type="band1Vert">
      <w:tblPr/>
      <w:tcPr>
        <w:shd w:val="clear" w:color="auto" w:fill="ADE5FF" w:themeFill="accent6" w:themeFillTint="3F"/>
      </w:tcPr>
    </w:tblStylePr>
    <w:tblStylePr w:type="band1Horz">
      <w:tblPr/>
      <w:tcPr>
        <w:tcBorders>
          <w:insideH w:val="nil"/>
          <w:insideV w:val="nil"/>
        </w:tcBorders>
        <w:shd w:val="clear" w:color="auto" w:fill="ADE5FF" w:themeFill="accent6" w:themeFillTint="3F"/>
      </w:tcPr>
    </w:tblStylePr>
    <w:tblStylePr w:type="band2Horz">
      <w:tblPr/>
      <w:tcPr>
        <w:tcBorders>
          <w:insideH w:val="nil"/>
          <w:insideV w:val="nil"/>
        </w:tcBorders>
      </w:tcPr>
    </w:tblStylePr>
  </w:style>
  <w:style w:type="table" w:styleId="MediumShading2-Accent1">
    <w:name w:val="Medium Shading 2 Accent 1"/>
    <w:basedOn w:val="TableNormal"/>
    <w:uiPriority w:val="64"/>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7D8D6"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7D8D6" w:themeFill="accent1"/>
      </w:tcPr>
    </w:tblStylePr>
    <w:tblStylePr w:type="lastCol">
      <w:rPr>
        <w:b/>
        <w:bCs/>
        <w:color w:val="FFFFFF" w:themeColor="background1"/>
      </w:rPr>
      <w:tblPr/>
      <w:tcPr>
        <w:tcBorders>
          <w:left w:val="nil"/>
          <w:right w:val="nil"/>
          <w:insideH w:val="nil"/>
          <w:insideV w:val="nil"/>
        </w:tcBorders>
        <w:shd w:val="clear" w:color="auto" w:fill="D7D8D6"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709"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709" w:themeFill="accent2"/>
      </w:tcPr>
    </w:tblStylePr>
    <w:tblStylePr w:type="lastCol">
      <w:rPr>
        <w:b/>
        <w:bCs/>
        <w:color w:val="FFFFFF" w:themeColor="background1"/>
      </w:rPr>
      <w:tblPr/>
      <w:tcPr>
        <w:tcBorders>
          <w:left w:val="nil"/>
          <w:right w:val="nil"/>
          <w:insideH w:val="nil"/>
          <w:insideV w:val="nil"/>
        </w:tcBorders>
        <w:shd w:val="clear" w:color="auto" w:fill="FFC709"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D163F"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D163F" w:themeFill="accent3"/>
      </w:tcPr>
    </w:tblStylePr>
    <w:tblStylePr w:type="lastCol">
      <w:rPr>
        <w:b/>
        <w:bCs/>
        <w:color w:val="FFFFFF" w:themeColor="background1"/>
      </w:rPr>
      <w:tblPr/>
      <w:tcPr>
        <w:tcBorders>
          <w:left w:val="nil"/>
          <w:right w:val="nil"/>
          <w:insideH w:val="nil"/>
          <w:insideV w:val="nil"/>
        </w:tcBorders>
        <w:shd w:val="clear" w:color="auto" w:fill="CD163F"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92686"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92686" w:themeFill="accent4"/>
      </w:tcPr>
    </w:tblStylePr>
    <w:tblStylePr w:type="lastCol">
      <w:rPr>
        <w:b/>
        <w:bCs/>
        <w:color w:val="FFFFFF" w:themeColor="background1"/>
      </w:rPr>
      <w:tblPr/>
      <w:tcPr>
        <w:tcBorders>
          <w:left w:val="nil"/>
          <w:right w:val="nil"/>
          <w:insideH w:val="nil"/>
          <w:insideV w:val="nil"/>
        </w:tcBorders>
        <w:shd w:val="clear" w:color="auto" w:fill="692686"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0AA4D"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0AA4D" w:themeFill="accent5"/>
      </w:tcPr>
    </w:tblStylePr>
    <w:tblStylePr w:type="lastCol">
      <w:rPr>
        <w:b/>
        <w:bCs/>
        <w:color w:val="FFFFFF" w:themeColor="background1"/>
      </w:rPr>
      <w:tblPr/>
      <w:tcPr>
        <w:tcBorders>
          <w:left w:val="nil"/>
          <w:right w:val="nil"/>
          <w:insideH w:val="nil"/>
          <w:insideV w:val="nil"/>
        </w:tcBorders>
        <w:shd w:val="clear" w:color="auto" w:fill="20AA4D"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unhideWhenUsed/>
    <w:rsid w:val="009D2459"/>
    <w:pPr>
      <w:spacing w:after="0" w:line="240" w:lineRule="auto"/>
    </w:pPr>
    <w:rPr>
      <w:rFonts w:eastAsia="Times New Roman" w:cs="Times New Roman"/>
      <w:sz w:val="20"/>
      <w:szCs w:val="20"/>
      <w:lang w:eastAsia="en-A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7DB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7DB6" w:themeFill="accent6"/>
      </w:tcPr>
    </w:tblStylePr>
    <w:tblStylePr w:type="lastCol">
      <w:rPr>
        <w:b/>
        <w:bCs/>
        <w:color w:val="FFFFFF" w:themeColor="background1"/>
      </w:rPr>
      <w:tblPr/>
      <w:tcPr>
        <w:tcBorders>
          <w:left w:val="nil"/>
          <w:right w:val="nil"/>
          <w:insideH w:val="nil"/>
          <w:insideV w:val="nil"/>
        </w:tcBorders>
        <w:shd w:val="clear" w:color="auto" w:fill="007DB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PageNumber">
    <w:name w:val="page number"/>
    <w:basedOn w:val="DefaultParagraphFont"/>
    <w:semiHidden/>
    <w:unhideWhenUsed/>
    <w:rsid w:val="009D2459"/>
  </w:style>
  <w:style w:type="table" w:styleId="PlainTable1">
    <w:name w:val="Plain Table 1"/>
    <w:basedOn w:val="TableNormal"/>
    <w:uiPriority w:val="41"/>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9D2459"/>
    <w:pPr>
      <w:spacing w:after="0" w:line="240" w:lineRule="auto"/>
    </w:pPr>
    <w:rPr>
      <w:rFonts w:eastAsia="Times New Roman" w:cs="Times New Roman"/>
      <w:sz w:val="20"/>
      <w:szCs w:val="20"/>
      <w:lang w:eastAsia="en-AU"/>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9D2459"/>
    <w:pPr>
      <w:spacing w:after="0" w:line="240" w:lineRule="auto"/>
    </w:pPr>
    <w:rPr>
      <w:rFonts w:eastAsia="Times New Roman" w:cs="Times New Roman"/>
      <w:sz w:val="20"/>
      <w:szCs w:val="20"/>
      <w:lang w:eastAsia="en-AU"/>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9D2459"/>
    <w:pPr>
      <w:spacing w:after="0" w:line="240" w:lineRule="auto"/>
    </w:pPr>
    <w:rPr>
      <w:rFonts w:eastAsia="Times New Roman" w:cs="Times New Roman"/>
      <w:sz w:val="20"/>
      <w:szCs w:val="20"/>
      <w:lang w:eastAsia="en-A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9D2459"/>
    <w:pPr>
      <w:spacing w:after="0" w:line="240" w:lineRule="auto"/>
    </w:pPr>
    <w:rPr>
      <w:rFonts w:eastAsia="Times New Roman" w:cs="Times New Roman"/>
      <w:sz w:val="20"/>
      <w:szCs w:val="20"/>
      <w:lang w:eastAsia="en-A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SubtleReference">
    <w:name w:val="Subtle Reference"/>
    <w:basedOn w:val="DefaultParagraphFont"/>
    <w:uiPriority w:val="31"/>
    <w:rsid w:val="009D2459"/>
    <w:rPr>
      <w:smallCaps/>
      <w:color w:val="5A5A5A" w:themeColor="text1" w:themeTint="A5"/>
    </w:rPr>
  </w:style>
  <w:style w:type="table" w:styleId="Table3Deffects1">
    <w:name w:val="Table 3D effects 1"/>
    <w:basedOn w:val="TableNormal"/>
    <w:unhideWhenUsed/>
    <w:rsid w:val="009D2459"/>
    <w:pPr>
      <w:spacing w:after="0" w:line="288" w:lineRule="auto"/>
    </w:pPr>
    <w:rPr>
      <w:rFonts w:eastAsia="Times New Roman" w:cs="Times New Roman"/>
      <w:sz w:val="20"/>
      <w:szCs w:val="20"/>
      <w:lang w:eastAsia="en-A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nhideWhenUsed/>
    <w:rsid w:val="009D2459"/>
    <w:pPr>
      <w:spacing w:after="0" w:line="288" w:lineRule="auto"/>
    </w:pPr>
    <w:rPr>
      <w:rFonts w:eastAsia="Times New Roman" w:cs="Times New Roman"/>
      <w:sz w:val="20"/>
      <w:szCs w:val="20"/>
      <w:lang w:eastAsia="en-A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unhideWhenUsed/>
    <w:rsid w:val="009D2459"/>
    <w:pPr>
      <w:spacing w:after="0" w:line="288" w:lineRule="auto"/>
    </w:pPr>
    <w:rPr>
      <w:rFonts w:eastAsia="Times New Roman" w:cs="Times New Roman"/>
      <w:sz w:val="20"/>
      <w:szCs w:val="20"/>
      <w:lang w:eastAsia="en-A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unhideWhenUsed/>
    <w:rsid w:val="009D2459"/>
    <w:pPr>
      <w:spacing w:after="0" w:line="288" w:lineRule="auto"/>
    </w:pPr>
    <w:rPr>
      <w:rFonts w:eastAsia="Times New Roman" w:cs="Times New Roman"/>
      <w:sz w:val="20"/>
      <w:szCs w:val="20"/>
      <w:lang w:eastAsia="en-A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unhideWhenUsed/>
    <w:rsid w:val="009D2459"/>
    <w:pPr>
      <w:spacing w:after="0" w:line="288" w:lineRule="auto"/>
    </w:pPr>
    <w:rPr>
      <w:rFonts w:eastAsia="Times New Roman" w:cs="Times New Roman"/>
      <w:sz w:val="20"/>
      <w:szCs w:val="20"/>
      <w:lang w:eastAsia="en-A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unhideWhenUsed/>
    <w:rsid w:val="009D2459"/>
    <w:pPr>
      <w:spacing w:after="0" w:line="288" w:lineRule="auto"/>
    </w:pPr>
    <w:rPr>
      <w:rFonts w:eastAsia="Times New Roman" w:cs="Times New Roman"/>
      <w:color w:val="000080"/>
      <w:sz w:val="20"/>
      <w:szCs w:val="20"/>
      <w:lang w:eastAsia="en-A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unhideWhenUsed/>
    <w:rsid w:val="009D2459"/>
    <w:pPr>
      <w:spacing w:after="0" w:line="288" w:lineRule="auto"/>
    </w:pPr>
    <w:rPr>
      <w:rFonts w:eastAsia="Times New Roman" w:cs="Times New Roman"/>
      <w:sz w:val="20"/>
      <w:szCs w:val="20"/>
      <w:lang w:eastAsia="en-A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unhideWhenUsed/>
    <w:rsid w:val="009D2459"/>
    <w:pPr>
      <w:spacing w:after="0" w:line="288" w:lineRule="auto"/>
    </w:pPr>
    <w:rPr>
      <w:rFonts w:eastAsia="Times New Roman" w:cs="Times New Roman"/>
      <w:color w:val="FFFFFF"/>
      <w:sz w:val="20"/>
      <w:szCs w:val="20"/>
      <w:lang w:eastAsia="en-A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unhideWhenUsed/>
    <w:rsid w:val="009D2459"/>
    <w:pPr>
      <w:spacing w:after="0" w:line="288" w:lineRule="auto"/>
    </w:pPr>
    <w:rPr>
      <w:rFonts w:eastAsia="Times New Roman" w:cs="Times New Roman"/>
      <w:sz w:val="20"/>
      <w:szCs w:val="20"/>
      <w:lang w:eastAsia="en-A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unhideWhenUsed/>
    <w:rsid w:val="009D2459"/>
    <w:pPr>
      <w:spacing w:after="0" w:line="288" w:lineRule="auto"/>
    </w:pPr>
    <w:rPr>
      <w:rFonts w:eastAsia="Times New Roman" w:cs="Times New Roman"/>
      <w:sz w:val="20"/>
      <w:szCs w:val="20"/>
      <w:lang w:eastAsia="en-A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unhideWhenUsed/>
    <w:rsid w:val="009D2459"/>
    <w:pPr>
      <w:spacing w:after="0" w:line="288" w:lineRule="auto"/>
    </w:pPr>
    <w:rPr>
      <w:rFonts w:eastAsia="Times New Roman" w:cs="Times New Roman"/>
      <w:b/>
      <w:bCs/>
      <w:sz w:val="20"/>
      <w:szCs w:val="20"/>
      <w:lang w:eastAsia="en-A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unhideWhenUsed/>
    <w:rsid w:val="009D2459"/>
    <w:pPr>
      <w:spacing w:after="0" w:line="288" w:lineRule="auto"/>
    </w:pPr>
    <w:rPr>
      <w:rFonts w:eastAsia="Times New Roman" w:cs="Times New Roman"/>
      <w:b/>
      <w:bCs/>
      <w:sz w:val="20"/>
      <w:szCs w:val="20"/>
      <w:lang w:eastAsia="en-A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unhideWhenUsed/>
    <w:rsid w:val="009D2459"/>
    <w:pPr>
      <w:spacing w:after="0" w:line="288" w:lineRule="auto"/>
    </w:pPr>
    <w:rPr>
      <w:rFonts w:eastAsia="Times New Roman" w:cs="Times New Roman"/>
      <w:b/>
      <w:bCs/>
      <w:sz w:val="20"/>
      <w:szCs w:val="20"/>
      <w:lang w:eastAsia="en-A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unhideWhenUsed/>
    <w:rsid w:val="009D2459"/>
    <w:pPr>
      <w:spacing w:after="0" w:line="288" w:lineRule="auto"/>
    </w:pPr>
    <w:rPr>
      <w:rFonts w:eastAsia="Times New Roman" w:cs="Times New Roman"/>
      <w:sz w:val="20"/>
      <w:szCs w:val="20"/>
      <w:lang w:eastAsia="en-A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unhideWhenUsed/>
    <w:rsid w:val="009D2459"/>
    <w:pPr>
      <w:spacing w:after="0" w:line="288" w:lineRule="auto"/>
    </w:pPr>
    <w:rPr>
      <w:rFonts w:eastAsia="Times New Roman" w:cs="Times New Roman"/>
      <w:sz w:val="20"/>
      <w:szCs w:val="20"/>
      <w:lang w:eastAsia="en-A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unhideWhenUsed/>
    <w:rsid w:val="009D2459"/>
    <w:pPr>
      <w:spacing w:after="0" w:line="288" w:lineRule="auto"/>
    </w:pPr>
    <w:rPr>
      <w:rFonts w:eastAsia="Times New Roman" w:cs="Times New Roman"/>
      <w:sz w:val="20"/>
      <w:szCs w:val="20"/>
      <w:lang w:eastAsia="en-A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unhideWhenUsed/>
    <w:rsid w:val="009D2459"/>
    <w:pPr>
      <w:spacing w:after="0" w:line="288" w:lineRule="auto"/>
    </w:pPr>
    <w:rPr>
      <w:rFonts w:eastAsia="Times New Roman" w:cs="Times New Roman"/>
      <w:sz w:val="20"/>
      <w:szCs w:val="20"/>
      <w:lang w:eastAsia="en-A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unhideWhenUsed/>
    <w:rsid w:val="009D2459"/>
    <w:pPr>
      <w:spacing w:after="0" w:line="288" w:lineRule="auto"/>
    </w:pPr>
    <w:rPr>
      <w:rFonts w:eastAsia="Times New Roman"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unhideWhenUsed/>
    <w:rsid w:val="009D2459"/>
    <w:pPr>
      <w:spacing w:after="0" w:line="288" w:lineRule="auto"/>
    </w:pPr>
    <w:rPr>
      <w:rFonts w:eastAsia="Times New Roman" w:cs="Times New Roman"/>
      <w:sz w:val="20"/>
      <w:szCs w:val="20"/>
      <w:lang w:eastAsia="en-A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unhideWhenUsed/>
    <w:rsid w:val="009D2459"/>
    <w:pPr>
      <w:spacing w:after="0" w:line="288" w:lineRule="auto"/>
    </w:pPr>
    <w:rPr>
      <w:rFonts w:eastAsia="Times New Roman" w:cs="Times New Roman"/>
      <w:sz w:val="20"/>
      <w:szCs w:val="20"/>
      <w:lang w:eastAsia="en-A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unhideWhenUsed/>
    <w:rsid w:val="009D2459"/>
    <w:pPr>
      <w:spacing w:after="0" w:line="288" w:lineRule="auto"/>
    </w:pPr>
    <w:rPr>
      <w:rFonts w:eastAsia="Times New Roman" w:cs="Times New Roman"/>
      <w:sz w:val="20"/>
      <w:szCs w:val="20"/>
      <w:lang w:eastAsia="en-A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unhideWhenUsed/>
    <w:rsid w:val="009D2459"/>
    <w:pPr>
      <w:spacing w:after="0" w:line="288" w:lineRule="auto"/>
    </w:pPr>
    <w:rPr>
      <w:rFonts w:eastAsia="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unhideWhenUsed/>
    <w:rsid w:val="009D2459"/>
    <w:pPr>
      <w:spacing w:after="0" w:line="288" w:lineRule="auto"/>
    </w:pPr>
    <w:rPr>
      <w:rFonts w:eastAsia="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unhideWhenUsed/>
    <w:rsid w:val="009D2459"/>
    <w:pPr>
      <w:spacing w:after="0" w:line="288" w:lineRule="auto"/>
    </w:pPr>
    <w:rPr>
      <w:rFonts w:eastAsia="Times New Roman" w:cs="Times New Roman"/>
      <w:b/>
      <w:bCs/>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unhideWhenUsed/>
    <w:rsid w:val="009D2459"/>
    <w:pPr>
      <w:spacing w:after="0" w:line="288" w:lineRule="auto"/>
    </w:pPr>
    <w:rPr>
      <w:rFonts w:eastAsia="Times New Roman" w:cs="Times New Roman"/>
      <w:sz w:val="20"/>
      <w:szCs w:val="20"/>
      <w:lang w:eastAsia="en-A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9D2459"/>
    <w:pPr>
      <w:spacing w:after="0" w:line="240" w:lineRule="auto"/>
    </w:pPr>
    <w:rPr>
      <w:rFonts w:eastAsia="Times New Roman" w:cs="Times New Roman"/>
      <w:sz w:val="20"/>
      <w:szCs w:val="20"/>
      <w:lang w:eastAsia="en-A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4">
    <w:name w:val="Table List 4"/>
    <w:basedOn w:val="TableNormal"/>
    <w:semiHidden/>
    <w:unhideWhenUsed/>
    <w:rsid w:val="009D2459"/>
    <w:pPr>
      <w:spacing w:after="0" w:line="288" w:lineRule="auto"/>
    </w:pPr>
    <w:rPr>
      <w:rFonts w:eastAsia="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unhideWhenUsed/>
    <w:rsid w:val="009D2459"/>
    <w:pPr>
      <w:spacing w:after="0" w:line="288" w:lineRule="auto"/>
    </w:pPr>
    <w:rPr>
      <w:rFonts w:eastAsia="Times New Roman"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unhideWhenUsed/>
    <w:rsid w:val="009D2459"/>
    <w:pPr>
      <w:spacing w:after="0" w:line="288" w:lineRule="auto"/>
    </w:pPr>
    <w:rPr>
      <w:rFonts w:eastAsia="Times New Roman" w:cs="Times New Roman"/>
      <w:sz w:val="20"/>
      <w:szCs w:val="20"/>
      <w:lang w:eastAsia="en-A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unhideWhenUsed/>
    <w:rsid w:val="009D2459"/>
    <w:pPr>
      <w:spacing w:after="0" w:line="288" w:lineRule="auto"/>
    </w:pPr>
    <w:rPr>
      <w:rFonts w:eastAsia="Times New Roman" w:cs="Times New Roman"/>
      <w:sz w:val="20"/>
      <w:szCs w:val="20"/>
      <w:lang w:eastAsia="en-A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unhideWhenUsed/>
    <w:rsid w:val="009D2459"/>
    <w:pPr>
      <w:spacing w:after="0" w:line="288" w:lineRule="auto"/>
    </w:pPr>
    <w:rPr>
      <w:rFonts w:eastAsia="Times New Roman" w:cs="Times New Roman"/>
      <w:sz w:val="20"/>
      <w:szCs w:val="20"/>
      <w:lang w:eastAsia="en-A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unhideWhenUsed/>
    <w:rsid w:val="009D2459"/>
    <w:pPr>
      <w:spacing w:after="0" w:line="288" w:lineRule="auto"/>
    </w:pPr>
    <w:rPr>
      <w:rFonts w:eastAsia="Times New Roman"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unhideWhenUsed/>
    <w:rsid w:val="009D2459"/>
    <w:pPr>
      <w:spacing w:after="0" w:line="288" w:lineRule="auto"/>
    </w:pPr>
    <w:rPr>
      <w:rFonts w:eastAsia="Times New Roman" w:cs="Times New Roman"/>
      <w:sz w:val="20"/>
      <w:szCs w:val="20"/>
      <w:lang w:eastAsia="en-A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unhideWhenUsed/>
    <w:rsid w:val="009D2459"/>
    <w:pPr>
      <w:spacing w:after="0" w:line="288" w:lineRule="auto"/>
    </w:pPr>
    <w:rPr>
      <w:rFonts w:eastAsia="Times New Roman" w:cs="Times New Roman"/>
      <w:sz w:val="20"/>
      <w:szCs w:val="20"/>
      <w:lang w:eastAsia="en-A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unhideWhenUsed/>
    <w:rsid w:val="009D2459"/>
    <w:pPr>
      <w:spacing w:after="0" w:line="288" w:lineRule="auto"/>
    </w:pPr>
    <w:rPr>
      <w:rFonts w:eastAsia="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unhideWhenUsed/>
    <w:rsid w:val="009D2459"/>
    <w:pPr>
      <w:spacing w:after="0" w:line="288" w:lineRule="auto"/>
    </w:pPr>
    <w:rPr>
      <w:rFonts w:eastAsia="Times New Roman" w:cs="Times New Roman"/>
      <w:sz w:val="20"/>
      <w:szCs w:val="20"/>
      <w:lang w:eastAsia="en-A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unhideWhenUsed/>
    <w:rsid w:val="009D2459"/>
    <w:pPr>
      <w:spacing w:after="0" w:line="288" w:lineRule="auto"/>
    </w:pPr>
    <w:rPr>
      <w:rFonts w:eastAsia="Times New Roman" w:cs="Times New Roman"/>
      <w:sz w:val="20"/>
      <w:szCs w:val="20"/>
      <w:lang w:eastAsia="en-A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unhideWhenUsed/>
    <w:rsid w:val="009D2459"/>
    <w:pPr>
      <w:spacing w:after="0" w:line="288" w:lineRule="auto"/>
    </w:pPr>
    <w:rPr>
      <w:rFonts w:eastAsia="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unhideWhenUsed/>
    <w:rsid w:val="009D2459"/>
    <w:pPr>
      <w:spacing w:after="0" w:line="288" w:lineRule="auto"/>
    </w:pPr>
    <w:rPr>
      <w:rFonts w:eastAsia="Times New Roman" w:cs="Times New Roman"/>
      <w:sz w:val="20"/>
      <w:szCs w:val="20"/>
      <w:lang w:eastAsia="en-A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unhideWhenUsed/>
    <w:rsid w:val="009D2459"/>
    <w:pPr>
      <w:spacing w:after="0" w:line="288" w:lineRule="auto"/>
    </w:pPr>
    <w:rPr>
      <w:rFonts w:eastAsia="Times New Roman" w:cs="Times New Roman"/>
      <w:sz w:val="20"/>
      <w:szCs w:val="20"/>
      <w:lang w:eastAsia="en-A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unhideWhenUsed/>
    <w:rsid w:val="009D2459"/>
    <w:pPr>
      <w:spacing w:after="0" w:line="288" w:lineRule="auto"/>
    </w:pPr>
    <w:rPr>
      <w:rFonts w:eastAsia="Times New Roman" w:cs="Times New Roman"/>
      <w:sz w:val="20"/>
      <w:szCs w:val="20"/>
      <w:lang w:eastAsia="en-A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UnresolvedMention">
    <w:name w:val="Unresolved Mention"/>
    <w:basedOn w:val="DefaultParagraphFont"/>
    <w:uiPriority w:val="99"/>
    <w:semiHidden/>
    <w:unhideWhenUsed/>
    <w:rsid w:val="009D245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572670">
      <w:bodyDiv w:val="1"/>
      <w:marLeft w:val="0"/>
      <w:marRight w:val="0"/>
      <w:marTop w:val="0"/>
      <w:marBottom w:val="0"/>
      <w:divBdr>
        <w:top w:val="none" w:sz="0" w:space="0" w:color="auto"/>
        <w:left w:val="none" w:sz="0" w:space="0" w:color="auto"/>
        <w:bottom w:val="none" w:sz="0" w:space="0" w:color="auto"/>
        <w:right w:val="none" w:sz="0" w:space="0" w:color="auto"/>
      </w:divBdr>
    </w:div>
    <w:div w:id="348917670">
      <w:bodyDiv w:val="1"/>
      <w:marLeft w:val="0"/>
      <w:marRight w:val="0"/>
      <w:marTop w:val="0"/>
      <w:marBottom w:val="0"/>
      <w:divBdr>
        <w:top w:val="none" w:sz="0" w:space="0" w:color="auto"/>
        <w:left w:val="none" w:sz="0" w:space="0" w:color="auto"/>
        <w:bottom w:val="none" w:sz="0" w:space="0" w:color="auto"/>
        <w:right w:val="none" w:sz="0" w:space="0" w:color="auto"/>
      </w:divBdr>
    </w:div>
    <w:div w:id="623393728">
      <w:bodyDiv w:val="1"/>
      <w:marLeft w:val="0"/>
      <w:marRight w:val="0"/>
      <w:marTop w:val="0"/>
      <w:marBottom w:val="0"/>
      <w:divBdr>
        <w:top w:val="none" w:sz="0" w:space="0" w:color="auto"/>
        <w:left w:val="none" w:sz="0" w:space="0" w:color="auto"/>
        <w:bottom w:val="none" w:sz="0" w:space="0" w:color="auto"/>
        <w:right w:val="none" w:sz="0" w:space="0" w:color="auto"/>
      </w:divBdr>
    </w:div>
    <w:div w:id="928737049">
      <w:bodyDiv w:val="1"/>
      <w:marLeft w:val="0"/>
      <w:marRight w:val="0"/>
      <w:marTop w:val="0"/>
      <w:marBottom w:val="0"/>
      <w:divBdr>
        <w:top w:val="none" w:sz="0" w:space="0" w:color="auto"/>
        <w:left w:val="none" w:sz="0" w:space="0" w:color="auto"/>
        <w:bottom w:val="none" w:sz="0" w:space="0" w:color="auto"/>
        <w:right w:val="none" w:sz="0" w:space="0" w:color="auto"/>
      </w:divBdr>
    </w:div>
    <w:div w:id="1569925688">
      <w:bodyDiv w:val="1"/>
      <w:marLeft w:val="0"/>
      <w:marRight w:val="0"/>
      <w:marTop w:val="0"/>
      <w:marBottom w:val="0"/>
      <w:divBdr>
        <w:top w:val="none" w:sz="0" w:space="0" w:color="auto"/>
        <w:left w:val="none" w:sz="0" w:space="0" w:color="auto"/>
        <w:bottom w:val="none" w:sz="0" w:space="0" w:color="auto"/>
        <w:right w:val="none" w:sz="0" w:space="0" w:color="auto"/>
      </w:divBdr>
    </w:div>
    <w:div w:id="1587108613">
      <w:bodyDiv w:val="1"/>
      <w:marLeft w:val="0"/>
      <w:marRight w:val="0"/>
      <w:marTop w:val="0"/>
      <w:marBottom w:val="0"/>
      <w:divBdr>
        <w:top w:val="none" w:sz="0" w:space="0" w:color="auto"/>
        <w:left w:val="none" w:sz="0" w:space="0" w:color="auto"/>
        <w:bottom w:val="none" w:sz="0" w:space="0" w:color="auto"/>
        <w:right w:val="none" w:sz="0" w:space="0" w:color="auto"/>
      </w:divBdr>
    </w:div>
    <w:div w:id="1863322092">
      <w:bodyDiv w:val="1"/>
      <w:marLeft w:val="0"/>
      <w:marRight w:val="0"/>
      <w:marTop w:val="0"/>
      <w:marBottom w:val="0"/>
      <w:divBdr>
        <w:top w:val="none" w:sz="0" w:space="0" w:color="auto"/>
        <w:left w:val="none" w:sz="0" w:space="0" w:color="auto"/>
        <w:bottom w:val="none" w:sz="0" w:space="0" w:color="auto"/>
        <w:right w:val="none" w:sz="0" w:space="0" w:color="auto"/>
      </w:divBdr>
    </w:div>
    <w:div w:id="1932153017">
      <w:bodyDiv w:val="1"/>
      <w:marLeft w:val="0"/>
      <w:marRight w:val="0"/>
      <w:marTop w:val="0"/>
      <w:marBottom w:val="0"/>
      <w:divBdr>
        <w:top w:val="none" w:sz="0" w:space="0" w:color="auto"/>
        <w:left w:val="none" w:sz="0" w:space="0" w:color="auto"/>
        <w:bottom w:val="none" w:sz="0" w:space="0" w:color="auto"/>
        <w:right w:val="none" w:sz="0" w:space="0" w:color="auto"/>
      </w:divBdr>
    </w:div>
    <w:div w:id="2070230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image" Target="media/image3.png"/><Relationship Id="rId26" Type="http://schemas.openxmlformats.org/officeDocument/2006/relationships/image" Target="media/image11.png"/><Relationship Id="rId3" Type="http://schemas.openxmlformats.org/officeDocument/2006/relationships/customXml" Target="../customXml/item3.xml"/><Relationship Id="rId21" Type="http://schemas.openxmlformats.org/officeDocument/2006/relationships/image" Target="media/image6.png"/><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10.png"/><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5.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9.png"/><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8.png"/><Relationship Id="rId28" Type="http://schemas.openxmlformats.org/officeDocument/2006/relationships/image" Target="media/image13.png"/><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7.png"/><Relationship Id="rId27" Type="http://schemas.openxmlformats.org/officeDocument/2006/relationships/image" Target="media/image12.jpeg"/><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MRPA Colours">
      <a:dk1>
        <a:sysClr val="windowText" lastClr="000000"/>
      </a:dk1>
      <a:lt1>
        <a:sysClr val="window" lastClr="FFFFFF"/>
      </a:lt1>
      <a:dk2>
        <a:srgbClr val="1C2B39"/>
      </a:dk2>
      <a:lt2>
        <a:srgbClr val="F99D1C"/>
      </a:lt2>
      <a:accent1>
        <a:srgbClr val="D7D8D6"/>
      </a:accent1>
      <a:accent2>
        <a:srgbClr val="FFC709"/>
      </a:accent2>
      <a:accent3>
        <a:srgbClr val="CD163F"/>
      </a:accent3>
      <a:accent4>
        <a:srgbClr val="692686"/>
      </a:accent4>
      <a:accent5>
        <a:srgbClr val="20AA4D"/>
      </a:accent5>
      <a:accent6>
        <a:srgbClr val="007DB6"/>
      </a:accent6>
      <a:hlink>
        <a:srgbClr val="005C97"/>
      </a:hlink>
      <a:folHlink>
        <a:srgbClr val="595959"/>
      </a:folHlink>
    </a:clrScheme>
    <a:fontScheme name="JASANZ">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rgbClr val="D9E7D1"/>
        </a:solidFill>
        <a:ln w="9525">
          <a:solidFill>
            <a:srgbClr val="A7CC96"/>
          </a:solidFill>
          <a:miter lim="800000"/>
          <a:headEnd/>
          <a:tailEnd/>
        </a:ln>
      </a:spPr>
      <a:bodyPr rot="0" vert="horz" wrap="square" lIns="91440" tIns="45720" rIns="91440" bIns="45720" anchor="t" anchorCtr="0">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026BE69E2769843AA9BA05A8F8FC7A3" ma:contentTypeVersion="16" ma:contentTypeDescription="Create a new document." ma:contentTypeScope="" ma:versionID="ac5cb4f5dcd35dd85952c3558a9f7110">
  <xsd:schema xmlns:xsd="http://www.w3.org/2001/XMLSchema" xmlns:xs="http://www.w3.org/2001/XMLSchema" xmlns:p="http://schemas.microsoft.com/office/2006/metadata/properties" xmlns:ns2="360f8a96-9000-4ccb-a847-6089494e6936" xmlns:ns3="fc483388-c719-4eff-8694-752d3a0d233e" targetNamespace="http://schemas.microsoft.com/office/2006/metadata/properties" ma:root="true" ma:fieldsID="07d1761228dd44b0f473a74dfb77ccb9" ns2:_="" ns3:_="">
    <xsd:import namespace="360f8a96-9000-4ccb-a847-6089494e6936"/>
    <xsd:import namespace="fc483388-c719-4eff-8694-752d3a0d233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OCR"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60f8a96-9000-4ccb-a847-6089494e69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3b97fea4-d4d7-456e-87c5-5983e4a70355"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fc483388-c719-4eff-8694-752d3a0d233e"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ae6e6075-c28e-44f6-b135-161ff4e0c180}" ma:internalName="TaxCatchAll" ma:showField="CatchAllData" ma:web="fc483388-c719-4eff-8694-752d3a0d233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TaxCatchAll xmlns="fc483388-c719-4eff-8694-752d3a0d233e" xsi:nil="true"/>
    <lcf76f155ced4ddcb4097134ff3c332f xmlns="360f8a96-9000-4ccb-a847-6089494e6936">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AF4DF88-5304-49A7-AC47-957A4648AD7A}"/>
</file>

<file path=customXml/itemProps2.xml><?xml version="1.0" encoding="utf-8"?>
<ds:datastoreItem xmlns:ds="http://schemas.openxmlformats.org/officeDocument/2006/customXml" ds:itemID="{4B388F9B-565C-4D7F-B58D-23219270E8D6}">
  <ds:schemaRefs>
    <ds:schemaRef ds:uri="http://schemas.openxmlformats.org/officeDocument/2006/bibliography"/>
  </ds:schemaRefs>
</ds:datastoreItem>
</file>

<file path=customXml/itemProps3.xml><?xml version="1.0" encoding="utf-8"?>
<ds:datastoreItem xmlns:ds="http://schemas.openxmlformats.org/officeDocument/2006/customXml" ds:itemID="{09A210EC-DCDE-4174-9417-02103FD14390}">
  <ds:schemaRefs>
    <ds:schemaRef ds:uri="http://purl.org/dc/dcmitype/"/>
    <ds:schemaRef ds:uri="http://schemas.microsoft.com/office/2006/metadata/properties"/>
    <ds:schemaRef ds:uri="http://schemas.microsoft.com/office/infopath/2007/PartnerControls"/>
    <ds:schemaRef ds:uri="http://purl.org/dc/terms/"/>
    <ds:schemaRef ds:uri="http://schemas.openxmlformats.org/package/2006/metadata/core-properties"/>
    <ds:schemaRef ds:uri="http://purl.org/dc/elements/1.1/"/>
    <ds:schemaRef ds:uri="http://schemas.microsoft.com/office/2006/documentManagement/types"/>
    <ds:schemaRef ds:uri="5bb23b05-46fc-419b-820b-0fe42645b320"/>
    <ds:schemaRef ds:uri="http://www.w3.org/XML/1998/namespace"/>
  </ds:schemaRefs>
</ds:datastoreItem>
</file>

<file path=customXml/itemProps4.xml><?xml version="1.0" encoding="utf-8"?>
<ds:datastoreItem xmlns:ds="http://schemas.openxmlformats.org/officeDocument/2006/customXml" ds:itemID="{1447BB56-F65D-4008-9850-802530F335F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30</Pages>
  <Words>12189</Words>
  <Characters>70335</Characters>
  <Application>Microsoft Office Word</Application>
  <DocSecurity>0</DocSecurity>
  <Lines>1674</Lines>
  <Paragraphs>660</Paragraphs>
  <ScaleCrop>false</ScaleCrop>
  <HeadingPairs>
    <vt:vector size="2" baseType="variant">
      <vt:variant>
        <vt:lpstr>Title</vt:lpstr>
      </vt:variant>
      <vt:variant>
        <vt:i4>1</vt:i4>
      </vt:variant>
    </vt:vector>
  </HeadingPairs>
  <TitlesOfParts>
    <vt:vector size="1" baseType="lpstr">
      <vt:lpstr>Willatook Wind Farm | Environment Effects Statement</vt:lpstr>
    </vt:vector>
  </TitlesOfParts>
  <Company>Wind Prospect</Company>
  <LinksUpToDate>false</LinksUpToDate>
  <CharactersWithSpaces>81864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Willatook Wind Farm | Environment Effects Statement</dc:title>
  <dc:subject/>
  <dc:creator>Gassner Kerry</dc:creator>
  <cp:keywords/>
  <cp:lastModifiedBy>Gassner, Kerry</cp:lastModifiedBy>
  <cp:revision>7</cp:revision>
  <cp:lastPrinted>2021-09-18T09:10:00Z</cp:lastPrinted>
  <dcterms:created xsi:type="dcterms:W3CDTF">2022-05-31T07:39:00Z</dcterms:created>
  <dcterms:modified xsi:type="dcterms:W3CDTF">2022-06-15T00:35:00Z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0x010100869B548BC37728498E23A9A9B80FFE3B</vt:lpwstr>
  </property>
</Properties>
</file>